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2F1E3">
      <w:pPr>
        <w:rPr>
          <w:rFonts w:hint="eastAsia" w:eastAsia="仿宋_GB2312"/>
          <w:color w:val="auto"/>
          <w:sz w:val="36"/>
          <w:szCs w:val="36"/>
        </w:rPr>
      </w:pPr>
    </w:p>
    <w:p w14:paraId="5B460329">
      <w:pPr>
        <w:pStyle w:val="35"/>
        <w:rPr>
          <w:rFonts w:hint="eastAsia" w:eastAsia="仿宋_GB2312"/>
          <w:color w:val="auto"/>
          <w:sz w:val="36"/>
          <w:szCs w:val="36"/>
        </w:rPr>
      </w:pPr>
    </w:p>
    <w:p w14:paraId="210BF8F0">
      <w:pPr>
        <w:pStyle w:val="34"/>
        <w:rPr>
          <w:rFonts w:hint="eastAsia" w:eastAsia="仿宋_GB2312"/>
          <w:color w:val="auto"/>
          <w:sz w:val="36"/>
          <w:szCs w:val="36"/>
        </w:rPr>
      </w:pPr>
    </w:p>
    <w:p w14:paraId="24A27E06">
      <w:pPr>
        <w:rPr>
          <w:rFonts w:eastAsia="仿宋_GB2312"/>
          <w:color w:val="auto"/>
          <w:sz w:val="36"/>
          <w:szCs w:val="36"/>
        </w:rPr>
      </w:pPr>
    </w:p>
    <w:p w14:paraId="3DEC37B2">
      <w:pPr>
        <w:adjustRightInd w:val="0"/>
        <w:snapToGrid w:val="0"/>
        <w:spacing w:line="360" w:lineRule="auto"/>
        <w:jc w:val="center"/>
        <w:rPr>
          <w:rFonts w:eastAsia="方正小标宋_GBK"/>
          <w:bCs/>
          <w:color w:val="auto"/>
          <w:sz w:val="72"/>
          <w:szCs w:val="72"/>
        </w:rPr>
      </w:pPr>
      <w:r>
        <w:rPr>
          <w:rFonts w:hint="eastAsia" w:eastAsia="方正小标宋_GBK"/>
          <w:bCs/>
          <w:color w:val="auto"/>
          <w:sz w:val="60"/>
          <w:szCs w:val="60"/>
          <w:lang w:val="en-US" w:eastAsia="zh-CN"/>
        </w:rPr>
        <w:t>建设项目生态</w:t>
      </w:r>
      <w:r>
        <w:rPr>
          <w:rFonts w:eastAsia="方正小标宋_GBK"/>
          <w:bCs/>
          <w:color w:val="auto"/>
          <w:sz w:val="60"/>
          <w:szCs w:val="60"/>
        </w:rPr>
        <w:t>环境影响报告表</w:t>
      </w:r>
    </w:p>
    <w:p w14:paraId="357F1D22">
      <w:pPr>
        <w:spacing w:line="360" w:lineRule="auto"/>
        <w:jc w:val="center"/>
        <w:rPr>
          <w:rFonts w:eastAsia="楷体_GB2312"/>
          <w:bCs/>
          <w:color w:val="auto"/>
          <w:sz w:val="48"/>
          <w:szCs w:val="48"/>
        </w:rPr>
      </w:pPr>
      <w:r>
        <w:rPr>
          <w:rFonts w:eastAsia="楷体_GB2312"/>
          <w:bCs/>
          <w:color w:val="auto"/>
          <w:sz w:val="48"/>
          <w:szCs w:val="48"/>
        </w:rPr>
        <w:t>（污染影响类）</w:t>
      </w:r>
    </w:p>
    <w:p w14:paraId="64AF9FC7">
      <w:pPr>
        <w:spacing w:line="360" w:lineRule="auto"/>
        <w:jc w:val="center"/>
        <w:rPr>
          <w:rFonts w:hint="eastAsia" w:eastAsia="楷体_GB2312"/>
          <w:color w:val="auto"/>
          <w:sz w:val="52"/>
          <w:szCs w:val="52"/>
          <w:lang w:eastAsia="zh-CN"/>
        </w:rPr>
      </w:pPr>
    </w:p>
    <w:p w14:paraId="4D14B2F4">
      <w:pPr>
        <w:spacing w:line="360" w:lineRule="auto"/>
        <w:jc w:val="center"/>
        <w:rPr>
          <w:rFonts w:hint="eastAsia" w:eastAsia="仿宋"/>
          <w:color w:val="auto"/>
          <w:sz w:val="44"/>
          <w:szCs w:val="44"/>
        </w:rPr>
      </w:pPr>
    </w:p>
    <w:p w14:paraId="7EE04332">
      <w:pPr>
        <w:rPr>
          <w:rFonts w:eastAsia="仿宋"/>
          <w:color w:val="auto"/>
          <w:sz w:val="44"/>
          <w:szCs w:val="44"/>
        </w:rPr>
      </w:pPr>
    </w:p>
    <w:p w14:paraId="340E64D5">
      <w:pPr>
        <w:adjustRightInd w:val="0"/>
        <w:snapToGrid w:val="0"/>
        <w:spacing w:line="360" w:lineRule="auto"/>
        <w:ind w:left="1440" w:hanging="1440" w:hangingChars="400"/>
        <w:rPr>
          <w:rFonts w:hint="default" w:eastAsia="仿宋_GB2312"/>
          <w:color w:val="auto"/>
          <w:sz w:val="36"/>
          <w:szCs w:val="36"/>
          <w:u w:val="single"/>
          <w:lang w:val="en-US" w:eastAsia="zh-CN"/>
        </w:rPr>
      </w:pPr>
      <w:r>
        <w:rPr>
          <w:rFonts w:eastAsia="仿宋_GB2312"/>
          <w:color w:val="auto"/>
          <w:sz w:val="36"/>
          <w:szCs w:val="36"/>
        </w:rPr>
        <w:t>项目名称：</w:t>
      </w:r>
      <w:r>
        <w:rPr>
          <w:rFonts w:hint="eastAsia" w:eastAsia="仿宋_GB2312"/>
          <w:color w:val="auto"/>
          <w:sz w:val="36"/>
          <w:szCs w:val="36"/>
          <w:u w:val="single"/>
          <w:lang w:eastAsia="zh-CN"/>
        </w:rPr>
        <w:t>寻甸亿源塑料制品有限公司果蔬专用框生产项目（金所片区）</w:t>
      </w:r>
      <w:r>
        <w:rPr>
          <w:rFonts w:hint="eastAsia" w:eastAsia="仿宋_GB2312"/>
          <w:color w:val="auto"/>
          <w:sz w:val="36"/>
          <w:szCs w:val="36"/>
          <w:u w:val="single"/>
        </w:rPr>
        <w:t xml:space="preserve"> </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hint="eastAsia" w:eastAsia="仿宋_GB2312"/>
          <w:color w:val="auto"/>
          <w:sz w:val="36"/>
          <w:szCs w:val="36"/>
          <w:u w:val="single"/>
        </w:rPr>
        <w:t xml:space="preserve">   </w:t>
      </w:r>
      <w:r>
        <w:rPr>
          <w:rFonts w:hint="eastAsia" w:eastAsia="仿宋_GB2312"/>
          <w:color w:val="auto"/>
          <w:sz w:val="36"/>
          <w:szCs w:val="36"/>
          <w:u w:val="single"/>
          <w:lang w:val="en-US" w:eastAsia="zh-CN"/>
        </w:rPr>
        <w:t xml:space="preserve">                             </w:t>
      </w:r>
    </w:p>
    <w:p w14:paraId="69D8460E">
      <w:pPr>
        <w:adjustRightInd w:val="0"/>
        <w:snapToGrid w:val="0"/>
        <w:spacing w:line="360" w:lineRule="auto"/>
        <w:rPr>
          <w:rFonts w:eastAsia="仿宋_GB2312"/>
          <w:color w:val="auto"/>
          <w:sz w:val="36"/>
          <w:szCs w:val="36"/>
          <w:u w:val="single"/>
        </w:rPr>
      </w:pPr>
      <w:r>
        <w:rPr>
          <w:rFonts w:eastAsia="仿宋_GB2312"/>
          <w:color w:val="auto"/>
          <w:sz w:val="36"/>
          <w:szCs w:val="36"/>
        </w:rPr>
        <w:t>建设单位（盖章）：</w:t>
      </w:r>
      <w:r>
        <w:rPr>
          <w:rFonts w:hint="eastAsia" w:eastAsia="仿宋_GB2312"/>
          <w:color w:val="auto"/>
          <w:sz w:val="36"/>
          <w:szCs w:val="36"/>
          <w:u w:val="single"/>
        </w:rPr>
        <w:t xml:space="preserve">   </w:t>
      </w:r>
      <w:r>
        <w:rPr>
          <w:rFonts w:hint="eastAsia" w:eastAsia="仿宋_GB2312"/>
          <w:color w:val="auto"/>
          <w:sz w:val="36"/>
          <w:szCs w:val="36"/>
          <w:u w:val="single"/>
          <w:lang w:eastAsia="zh-CN"/>
        </w:rPr>
        <w:t>寻甸亿源塑料制品有限公司</w:t>
      </w:r>
      <w:r>
        <w:rPr>
          <w:rFonts w:eastAsia="仿宋_GB2312"/>
          <w:color w:val="auto"/>
          <w:sz w:val="36"/>
          <w:szCs w:val="36"/>
          <w:u w:val="single"/>
        </w:rPr>
        <w:t xml:space="preserve"> </w:t>
      </w:r>
      <w:r>
        <w:rPr>
          <w:rFonts w:hint="eastAsia" w:eastAsia="仿宋_GB2312"/>
          <w:color w:val="auto"/>
          <w:sz w:val="36"/>
          <w:szCs w:val="36"/>
          <w:u w:val="single"/>
        </w:rPr>
        <w:t xml:space="preserve">     </w:t>
      </w:r>
    </w:p>
    <w:p w14:paraId="0CACE64B">
      <w:pPr>
        <w:adjustRightInd w:val="0"/>
        <w:snapToGrid w:val="0"/>
        <w:spacing w:line="360" w:lineRule="auto"/>
        <w:rPr>
          <w:rFonts w:eastAsia="仿宋_GB2312"/>
          <w:color w:val="auto"/>
          <w:sz w:val="36"/>
          <w:szCs w:val="36"/>
          <w:u w:val="single"/>
        </w:rPr>
      </w:pPr>
      <w:r>
        <w:rPr>
          <w:rFonts w:eastAsia="仿宋_GB2312"/>
          <w:color w:val="auto"/>
          <w:sz w:val="36"/>
          <w:szCs w:val="36"/>
        </w:rPr>
        <w:t>编制日期：</w:t>
      </w:r>
      <w:r>
        <w:rPr>
          <w:rFonts w:hint="eastAsia"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hint="eastAsia" w:eastAsia="仿宋_GB2312"/>
          <w:color w:val="auto"/>
          <w:sz w:val="36"/>
          <w:szCs w:val="36"/>
          <w:u w:val="single"/>
        </w:rPr>
        <w:t xml:space="preserve"> </w:t>
      </w:r>
      <w:r>
        <w:rPr>
          <w:rFonts w:hint="eastAsia" w:eastAsia="仿宋_GB2312"/>
          <w:color w:val="auto"/>
          <w:sz w:val="36"/>
          <w:szCs w:val="36"/>
          <w:u w:val="single"/>
          <w:lang w:val="en-US" w:eastAsia="zh-CN"/>
        </w:rPr>
        <w:t>2026</w:t>
      </w:r>
      <w:r>
        <w:rPr>
          <w:rFonts w:eastAsia="仿宋_GB2312"/>
          <w:color w:val="auto"/>
          <w:sz w:val="36"/>
          <w:szCs w:val="36"/>
          <w:u w:val="single"/>
        </w:rPr>
        <w:t>年</w:t>
      </w:r>
      <w:r>
        <w:rPr>
          <w:rFonts w:hint="eastAsia" w:eastAsia="仿宋_GB2312"/>
          <w:color w:val="auto"/>
          <w:sz w:val="36"/>
          <w:szCs w:val="36"/>
          <w:u w:val="single"/>
          <w:lang w:val="en-US" w:eastAsia="zh-CN"/>
        </w:rPr>
        <w:t>10</w:t>
      </w:r>
      <w:r>
        <w:rPr>
          <w:rFonts w:eastAsia="仿宋_GB2312"/>
          <w:color w:val="auto"/>
          <w:sz w:val="36"/>
          <w:szCs w:val="36"/>
          <w:u w:val="single"/>
        </w:rPr>
        <w:t>月</w:t>
      </w:r>
      <w:r>
        <w:rPr>
          <w:rFonts w:hint="eastAsia" w:eastAsia="仿宋_GB2312"/>
          <w:color w:val="auto"/>
          <w:sz w:val="36"/>
          <w:szCs w:val="36"/>
          <w:u w:val="single"/>
        </w:rPr>
        <w:t xml:space="preserve">                 </w:t>
      </w:r>
    </w:p>
    <w:p w14:paraId="085366F1">
      <w:pPr>
        <w:adjustRightInd w:val="0"/>
        <w:snapToGrid w:val="0"/>
        <w:spacing w:line="288" w:lineRule="auto"/>
        <w:ind w:firstLine="1040"/>
        <w:rPr>
          <w:rFonts w:eastAsia="仿宋_GB2312"/>
          <w:color w:val="auto"/>
          <w:sz w:val="36"/>
          <w:szCs w:val="36"/>
        </w:rPr>
      </w:pPr>
      <w:bookmarkStart w:id="0" w:name="_Hlk57884087"/>
    </w:p>
    <w:p w14:paraId="5EA144A8">
      <w:pPr>
        <w:adjustRightInd w:val="0"/>
        <w:snapToGrid w:val="0"/>
        <w:spacing w:line="288" w:lineRule="auto"/>
        <w:ind w:firstLine="1040"/>
        <w:rPr>
          <w:rFonts w:eastAsia="仿宋_GB2312"/>
          <w:color w:val="auto"/>
          <w:sz w:val="36"/>
          <w:szCs w:val="36"/>
        </w:rPr>
      </w:pPr>
    </w:p>
    <w:p w14:paraId="21D55208">
      <w:pPr>
        <w:adjustRightInd w:val="0"/>
        <w:snapToGrid w:val="0"/>
        <w:spacing w:line="288" w:lineRule="auto"/>
        <w:ind w:firstLine="1040"/>
        <w:rPr>
          <w:rFonts w:eastAsia="仿宋_GB2312"/>
          <w:color w:val="auto"/>
          <w:sz w:val="36"/>
          <w:szCs w:val="36"/>
        </w:rPr>
      </w:pPr>
    </w:p>
    <w:p w14:paraId="4127CC59">
      <w:pPr>
        <w:pStyle w:val="59"/>
        <w:ind w:firstLine="706"/>
        <w:jc w:val="both"/>
        <w:rPr>
          <w:rFonts w:hAnsi="Times New Roman" w:eastAsia="仿宋_GB2312"/>
          <w:color w:val="auto"/>
          <w:sz w:val="36"/>
          <w:szCs w:val="36"/>
        </w:rPr>
      </w:pPr>
    </w:p>
    <w:p w14:paraId="48FEBDA6">
      <w:pPr>
        <w:pStyle w:val="61"/>
        <w:ind w:firstLine="0"/>
        <w:rPr>
          <w:color w:val="auto"/>
        </w:rPr>
      </w:pPr>
    </w:p>
    <w:bookmarkEnd w:id="0"/>
    <w:p w14:paraId="1AC404B5">
      <w:pPr>
        <w:adjustRightInd w:val="0"/>
        <w:snapToGrid w:val="0"/>
        <w:spacing w:line="288" w:lineRule="auto"/>
        <w:jc w:val="center"/>
        <w:rPr>
          <w:rFonts w:eastAsia="仿宋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eastAsia="楷体_GB2312"/>
          <w:color w:val="auto"/>
          <w:sz w:val="36"/>
          <w:szCs w:val="36"/>
        </w:rPr>
        <w:t>中华人民共和国生态环境部制</w:t>
      </w:r>
    </w:p>
    <w:p w14:paraId="0ED69E89">
      <w:pPr>
        <w:pStyle w:val="28"/>
        <w:tabs>
          <w:tab w:val="right" w:leader="dot" w:pos="8306"/>
        </w:tabs>
        <w:spacing w:line="360" w:lineRule="auto"/>
        <w:jc w:val="center"/>
        <w:rPr>
          <w:b/>
          <w:color w:val="auto"/>
          <w:sz w:val="24"/>
        </w:rPr>
      </w:pPr>
      <w:r>
        <w:rPr>
          <w:b/>
          <w:color w:val="auto"/>
          <w:sz w:val="28"/>
          <w:szCs w:val="28"/>
        </w:rPr>
        <w:t>目录</w:t>
      </w:r>
    </w:p>
    <w:p w14:paraId="7D28B213">
      <w:pPr>
        <w:pStyle w:val="28"/>
        <w:tabs>
          <w:tab w:val="right" w:leader="dot" w:pos="8844"/>
        </w:tabs>
        <w:spacing w:line="360" w:lineRule="auto"/>
        <w:rPr>
          <w:color w:val="auto"/>
          <w:sz w:val="24"/>
        </w:rPr>
      </w:pPr>
      <w:r>
        <w:rPr>
          <w:b/>
          <w:color w:val="auto"/>
          <w:sz w:val="24"/>
        </w:rPr>
        <w:fldChar w:fldCharType="begin"/>
      </w:r>
      <w:r>
        <w:rPr>
          <w:b/>
          <w:color w:val="auto"/>
          <w:sz w:val="24"/>
        </w:rPr>
        <w:instrText xml:space="preserve">TOC \o "1-3" \h \u </w:instrText>
      </w:r>
      <w:r>
        <w:rPr>
          <w:b/>
          <w:color w:val="auto"/>
          <w:sz w:val="24"/>
        </w:rPr>
        <w:fldChar w:fldCharType="separate"/>
      </w:r>
      <w:r>
        <w:rPr>
          <w:color w:val="auto"/>
          <w:sz w:val="24"/>
        </w:rPr>
        <w:fldChar w:fldCharType="begin"/>
      </w:r>
      <w:r>
        <w:rPr>
          <w:color w:val="auto"/>
          <w:sz w:val="24"/>
        </w:rPr>
        <w:instrText xml:space="preserve"> HYPERLINK \l _Toc24895 </w:instrText>
      </w:r>
      <w:r>
        <w:rPr>
          <w:color w:val="auto"/>
          <w:sz w:val="24"/>
        </w:rPr>
        <w:fldChar w:fldCharType="separate"/>
      </w:r>
      <w:r>
        <w:rPr>
          <w:color w:val="auto"/>
          <w:sz w:val="24"/>
        </w:rPr>
        <w:t>一、建设项目基本情况</w:t>
      </w:r>
      <w:r>
        <w:rPr>
          <w:color w:val="auto"/>
          <w:sz w:val="24"/>
        </w:rPr>
        <w:tab/>
      </w:r>
      <w:r>
        <w:rPr>
          <w:color w:val="auto"/>
          <w:sz w:val="24"/>
        </w:rPr>
        <w:fldChar w:fldCharType="begin"/>
      </w:r>
      <w:r>
        <w:rPr>
          <w:color w:val="auto"/>
          <w:sz w:val="24"/>
        </w:rPr>
        <w:instrText xml:space="preserve"> PAGEREF _Toc24895 \h </w:instrText>
      </w:r>
      <w:r>
        <w:rPr>
          <w:color w:val="auto"/>
          <w:sz w:val="24"/>
        </w:rPr>
        <w:fldChar w:fldCharType="separate"/>
      </w:r>
      <w:r>
        <w:rPr>
          <w:color w:val="auto"/>
          <w:sz w:val="24"/>
        </w:rPr>
        <w:t>3</w:t>
      </w:r>
      <w:r>
        <w:rPr>
          <w:color w:val="auto"/>
          <w:sz w:val="24"/>
        </w:rPr>
        <w:fldChar w:fldCharType="end"/>
      </w:r>
      <w:r>
        <w:rPr>
          <w:color w:val="auto"/>
          <w:sz w:val="24"/>
        </w:rPr>
        <w:fldChar w:fldCharType="end"/>
      </w:r>
    </w:p>
    <w:p w14:paraId="6B1E0FD0">
      <w:pPr>
        <w:pStyle w:val="28"/>
        <w:tabs>
          <w:tab w:val="right" w:leader="dot" w:pos="8844"/>
        </w:tabs>
        <w:spacing w:line="360" w:lineRule="auto"/>
        <w:rPr>
          <w:color w:val="auto"/>
          <w:sz w:val="24"/>
        </w:rPr>
      </w:pPr>
      <w:r>
        <w:rPr>
          <w:color w:val="auto"/>
          <w:sz w:val="24"/>
        </w:rPr>
        <w:fldChar w:fldCharType="begin"/>
      </w:r>
      <w:r>
        <w:rPr>
          <w:color w:val="auto"/>
          <w:sz w:val="24"/>
        </w:rPr>
        <w:instrText xml:space="preserve"> HYPERLINK \l _Toc2839 </w:instrText>
      </w:r>
      <w:r>
        <w:rPr>
          <w:color w:val="auto"/>
          <w:sz w:val="24"/>
        </w:rPr>
        <w:fldChar w:fldCharType="separate"/>
      </w:r>
      <w:r>
        <w:rPr>
          <w:color w:val="auto"/>
          <w:sz w:val="24"/>
        </w:rPr>
        <w:t>二、建设项目工程分析</w:t>
      </w:r>
      <w:r>
        <w:rPr>
          <w:color w:val="auto"/>
          <w:sz w:val="24"/>
        </w:rPr>
        <w:tab/>
      </w:r>
      <w:r>
        <w:rPr>
          <w:color w:val="auto"/>
          <w:sz w:val="24"/>
        </w:rPr>
        <w:fldChar w:fldCharType="begin"/>
      </w:r>
      <w:r>
        <w:rPr>
          <w:color w:val="auto"/>
          <w:sz w:val="24"/>
        </w:rPr>
        <w:instrText xml:space="preserve"> PAGEREF _Toc2839 \h </w:instrText>
      </w:r>
      <w:r>
        <w:rPr>
          <w:color w:val="auto"/>
          <w:sz w:val="24"/>
        </w:rPr>
        <w:fldChar w:fldCharType="separate"/>
      </w:r>
      <w:r>
        <w:rPr>
          <w:color w:val="auto"/>
          <w:sz w:val="24"/>
        </w:rPr>
        <w:t>53</w:t>
      </w:r>
      <w:r>
        <w:rPr>
          <w:color w:val="auto"/>
          <w:sz w:val="24"/>
        </w:rPr>
        <w:fldChar w:fldCharType="end"/>
      </w:r>
      <w:r>
        <w:rPr>
          <w:color w:val="auto"/>
          <w:sz w:val="24"/>
        </w:rPr>
        <w:fldChar w:fldCharType="end"/>
      </w:r>
    </w:p>
    <w:p w14:paraId="6D9A287F">
      <w:pPr>
        <w:pStyle w:val="28"/>
        <w:tabs>
          <w:tab w:val="right" w:leader="dot" w:pos="8844"/>
        </w:tabs>
        <w:spacing w:line="360" w:lineRule="auto"/>
        <w:rPr>
          <w:color w:val="auto"/>
          <w:sz w:val="24"/>
        </w:rPr>
      </w:pPr>
      <w:r>
        <w:rPr>
          <w:color w:val="auto"/>
          <w:sz w:val="24"/>
        </w:rPr>
        <w:fldChar w:fldCharType="begin"/>
      </w:r>
      <w:r>
        <w:rPr>
          <w:color w:val="auto"/>
          <w:sz w:val="24"/>
        </w:rPr>
        <w:instrText xml:space="preserve"> HYPERLINK \l _Toc19962 </w:instrText>
      </w:r>
      <w:r>
        <w:rPr>
          <w:color w:val="auto"/>
          <w:sz w:val="24"/>
        </w:rPr>
        <w:fldChar w:fldCharType="separate"/>
      </w:r>
      <w:r>
        <w:rPr>
          <w:color w:val="auto"/>
          <w:sz w:val="24"/>
        </w:rPr>
        <w:t>三、区域环境质量现状、环境保护目标及评价标准</w:t>
      </w:r>
      <w:r>
        <w:rPr>
          <w:color w:val="auto"/>
          <w:sz w:val="24"/>
        </w:rPr>
        <w:tab/>
      </w:r>
      <w:r>
        <w:rPr>
          <w:color w:val="auto"/>
          <w:sz w:val="24"/>
        </w:rPr>
        <w:fldChar w:fldCharType="begin"/>
      </w:r>
      <w:r>
        <w:rPr>
          <w:color w:val="auto"/>
          <w:sz w:val="24"/>
        </w:rPr>
        <w:instrText xml:space="preserve"> PAGEREF _Toc19962 \h </w:instrText>
      </w:r>
      <w:r>
        <w:rPr>
          <w:color w:val="auto"/>
          <w:sz w:val="24"/>
        </w:rPr>
        <w:fldChar w:fldCharType="separate"/>
      </w:r>
      <w:r>
        <w:rPr>
          <w:color w:val="auto"/>
          <w:sz w:val="24"/>
        </w:rPr>
        <w:t>70</w:t>
      </w:r>
      <w:r>
        <w:rPr>
          <w:color w:val="auto"/>
          <w:sz w:val="24"/>
        </w:rPr>
        <w:fldChar w:fldCharType="end"/>
      </w:r>
      <w:r>
        <w:rPr>
          <w:color w:val="auto"/>
          <w:sz w:val="24"/>
        </w:rPr>
        <w:fldChar w:fldCharType="end"/>
      </w:r>
    </w:p>
    <w:p w14:paraId="4832FF24">
      <w:pPr>
        <w:pStyle w:val="28"/>
        <w:tabs>
          <w:tab w:val="right" w:leader="dot" w:pos="8844"/>
        </w:tabs>
        <w:spacing w:line="360" w:lineRule="auto"/>
        <w:rPr>
          <w:color w:val="auto"/>
          <w:sz w:val="24"/>
        </w:rPr>
      </w:pPr>
      <w:r>
        <w:rPr>
          <w:color w:val="auto"/>
          <w:sz w:val="24"/>
        </w:rPr>
        <w:fldChar w:fldCharType="begin"/>
      </w:r>
      <w:r>
        <w:rPr>
          <w:color w:val="auto"/>
          <w:sz w:val="24"/>
        </w:rPr>
        <w:instrText xml:space="preserve"> HYPERLINK \l _Toc19003 </w:instrText>
      </w:r>
      <w:r>
        <w:rPr>
          <w:color w:val="auto"/>
          <w:sz w:val="24"/>
        </w:rPr>
        <w:fldChar w:fldCharType="separate"/>
      </w:r>
      <w:r>
        <w:rPr>
          <w:color w:val="auto"/>
          <w:sz w:val="24"/>
        </w:rPr>
        <w:t>四、主要环境影响和保护措施</w:t>
      </w:r>
      <w:r>
        <w:rPr>
          <w:color w:val="auto"/>
          <w:sz w:val="24"/>
        </w:rPr>
        <w:tab/>
      </w:r>
      <w:r>
        <w:rPr>
          <w:color w:val="auto"/>
          <w:sz w:val="24"/>
        </w:rPr>
        <w:fldChar w:fldCharType="begin"/>
      </w:r>
      <w:r>
        <w:rPr>
          <w:color w:val="auto"/>
          <w:sz w:val="24"/>
        </w:rPr>
        <w:instrText xml:space="preserve"> PAGEREF _Toc19003 \h </w:instrText>
      </w:r>
      <w:r>
        <w:rPr>
          <w:color w:val="auto"/>
          <w:sz w:val="24"/>
        </w:rPr>
        <w:fldChar w:fldCharType="separate"/>
      </w:r>
      <w:r>
        <w:rPr>
          <w:color w:val="auto"/>
          <w:sz w:val="24"/>
        </w:rPr>
        <w:t>79</w:t>
      </w:r>
      <w:r>
        <w:rPr>
          <w:color w:val="auto"/>
          <w:sz w:val="24"/>
        </w:rPr>
        <w:fldChar w:fldCharType="end"/>
      </w:r>
      <w:r>
        <w:rPr>
          <w:color w:val="auto"/>
          <w:sz w:val="24"/>
        </w:rPr>
        <w:fldChar w:fldCharType="end"/>
      </w:r>
    </w:p>
    <w:p w14:paraId="726AD44D">
      <w:pPr>
        <w:pStyle w:val="28"/>
        <w:tabs>
          <w:tab w:val="right" w:leader="dot" w:pos="8844"/>
        </w:tabs>
        <w:spacing w:line="360" w:lineRule="auto"/>
        <w:rPr>
          <w:color w:val="auto"/>
          <w:sz w:val="24"/>
        </w:rPr>
      </w:pPr>
      <w:r>
        <w:rPr>
          <w:color w:val="auto"/>
          <w:sz w:val="24"/>
        </w:rPr>
        <w:fldChar w:fldCharType="begin"/>
      </w:r>
      <w:r>
        <w:rPr>
          <w:color w:val="auto"/>
          <w:sz w:val="24"/>
        </w:rPr>
        <w:instrText xml:space="preserve"> HYPERLINK \l _Toc25968 </w:instrText>
      </w:r>
      <w:r>
        <w:rPr>
          <w:color w:val="auto"/>
          <w:sz w:val="24"/>
        </w:rPr>
        <w:fldChar w:fldCharType="separate"/>
      </w:r>
      <w:r>
        <w:rPr>
          <w:color w:val="auto"/>
          <w:sz w:val="24"/>
        </w:rPr>
        <w:t>五、环境保护措施监督检查清单</w:t>
      </w:r>
      <w:r>
        <w:rPr>
          <w:color w:val="auto"/>
          <w:sz w:val="24"/>
        </w:rPr>
        <w:tab/>
      </w:r>
      <w:r>
        <w:rPr>
          <w:color w:val="auto"/>
          <w:sz w:val="24"/>
        </w:rPr>
        <w:fldChar w:fldCharType="begin"/>
      </w:r>
      <w:r>
        <w:rPr>
          <w:color w:val="auto"/>
          <w:sz w:val="24"/>
        </w:rPr>
        <w:instrText xml:space="preserve"> PAGEREF _Toc25968 \h </w:instrText>
      </w:r>
      <w:r>
        <w:rPr>
          <w:color w:val="auto"/>
          <w:sz w:val="24"/>
        </w:rPr>
        <w:fldChar w:fldCharType="separate"/>
      </w:r>
      <w:r>
        <w:rPr>
          <w:color w:val="auto"/>
          <w:sz w:val="24"/>
        </w:rPr>
        <w:t>120</w:t>
      </w:r>
      <w:r>
        <w:rPr>
          <w:color w:val="auto"/>
          <w:sz w:val="24"/>
        </w:rPr>
        <w:fldChar w:fldCharType="end"/>
      </w:r>
      <w:r>
        <w:rPr>
          <w:color w:val="auto"/>
          <w:sz w:val="24"/>
        </w:rPr>
        <w:fldChar w:fldCharType="end"/>
      </w:r>
    </w:p>
    <w:p w14:paraId="11945EAA">
      <w:pPr>
        <w:pStyle w:val="28"/>
        <w:tabs>
          <w:tab w:val="right" w:leader="dot" w:pos="8844"/>
        </w:tabs>
        <w:spacing w:line="360" w:lineRule="auto"/>
        <w:rPr>
          <w:color w:val="auto"/>
          <w:sz w:val="24"/>
        </w:rPr>
      </w:pPr>
      <w:r>
        <w:rPr>
          <w:color w:val="auto"/>
          <w:sz w:val="24"/>
        </w:rPr>
        <w:fldChar w:fldCharType="begin"/>
      </w:r>
      <w:r>
        <w:rPr>
          <w:color w:val="auto"/>
          <w:sz w:val="24"/>
        </w:rPr>
        <w:instrText xml:space="preserve"> HYPERLINK \l _Toc2006 </w:instrText>
      </w:r>
      <w:r>
        <w:rPr>
          <w:color w:val="auto"/>
          <w:sz w:val="24"/>
        </w:rPr>
        <w:fldChar w:fldCharType="separate"/>
      </w:r>
      <w:r>
        <w:rPr>
          <w:bCs/>
          <w:color w:val="auto"/>
          <w:kern w:val="44"/>
          <w:sz w:val="24"/>
        </w:rPr>
        <w:t>六、结论</w:t>
      </w:r>
      <w:r>
        <w:rPr>
          <w:color w:val="auto"/>
          <w:sz w:val="24"/>
        </w:rPr>
        <w:tab/>
      </w:r>
      <w:r>
        <w:rPr>
          <w:color w:val="auto"/>
          <w:sz w:val="24"/>
        </w:rPr>
        <w:fldChar w:fldCharType="begin"/>
      </w:r>
      <w:r>
        <w:rPr>
          <w:color w:val="auto"/>
          <w:sz w:val="24"/>
        </w:rPr>
        <w:instrText xml:space="preserve"> PAGEREF _Toc2006 \h </w:instrText>
      </w:r>
      <w:r>
        <w:rPr>
          <w:color w:val="auto"/>
          <w:sz w:val="24"/>
        </w:rPr>
        <w:fldChar w:fldCharType="separate"/>
      </w:r>
      <w:r>
        <w:rPr>
          <w:color w:val="auto"/>
          <w:sz w:val="24"/>
        </w:rPr>
        <w:t>122</w:t>
      </w:r>
      <w:r>
        <w:rPr>
          <w:color w:val="auto"/>
          <w:sz w:val="24"/>
        </w:rPr>
        <w:fldChar w:fldCharType="end"/>
      </w:r>
      <w:r>
        <w:rPr>
          <w:color w:val="auto"/>
          <w:sz w:val="24"/>
        </w:rPr>
        <w:fldChar w:fldCharType="end"/>
      </w:r>
    </w:p>
    <w:p w14:paraId="172B0CB1">
      <w:pPr>
        <w:spacing w:line="360" w:lineRule="auto"/>
        <w:jc w:val="left"/>
        <w:rPr>
          <w:color w:val="auto"/>
          <w:sz w:val="24"/>
        </w:rPr>
      </w:pPr>
      <w:r>
        <w:rPr>
          <w:color w:val="auto"/>
          <w:sz w:val="24"/>
        </w:rPr>
        <w:fldChar w:fldCharType="end"/>
      </w:r>
    </w:p>
    <w:p w14:paraId="43AE6FF6">
      <w:pPr>
        <w:spacing w:line="360" w:lineRule="auto"/>
        <w:jc w:val="left"/>
        <w:rPr>
          <w:color w:val="auto"/>
          <w:sz w:val="24"/>
        </w:rPr>
      </w:pPr>
    </w:p>
    <w:p w14:paraId="11B6B541">
      <w:pPr>
        <w:spacing w:line="360" w:lineRule="auto"/>
        <w:jc w:val="left"/>
        <w:rPr>
          <w:color w:val="auto"/>
          <w:sz w:val="24"/>
        </w:rPr>
      </w:pPr>
    </w:p>
    <w:p w14:paraId="1BE1FFB2">
      <w:pPr>
        <w:spacing w:line="360" w:lineRule="auto"/>
        <w:jc w:val="left"/>
        <w:rPr>
          <w:color w:val="auto"/>
          <w:sz w:val="24"/>
        </w:rPr>
      </w:pPr>
    </w:p>
    <w:p w14:paraId="0EC771E4">
      <w:pPr>
        <w:spacing w:line="360" w:lineRule="auto"/>
        <w:jc w:val="left"/>
        <w:rPr>
          <w:color w:val="auto"/>
          <w:sz w:val="24"/>
        </w:rPr>
      </w:pPr>
    </w:p>
    <w:p w14:paraId="5F7353B3">
      <w:pPr>
        <w:spacing w:line="360" w:lineRule="auto"/>
        <w:jc w:val="left"/>
        <w:rPr>
          <w:color w:val="auto"/>
          <w:sz w:val="24"/>
        </w:rPr>
      </w:pPr>
    </w:p>
    <w:p w14:paraId="65D4EC19">
      <w:pPr>
        <w:spacing w:line="360" w:lineRule="auto"/>
        <w:jc w:val="left"/>
        <w:rPr>
          <w:color w:val="auto"/>
          <w:sz w:val="24"/>
        </w:rPr>
      </w:pPr>
    </w:p>
    <w:p w14:paraId="0C3741E1">
      <w:pPr>
        <w:spacing w:line="360" w:lineRule="auto"/>
        <w:jc w:val="left"/>
        <w:rPr>
          <w:color w:val="auto"/>
          <w:sz w:val="24"/>
        </w:rPr>
      </w:pPr>
    </w:p>
    <w:p w14:paraId="20630E21">
      <w:pPr>
        <w:spacing w:line="360" w:lineRule="auto"/>
        <w:jc w:val="left"/>
        <w:rPr>
          <w:color w:val="auto"/>
          <w:sz w:val="24"/>
        </w:rPr>
      </w:pPr>
    </w:p>
    <w:p w14:paraId="78B1D1F5">
      <w:pPr>
        <w:spacing w:line="360" w:lineRule="auto"/>
        <w:jc w:val="left"/>
        <w:rPr>
          <w:color w:val="auto"/>
          <w:sz w:val="24"/>
        </w:rPr>
      </w:pPr>
    </w:p>
    <w:p w14:paraId="1E7EBB76">
      <w:pPr>
        <w:spacing w:line="360" w:lineRule="auto"/>
        <w:jc w:val="left"/>
        <w:rPr>
          <w:color w:val="auto"/>
          <w:sz w:val="24"/>
        </w:rPr>
      </w:pPr>
    </w:p>
    <w:p w14:paraId="71E2B174">
      <w:pPr>
        <w:spacing w:line="360" w:lineRule="auto"/>
        <w:jc w:val="left"/>
        <w:rPr>
          <w:color w:val="auto"/>
          <w:sz w:val="24"/>
        </w:rPr>
      </w:pPr>
    </w:p>
    <w:p w14:paraId="7F6106DB">
      <w:pPr>
        <w:spacing w:line="360" w:lineRule="auto"/>
        <w:jc w:val="left"/>
        <w:rPr>
          <w:color w:val="auto"/>
          <w:sz w:val="24"/>
        </w:rPr>
      </w:pPr>
    </w:p>
    <w:p w14:paraId="32EA028A">
      <w:pPr>
        <w:spacing w:line="360" w:lineRule="auto"/>
        <w:jc w:val="left"/>
        <w:rPr>
          <w:color w:val="auto"/>
          <w:sz w:val="24"/>
        </w:rPr>
      </w:pPr>
    </w:p>
    <w:p w14:paraId="01E9E72B">
      <w:pPr>
        <w:spacing w:line="360" w:lineRule="auto"/>
        <w:jc w:val="left"/>
        <w:rPr>
          <w:color w:val="auto"/>
          <w:sz w:val="24"/>
        </w:rPr>
      </w:pPr>
    </w:p>
    <w:p w14:paraId="2A722629">
      <w:pPr>
        <w:spacing w:line="360" w:lineRule="auto"/>
        <w:jc w:val="left"/>
        <w:rPr>
          <w:color w:val="auto"/>
          <w:sz w:val="24"/>
        </w:rPr>
      </w:pPr>
    </w:p>
    <w:p w14:paraId="12A7AB13">
      <w:pPr>
        <w:spacing w:line="360" w:lineRule="auto"/>
        <w:jc w:val="left"/>
        <w:rPr>
          <w:color w:val="auto"/>
          <w:sz w:val="24"/>
        </w:rPr>
      </w:pPr>
    </w:p>
    <w:p w14:paraId="38A01788">
      <w:pPr>
        <w:spacing w:line="360" w:lineRule="auto"/>
        <w:jc w:val="left"/>
        <w:rPr>
          <w:color w:val="auto"/>
          <w:sz w:val="24"/>
        </w:rPr>
      </w:pPr>
    </w:p>
    <w:p w14:paraId="68CEC11C">
      <w:pPr>
        <w:spacing w:line="360" w:lineRule="auto"/>
        <w:jc w:val="left"/>
        <w:rPr>
          <w:color w:val="auto"/>
          <w:sz w:val="24"/>
        </w:rPr>
      </w:pPr>
    </w:p>
    <w:p w14:paraId="6A5C274C">
      <w:pPr>
        <w:spacing w:line="360" w:lineRule="auto"/>
        <w:jc w:val="left"/>
        <w:rPr>
          <w:color w:val="auto"/>
          <w:sz w:val="24"/>
        </w:rPr>
      </w:pPr>
    </w:p>
    <w:p w14:paraId="771F88DF">
      <w:pPr>
        <w:spacing w:line="360" w:lineRule="auto"/>
        <w:jc w:val="left"/>
        <w:rPr>
          <w:color w:val="auto"/>
          <w:sz w:val="24"/>
        </w:rPr>
      </w:pPr>
    </w:p>
    <w:p w14:paraId="1F85E4AF">
      <w:pPr>
        <w:spacing w:line="360" w:lineRule="auto"/>
        <w:jc w:val="left"/>
        <w:rPr>
          <w:color w:val="auto"/>
          <w:sz w:val="24"/>
        </w:rPr>
      </w:pPr>
    </w:p>
    <w:p w14:paraId="46CB93D8">
      <w:pPr>
        <w:spacing w:line="360" w:lineRule="auto"/>
        <w:jc w:val="left"/>
        <w:rPr>
          <w:color w:val="auto"/>
          <w:sz w:val="24"/>
        </w:rPr>
      </w:pPr>
    </w:p>
    <w:p w14:paraId="1235484A">
      <w:pPr>
        <w:spacing w:line="360" w:lineRule="auto"/>
        <w:jc w:val="left"/>
        <w:rPr>
          <w:color w:val="auto"/>
          <w:sz w:val="24"/>
        </w:rPr>
      </w:pPr>
    </w:p>
    <w:p w14:paraId="05C48C6D">
      <w:pPr>
        <w:spacing w:line="360" w:lineRule="auto"/>
        <w:jc w:val="left"/>
        <w:rPr>
          <w:b/>
          <w:bCs/>
          <w:color w:val="auto"/>
          <w:sz w:val="24"/>
        </w:rPr>
      </w:pPr>
      <w:r>
        <w:rPr>
          <w:b/>
          <w:bCs/>
          <w:color w:val="auto"/>
          <w:sz w:val="24"/>
        </w:rPr>
        <w:t>附件：</w:t>
      </w:r>
    </w:p>
    <w:p w14:paraId="6C0B3E9B">
      <w:pPr>
        <w:spacing w:line="360" w:lineRule="auto"/>
        <w:ind w:left="960" w:hanging="960" w:hangingChars="400"/>
        <w:rPr>
          <w:rFonts w:hint="eastAsia" w:eastAsia="宋体"/>
          <w:color w:val="auto"/>
          <w:sz w:val="24"/>
          <w:lang w:val="en-US" w:eastAsia="zh-CN"/>
        </w:rPr>
      </w:pPr>
      <w:r>
        <w:rPr>
          <w:rFonts w:hint="eastAsia"/>
          <w:color w:val="auto"/>
          <w:sz w:val="24"/>
        </w:rPr>
        <w:t>附件</w:t>
      </w:r>
      <w:r>
        <w:rPr>
          <w:rFonts w:hint="eastAsia"/>
          <w:color w:val="auto"/>
          <w:sz w:val="24"/>
          <w:lang w:val="en-US" w:eastAsia="zh-CN"/>
        </w:rPr>
        <w:t>1</w:t>
      </w:r>
      <w:r>
        <w:rPr>
          <w:rFonts w:hint="eastAsia"/>
          <w:color w:val="auto"/>
          <w:sz w:val="24"/>
        </w:rPr>
        <w:t xml:space="preserve"> </w:t>
      </w:r>
      <w:r>
        <w:rPr>
          <w:rFonts w:hint="eastAsia"/>
          <w:color w:val="auto"/>
          <w:sz w:val="24"/>
          <w:lang w:val="en-US" w:eastAsia="zh-CN"/>
        </w:rPr>
        <w:t>委托书</w:t>
      </w:r>
    </w:p>
    <w:p w14:paraId="2B4885C9">
      <w:pPr>
        <w:spacing w:line="360" w:lineRule="auto"/>
        <w:ind w:left="960" w:hanging="960" w:hangingChars="400"/>
        <w:rPr>
          <w:color w:val="auto"/>
          <w:sz w:val="24"/>
        </w:rPr>
      </w:pPr>
      <w:r>
        <w:rPr>
          <w:rFonts w:hint="eastAsia"/>
          <w:color w:val="auto"/>
          <w:sz w:val="24"/>
          <w:lang w:val="en-US" w:eastAsia="zh-CN"/>
        </w:rPr>
        <w:t xml:space="preserve">附件2 </w:t>
      </w:r>
      <w:r>
        <w:rPr>
          <w:rFonts w:hint="eastAsia"/>
          <w:color w:val="auto"/>
          <w:sz w:val="24"/>
        </w:rPr>
        <w:t>建设单位营业执照</w:t>
      </w:r>
    </w:p>
    <w:p w14:paraId="3417CB36">
      <w:pPr>
        <w:spacing w:line="360" w:lineRule="auto"/>
        <w:ind w:left="960" w:hanging="960" w:hangingChars="400"/>
        <w:rPr>
          <w:rFonts w:hint="eastAsia"/>
          <w:color w:val="auto"/>
          <w:sz w:val="24"/>
          <w:highlight w:val="none"/>
        </w:rPr>
      </w:pPr>
      <w:r>
        <w:rPr>
          <w:rFonts w:hint="eastAsia"/>
          <w:color w:val="auto"/>
          <w:sz w:val="24"/>
          <w:highlight w:val="none"/>
        </w:rPr>
        <w:t>附件3 法人身份证</w:t>
      </w:r>
    </w:p>
    <w:p w14:paraId="519127DC">
      <w:pPr>
        <w:spacing w:line="360" w:lineRule="auto"/>
        <w:ind w:left="960" w:hanging="960" w:hangingChars="400"/>
        <w:rPr>
          <w:rFonts w:hint="eastAsia"/>
          <w:color w:val="auto"/>
          <w:sz w:val="24"/>
          <w:highlight w:val="none"/>
        </w:rPr>
      </w:pPr>
      <w:r>
        <w:rPr>
          <w:rFonts w:hint="eastAsia"/>
          <w:color w:val="auto"/>
          <w:sz w:val="24"/>
          <w:highlight w:val="none"/>
        </w:rPr>
        <w:t>附件</w:t>
      </w:r>
      <w:r>
        <w:rPr>
          <w:rFonts w:hint="eastAsia"/>
          <w:color w:val="auto"/>
          <w:sz w:val="24"/>
          <w:highlight w:val="none"/>
          <w:lang w:val="en-US" w:eastAsia="zh-CN"/>
        </w:rPr>
        <w:t>4</w:t>
      </w:r>
      <w:r>
        <w:rPr>
          <w:rFonts w:hint="eastAsia"/>
          <w:color w:val="auto"/>
          <w:sz w:val="24"/>
          <w:highlight w:val="none"/>
        </w:rPr>
        <w:t xml:space="preserve"> </w:t>
      </w:r>
      <w:r>
        <w:rPr>
          <w:rFonts w:hint="eastAsia"/>
          <w:color w:val="auto"/>
          <w:sz w:val="24"/>
          <w:highlight w:val="none"/>
          <w:lang w:val="en-US" w:eastAsia="zh-CN"/>
        </w:rPr>
        <w:t>厂房租赁协议</w:t>
      </w:r>
    </w:p>
    <w:p w14:paraId="1C24269C">
      <w:pPr>
        <w:spacing w:line="360" w:lineRule="auto"/>
        <w:ind w:left="960" w:hanging="960" w:hangingChars="400"/>
        <w:rPr>
          <w:rFonts w:hint="default" w:eastAsia="宋体"/>
          <w:color w:val="auto"/>
          <w:sz w:val="24"/>
          <w:highlight w:val="none"/>
          <w:lang w:val="en-US" w:eastAsia="zh-CN"/>
        </w:rPr>
      </w:pPr>
      <w:r>
        <w:rPr>
          <w:rFonts w:hint="eastAsia"/>
          <w:color w:val="auto"/>
          <w:sz w:val="24"/>
          <w:highlight w:val="none"/>
        </w:rPr>
        <w:t>附件</w:t>
      </w:r>
      <w:r>
        <w:rPr>
          <w:rFonts w:hint="eastAsia"/>
          <w:color w:val="auto"/>
          <w:sz w:val="24"/>
          <w:highlight w:val="none"/>
          <w:lang w:val="en-US" w:eastAsia="zh-CN"/>
        </w:rPr>
        <w:t>5</w:t>
      </w:r>
      <w:r>
        <w:rPr>
          <w:rFonts w:hint="eastAsia"/>
          <w:color w:val="auto"/>
          <w:sz w:val="24"/>
          <w:highlight w:val="none"/>
        </w:rPr>
        <w:t xml:space="preserve"> </w:t>
      </w:r>
      <w:r>
        <w:rPr>
          <w:rFonts w:hint="eastAsia"/>
          <w:color w:val="auto"/>
          <w:sz w:val="24"/>
          <w:highlight w:val="none"/>
          <w:lang w:val="en-US" w:eastAsia="zh-CN"/>
        </w:rPr>
        <w:t>项目投资备案证</w:t>
      </w:r>
    </w:p>
    <w:p w14:paraId="3D7E42A8">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附件6 入园同意书</w:t>
      </w:r>
    </w:p>
    <w:p w14:paraId="7EDE24B9">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附件7 厂房原项目环评批复</w:t>
      </w:r>
    </w:p>
    <w:p w14:paraId="0D02A220">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附件8 厂房原项目验收意见及验收组名单</w:t>
      </w:r>
    </w:p>
    <w:p w14:paraId="37E4DE9E">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附件9 依托污水处理站出水数据（云南鹏达冠得家具有限公司环保验收监测报告）</w:t>
      </w:r>
    </w:p>
    <w:p w14:paraId="5DA903E3">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附件10 引用大气现状监测报告</w:t>
      </w:r>
    </w:p>
    <w:p w14:paraId="13F6939D">
      <w:pPr>
        <w:spacing w:line="360" w:lineRule="auto"/>
        <w:ind w:left="960" w:hanging="960" w:hangingChars="400"/>
        <w:rPr>
          <w:rFonts w:hint="default"/>
          <w:color w:val="auto"/>
          <w:sz w:val="24"/>
          <w:highlight w:val="none"/>
          <w:lang w:val="en-US" w:eastAsia="zh-CN"/>
        </w:rPr>
      </w:pPr>
      <w:r>
        <w:rPr>
          <w:rFonts w:hint="eastAsia"/>
          <w:color w:val="auto"/>
          <w:sz w:val="24"/>
          <w:highlight w:val="none"/>
          <w:lang w:val="en-US" w:eastAsia="zh-CN"/>
        </w:rPr>
        <w:t>附件11 臭气浓度类比监测数据（寻甸县蜀滇塑料制品经营部蔬菜框生产项目竣工环境保护验收环境监测）</w:t>
      </w:r>
    </w:p>
    <w:p w14:paraId="4DE61AAE">
      <w:pPr>
        <w:spacing w:line="360" w:lineRule="auto"/>
        <w:ind w:left="960" w:hanging="960" w:hangingChars="400"/>
        <w:rPr>
          <w:rFonts w:hint="default"/>
          <w:color w:val="auto"/>
          <w:sz w:val="24"/>
          <w:highlight w:val="none"/>
          <w:lang w:val="en-US" w:eastAsia="zh-CN"/>
        </w:rPr>
      </w:pPr>
      <w:r>
        <w:rPr>
          <w:rFonts w:hint="eastAsia"/>
          <w:color w:val="auto"/>
          <w:sz w:val="24"/>
          <w:highlight w:val="none"/>
          <w:lang w:val="en-US" w:eastAsia="zh-CN"/>
        </w:rPr>
        <w:t>附件12 项目生态环境管控单元查询结果</w:t>
      </w:r>
    </w:p>
    <w:p w14:paraId="6293BD70">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附件13 园区规划环评审查意见（昆环审〔2023〕5号）</w:t>
      </w:r>
    </w:p>
    <w:p w14:paraId="6D65337E">
      <w:pPr>
        <w:spacing w:line="360" w:lineRule="auto"/>
        <w:ind w:left="960" w:hanging="960" w:hangingChars="400"/>
        <w:rPr>
          <w:rFonts w:hint="default"/>
          <w:color w:val="auto"/>
          <w:sz w:val="24"/>
          <w:highlight w:val="yellow"/>
          <w:lang w:val="en-US" w:eastAsia="zh-CN"/>
        </w:rPr>
      </w:pPr>
      <w:r>
        <w:rPr>
          <w:rFonts w:hint="eastAsia"/>
          <w:color w:val="auto"/>
          <w:sz w:val="24"/>
          <w:highlight w:val="none"/>
          <w:lang w:val="en-US" w:eastAsia="zh-CN"/>
        </w:rPr>
        <w:t>附件14 昆明市生态环境局行政处罚决定书（昆生环罚〔2026〕11-22号）</w:t>
      </w:r>
    </w:p>
    <w:p w14:paraId="22C25AC8">
      <w:pPr>
        <w:spacing w:line="360" w:lineRule="auto"/>
        <w:ind w:left="960" w:hanging="960" w:hangingChars="400"/>
        <w:rPr>
          <w:rFonts w:hint="eastAsia"/>
          <w:color w:val="auto"/>
          <w:sz w:val="24"/>
          <w:highlight w:val="none"/>
          <w:lang w:val="en-US" w:eastAsia="zh-CN"/>
        </w:rPr>
      </w:pPr>
      <w:r>
        <w:rPr>
          <w:rFonts w:hint="eastAsia"/>
          <w:color w:val="auto"/>
          <w:sz w:val="24"/>
          <w:highlight w:val="none"/>
          <w:lang w:val="en-US" w:eastAsia="zh-CN"/>
        </w:rPr>
        <w:t>附件15 环评技术咨询合同</w:t>
      </w:r>
    </w:p>
    <w:p w14:paraId="3B12E010">
      <w:pPr>
        <w:spacing w:line="360" w:lineRule="auto"/>
        <w:ind w:left="960" w:hanging="960" w:hangingChars="400"/>
        <w:rPr>
          <w:rFonts w:hint="default"/>
          <w:color w:val="auto"/>
          <w:sz w:val="24"/>
          <w:highlight w:val="none"/>
          <w:lang w:val="en-US" w:eastAsia="zh-CN"/>
        </w:rPr>
      </w:pPr>
      <w:r>
        <w:rPr>
          <w:rFonts w:hint="eastAsia"/>
          <w:color w:val="auto"/>
          <w:sz w:val="24"/>
          <w:highlight w:val="none"/>
          <w:lang w:val="en-US" w:eastAsia="zh-CN"/>
        </w:rPr>
        <w:t>附件16 进度表及内部审核表</w:t>
      </w:r>
    </w:p>
    <w:p w14:paraId="78ED4E22">
      <w:pPr>
        <w:spacing w:line="360" w:lineRule="auto"/>
        <w:rPr>
          <w:b/>
          <w:color w:val="auto"/>
          <w:sz w:val="24"/>
        </w:rPr>
      </w:pPr>
    </w:p>
    <w:p w14:paraId="1693B8D4">
      <w:pPr>
        <w:spacing w:line="360" w:lineRule="auto"/>
        <w:rPr>
          <w:b/>
          <w:color w:val="auto"/>
          <w:sz w:val="24"/>
        </w:rPr>
      </w:pPr>
      <w:r>
        <w:rPr>
          <w:b/>
          <w:color w:val="auto"/>
          <w:sz w:val="24"/>
        </w:rPr>
        <w:t>附图：</w:t>
      </w:r>
    </w:p>
    <w:p w14:paraId="27B6EA6F">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附图1 项目地理位置图</w:t>
      </w:r>
    </w:p>
    <w:p w14:paraId="6A459057">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附图2 项目区域水系图</w:t>
      </w:r>
    </w:p>
    <w:p w14:paraId="1A27DE27">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附图3</w:t>
      </w:r>
      <w:r>
        <w:rPr>
          <w:rFonts w:hint="default" w:ascii="Times New Roman" w:hAnsi="Times New Roman" w:eastAsia="宋体" w:cs="Times New Roman"/>
          <w:color w:val="auto"/>
          <w:sz w:val="24"/>
          <w:highlight w:val="none"/>
          <w:lang w:val="en-US" w:eastAsia="zh-CN"/>
        </w:rPr>
        <w:t xml:space="preserve"> </w:t>
      </w:r>
      <w:r>
        <w:rPr>
          <w:rFonts w:hint="eastAsia" w:ascii="Times New Roman" w:hAnsi="Times New Roman" w:eastAsia="宋体" w:cs="Times New Roman"/>
          <w:color w:val="auto"/>
          <w:sz w:val="24"/>
          <w:highlight w:val="none"/>
          <w:lang w:val="en-US" w:eastAsia="zh-CN"/>
        </w:rPr>
        <w:t xml:space="preserve">项目周边 </w:t>
      </w:r>
      <w:r>
        <w:rPr>
          <w:rFonts w:hint="default" w:ascii="Times New Roman" w:hAnsi="Times New Roman" w:eastAsia="宋体" w:cs="Times New Roman"/>
          <w:color w:val="auto"/>
          <w:sz w:val="24"/>
          <w:highlight w:val="none"/>
          <w:lang w:val="en-US" w:eastAsia="zh-CN"/>
        </w:rPr>
        <w:t xml:space="preserve">500m </w:t>
      </w:r>
      <w:r>
        <w:rPr>
          <w:rFonts w:hint="eastAsia" w:ascii="Times New Roman" w:hAnsi="Times New Roman" w:eastAsia="宋体" w:cs="Times New Roman"/>
          <w:color w:val="auto"/>
          <w:sz w:val="24"/>
          <w:highlight w:val="none"/>
          <w:lang w:val="en-US" w:eastAsia="zh-CN"/>
        </w:rPr>
        <w:t>范围关系图</w:t>
      </w:r>
    </w:p>
    <w:p w14:paraId="2696B3F1">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附图4 项目</w:t>
      </w:r>
      <w:r>
        <w:rPr>
          <w:rFonts w:hint="eastAsia" w:cs="Times New Roman"/>
          <w:color w:val="auto"/>
          <w:sz w:val="24"/>
          <w:highlight w:val="none"/>
          <w:lang w:val="en-US" w:eastAsia="zh-CN"/>
        </w:rPr>
        <w:t>区</w:t>
      </w:r>
      <w:r>
        <w:rPr>
          <w:rFonts w:hint="eastAsia" w:ascii="Times New Roman" w:hAnsi="Times New Roman" w:eastAsia="宋体" w:cs="Times New Roman"/>
          <w:color w:val="auto"/>
          <w:sz w:val="24"/>
          <w:highlight w:val="none"/>
          <w:lang w:val="en-US" w:eastAsia="zh-CN"/>
        </w:rPr>
        <w:t>平面布置图</w:t>
      </w:r>
    </w:p>
    <w:p w14:paraId="27DE609A">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附图5 项目与寻甸特色产业园区金所片区土地利用规划叠图</w:t>
      </w:r>
    </w:p>
    <w:p w14:paraId="46ECC2B0">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附图6  项目与牛栏江流域(云南部分)水环境保护规划位置关系图</w:t>
      </w:r>
    </w:p>
    <w:p w14:paraId="147D7D82">
      <w:pPr>
        <w:spacing w:line="360" w:lineRule="auto"/>
        <w:ind w:left="960" w:hanging="960" w:hangingChars="4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w:t>
      </w: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 xml:space="preserve"> 项目与牛栏江流域（寻甸段）水环境保护分区位置关系图</w:t>
      </w:r>
    </w:p>
    <w:p w14:paraId="51601E0D">
      <w:pPr>
        <w:spacing w:line="360" w:lineRule="auto"/>
        <w:ind w:left="960" w:hanging="960" w:hangingChars="4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附图8  项目与金所片区地下水防控区域关系图</w:t>
      </w:r>
    </w:p>
    <w:p w14:paraId="6E257DEC">
      <w:pPr>
        <w:adjustRightInd w:val="0"/>
        <w:snapToGrid w:val="0"/>
        <w:spacing w:line="360" w:lineRule="auto"/>
        <w:jc w:val="both"/>
        <w:rPr>
          <w:b/>
          <w:color w:val="auto"/>
          <w:sz w:val="24"/>
        </w:rPr>
      </w:pPr>
    </w:p>
    <w:p w14:paraId="63E31B1D">
      <w:pPr>
        <w:adjustRightInd w:val="0"/>
        <w:snapToGrid w:val="0"/>
        <w:spacing w:line="360" w:lineRule="auto"/>
        <w:jc w:val="center"/>
        <w:rPr>
          <w:b/>
          <w:color w:val="auto"/>
          <w:sz w:val="24"/>
        </w:rPr>
      </w:pPr>
    </w:p>
    <w:p w14:paraId="055688F4">
      <w:pPr>
        <w:adjustRightInd w:val="0"/>
        <w:snapToGrid w:val="0"/>
        <w:spacing w:line="360" w:lineRule="auto"/>
        <w:jc w:val="center"/>
        <w:outlineLvl w:val="0"/>
        <w:rPr>
          <w:rFonts w:hint="eastAsia" w:ascii="宋体" w:hAnsi="宋体" w:eastAsia="宋体" w:cs="宋体"/>
          <w:b/>
          <w:bCs/>
          <w:color w:val="auto"/>
          <w:sz w:val="30"/>
          <w:szCs w:val="30"/>
        </w:rPr>
      </w:pPr>
      <w:bookmarkStart w:id="1" w:name="_Toc24895"/>
      <w:r>
        <w:rPr>
          <w:rFonts w:hint="eastAsia" w:ascii="宋体" w:hAnsi="宋体" w:eastAsia="宋体" w:cs="宋体"/>
          <w:b/>
          <w:bCs/>
          <w:color w:val="auto"/>
          <w:sz w:val="30"/>
          <w:szCs w:val="30"/>
        </w:rPr>
        <w:t>一、建设项目基本情况</w:t>
      </w:r>
      <w:bookmarkEnd w:id="1"/>
    </w:p>
    <w:tbl>
      <w:tblPr>
        <w:tblStyle w:val="36"/>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15"/>
        <w:gridCol w:w="3668"/>
        <w:gridCol w:w="1514"/>
        <w:gridCol w:w="2942"/>
      </w:tblGrid>
      <w:tr w14:paraId="6E4F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6B6D84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建设项目名称</w:t>
            </w:r>
          </w:p>
        </w:tc>
        <w:tc>
          <w:tcPr>
            <w:tcW w:w="8124" w:type="dxa"/>
            <w:gridSpan w:val="3"/>
            <w:noWrap w:val="0"/>
            <w:vAlign w:val="center"/>
          </w:tcPr>
          <w:p w14:paraId="01CD363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寻甸亿源塑料制品有限公司果蔬专用框生产项目（金所片区）</w:t>
            </w:r>
          </w:p>
        </w:tc>
      </w:tr>
      <w:tr w14:paraId="6A1A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12AB55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项目代码</w:t>
            </w:r>
          </w:p>
        </w:tc>
        <w:tc>
          <w:tcPr>
            <w:tcW w:w="8124" w:type="dxa"/>
            <w:gridSpan w:val="3"/>
            <w:noWrap w:val="0"/>
            <w:vAlign w:val="center"/>
          </w:tcPr>
          <w:p w14:paraId="71358CA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highlight w:val="none"/>
                <w:lang w:val="en-US" w:eastAsia="zh-CN"/>
              </w:rPr>
              <w:t>2608-530129-04-01-108178</w:t>
            </w:r>
          </w:p>
        </w:tc>
      </w:tr>
      <w:tr w14:paraId="7C7F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462FCE7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建设单位联系人</w:t>
            </w:r>
          </w:p>
        </w:tc>
        <w:tc>
          <w:tcPr>
            <w:tcW w:w="3668" w:type="dxa"/>
            <w:noWrap w:val="0"/>
            <w:vAlign w:val="center"/>
          </w:tcPr>
          <w:p w14:paraId="256817E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val="en-US" w:eastAsia="zh-CN"/>
              </w:rPr>
            </w:pPr>
          </w:p>
        </w:tc>
        <w:tc>
          <w:tcPr>
            <w:tcW w:w="1514" w:type="dxa"/>
            <w:noWrap w:val="0"/>
            <w:vAlign w:val="center"/>
          </w:tcPr>
          <w:p w14:paraId="652BDF2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联系方式</w:t>
            </w:r>
          </w:p>
        </w:tc>
        <w:tc>
          <w:tcPr>
            <w:tcW w:w="2942" w:type="dxa"/>
            <w:noWrap w:val="0"/>
            <w:vAlign w:val="center"/>
          </w:tcPr>
          <w:p w14:paraId="458CDB0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val="en-US" w:eastAsia="zh-CN"/>
              </w:rPr>
            </w:pPr>
          </w:p>
        </w:tc>
      </w:tr>
      <w:tr w14:paraId="226A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00FB8C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建设地点</w:t>
            </w:r>
          </w:p>
        </w:tc>
        <w:tc>
          <w:tcPr>
            <w:tcW w:w="8124" w:type="dxa"/>
            <w:gridSpan w:val="3"/>
            <w:noWrap w:val="0"/>
            <w:vAlign w:val="center"/>
          </w:tcPr>
          <w:p w14:paraId="5FF98F17">
            <w:pPr>
              <w:pStyle w:val="60"/>
              <w:keepNext w:val="0"/>
              <w:keepLines w:val="0"/>
              <w:suppressLineNumbers w:val="0"/>
              <w:spacing w:before="0" w:beforeAutospacing="0" w:after="0" w:afterAutospacing="0" w:line="240" w:lineRule="auto"/>
              <w:ind w:firstLine="0"/>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kern w:val="0"/>
                <w:sz w:val="24"/>
                <w:highlight w:val="none"/>
              </w:rPr>
              <w:t>金所街道办事处竹沟社区居委会魏所工业园区01号</w:t>
            </w:r>
          </w:p>
        </w:tc>
      </w:tr>
      <w:tr w14:paraId="7411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04AC11B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地理坐标</w:t>
            </w:r>
          </w:p>
        </w:tc>
        <w:tc>
          <w:tcPr>
            <w:tcW w:w="8124" w:type="dxa"/>
            <w:gridSpan w:val="3"/>
            <w:noWrap w:val="0"/>
            <w:vAlign w:val="center"/>
          </w:tcPr>
          <w:p w14:paraId="5B0FC6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lang w:eastAsia="zh-CN"/>
              </w:rPr>
              <w:t>东经</w:t>
            </w:r>
            <w:r>
              <w:rPr>
                <w:rFonts w:hint="default" w:ascii="Times New Roman" w:hAnsi="Times New Roman" w:eastAsia="宋体" w:cs="Times New Roman"/>
                <w:bCs/>
                <w:color w:val="auto"/>
                <w:sz w:val="24"/>
                <w:szCs w:val="24"/>
              </w:rPr>
              <w:t>103°12′44.16</w:t>
            </w:r>
            <w:r>
              <w:rPr>
                <w:rFonts w:hint="eastAsia" w:cs="Times New Roman"/>
                <w:bCs/>
                <w:color w:val="auto"/>
                <w:sz w:val="24"/>
                <w:szCs w:val="24"/>
                <w:lang w:val="en-US" w:eastAsia="zh-CN"/>
              </w:rPr>
              <w:t>9</w:t>
            </w:r>
            <w:r>
              <w:rPr>
                <w:rFonts w:hint="default" w:ascii="Times New Roman" w:hAnsi="Times New Roman" w:eastAsia="宋体" w:cs="Times New Roman"/>
                <w:bCs/>
                <w:color w:val="auto"/>
                <w:sz w:val="24"/>
                <w:szCs w:val="24"/>
              </w:rPr>
              <w:t>″</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北纬</w:t>
            </w:r>
            <w:r>
              <w:rPr>
                <w:rFonts w:hint="default" w:ascii="Times New Roman" w:hAnsi="Times New Roman" w:eastAsia="宋体" w:cs="Times New Roman"/>
                <w:bCs/>
                <w:color w:val="auto"/>
                <w:sz w:val="24"/>
                <w:szCs w:val="24"/>
              </w:rPr>
              <w:t>25°35′1.816″</w:t>
            </w:r>
          </w:p>
        </w:tc>
      </w:tr>
      <w:tr w14:paraId="5B69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jc w:val="center"/>
        </w:trPr>
        <w:tc>
          <w:tcPr>
            <w:tcW w:w="1015" w:type="dxa"/>
            <w:noWrap w:val="0"/>
            <w:tcMar>
              <w:top w:w="16" w:type="dxa"/>
              <w:left w:w="16" w:type="dxa"/>
              <w:right w:w="16" w:type="dxa"/>
            </w:tcMar>
            <w:vAlign w:val="center"/>
          </w:tcPr>
          <w:p w14:paraId="4D905F1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国民经济行业类别</w:t>
            </w:r>
          </w:p>
        </w:tc>
        <w:tc>
          <w:tcPr>
            <w:tcW w:w="3668" w:type="dxa"/>
            <w:noWrap w:val="0"/>
            <w:vAlign w:val="center"/>
          </w:tcPr>
          <w:p w14:paraId="72185E4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4"/>
              </w:rPr>
              <w:t>塑料包装箱及容器制造</w:t>
            </w:r>
            <w:r>
              <w:rPr>
                <w:rFonts w:hint="eastAsia" w:cs="Times New Roman"/>
                <w:color w:val="auto"/>
                <w:sz w:val="24"/>
                <w:lang w:eastAsia="zh-CN"/>
              </w:rPr>
              <w:t>（</w:t>
            </w:r>
            <w:r>
              <w:rPr>
                <w:rFonts w:hint="default" w:ascii="Times New Roman" w:hAnsi="Times New Roman" w:eastAsia="宋体" w:cs="Times New Roman"/>
                <w:color w:val="auto"/>
                <w:sz w:val="24"/>
                <w:lang w:val="en-US" w:eastAsia="zh-CN"/>
              </w:rPr>
              <w:t>C2926</w:t>
            </w:r>
            <w:r>
              <w:rPr>
                <w:rFonts w:hint="eastAsia" w:cs="Times New Roman"/>
                <w:color w:val="auto"/>
                <w:sz w:val="24"/>
                <w:lang w:eastAsia="zh-CN"/>
              </w:rPr>
              <w:t>）</w:t>
            </w:r>
          </w:p>
        </w:tc>
        <w:tc>
          <w:tcPr>
            <w:tcW w:w="1514" w:type="dxa"/>
            <w:noWrap w:val="0"/>
            <w:vAlign w:val="center"/>
          </w:tcPr>
          <w:p w14:paraId="162567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bookmarkStart w:id="2" w:name="_Hlk49843745"/>
            <w:r>
              <w:rPr>
                <w:rFonts w:hint="default" w:ascii="Times New Roman" w:hAnsi="Times New Roman" w:eastAsia="宋体" w:cs="Times New Roman"/>
                <w:color w:val="auto"/>
                <w:sz w:val="24"/>
              </w:rPr>
              <w:t>建设项目</w:t>
            </w:r>
          </w:p>
          <w:p w14:paraId="48F2D22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行业类别</w:t>
            </w:r>
            <w:bookmarkEnd w:id="2"/>
          </w:p>
        </w:tc>
        <w:tc>
          <w:tcPr>
            <w:tcW w:w="2942" w:type="dxa"/>
            <w:noWrap w:val="0"/>
            <w:vAlign w:val="center"/>
          </w:tcPr>
          <w:p w14:paraId="65922470">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二十六、橡胶和塑料制品业 29中“</w:t>
            </w:r>
            <w:r>
              <w:rPr>
                <w:rFonts w:hint="eastAsia" w:cs="Times New Roman"/>
                <w:color w:val="auto"/>
                <w:sz w:val="24"/>
                <w:lang w:val="en-US" w:eastAsia="zh-CN"/>
              </w:rPr>
              <w:t>53</w:t>
            </w:r>
            <w:r>
              <w:rPr>
                <w:rFonts w:hint="default" w:ascii="Times New Roman" w:hAnsi="Times New Roman" w:eastAsia="宋体" w:cs="Times New Roman"/>
                <w:color w:val="auto"/>
                <w:sz w:val="24"/>
              </w:rPr>
              <w:t>塑料制品业292-其他（年用非溶剂型低VOCs含量涂料10吨以下的除外）”</w:t>
            </w:r>
          </w:p>
        </w:tc>
      </w:tr>
      <w:tr w14:paraId="24D9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5" w:type="dxa"/>
            <w:noWrap w:val="0"/>
            <w:tcMar>
              <w:top w:w="16" w:type="dxa"/>
              <w:left w:w="16" w:type="dxa"/>
              <w:right w:w="16" w:type="dxa"/>
            </w:tcMar>
            <w:vAlign w:val="center"/>
          </w:tcPr>
          <w:p w14:paraId="663CAA1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建设性质</w:t>
            </w:r>
          </w:p>
        </w:tc>
        <w:tc>
          <w:tcPr>
            <w:tcW w:w="3668" w:type="dxa"/>
            <w:noWrap w:val="0"/>
            <w:vAlign w:val="center"/>
          </w:tcPr>
          <w:p w14:paraId="07F642BA">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52"/>
            </w:r>
            <w:r>
              <w:rPr>
                <w:rFonts w:hint="default" w:ascii="Times New Roman" w:hAnsi="Times New Roman" w:eastAsia="宋体" w:cs="Times New Roman"/>
                <w:color w:val="auto"/>
                <w:sz w:val="24"/>
              </w:rPr>
              <w:t>新建（迁建）</w:t>
            </w:r>
          </w:p>
          <w:p w14:paraId="587EE0FE">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改建</w:t>
            </w:r>
          </w:p>
          <w:p w14:paraId="61C2FB4C">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扩建</w:t>
            </w:r>
          </w:p>
          <w:p w14:paraId="405C9818">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技术改造</w:t>
            </w:r>
          </w:p>
        </w:tc>
        <w:tc>
          <w:tcPr>
            <w:tcW w:w="1514" w:type="dxa"/>
            <w:noWrap w:val="0"/>
            <w:vAlign w:val="center"/>
          </w:tcPr>
          <w:p w14:paraId="01ED3E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建设项目</w:t>
            </w:r>
          </w:p>
          <w:p w14:paraId="5CB9CD4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申报情形</w:t>
            </w:r>
          </w:p>
        </w:tc>
        <w:tc>
          <w:tcPr>
            <w:tcW w:w="2942" w:type="dxa"/>
            <w:noWrap w:val="0"/>
            <w:vAlign w:val="center"/>
          </w:tcPr>
          <w:p w14:paraId="1BC736E7">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52"/>
            </w:r>
            <w:r>
              <w:rPr>
                <w:rFonts w:hint="default" w:ascii="Times New Roman" w:hAnsi="Times New Roman" w:eastAsia="宋体" w:cs="Times New Roman"/>
                <w:color w:val="auto"/>
                <w:sz w:val="24"/>
              </w:rPr>
              <w:t>首次申报项目</w:t>
            </w:r>
          </w:p>
          <w:p w14:paraId="74049D48">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不予批准后再次申报项目</w:t>
            </w:r>
          </w:p>
          <w:p w14:paraId="206A12F8">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超五年重新审核项目</w:t>
            </w:r>
          </w:p>
          <w:p w14:paraId="32B97F34">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重大变动重新报批项目</w:t>
            </w:r>
          </w:p>
        </w:tc>
      </w:tr>
      <w:tr w14:paraId="1495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atLeast"/>
          <w:jc w:val="center"/>
        </w:trPr>
        <w:tc>
          <w:tcPr>
            <w:tcW w:w="1015" w:type="dxa"/>
            <w:noWrap w:val="0"/>
            <w:tcMar>
              <w:top w:w="16" w:type="dxa"/>
              <w:left w:w="16" w:type="dxa"/>
              <w:right w:w="16" w:type="dxa"/>
            </w:tcMar>
            <w:vAlign w:val="center"/>
          </w:tcPr>
          <w:p w14:paraId="216049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项目审批（核准/备案）部门</w:t>
            </w:r>
          </w:p>
        </w:tc>
        <w:tc>
          <w:tcPr>
            <w:tcW w:w="3668" w:type="dxa"/>
            <w:noWrap w:val="0"/>
            <w:vAlign w:val="center"/>
          </w:tcPr>
          <w:p w14:paraId="489497E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寻甸回族彝族自治县发展和改革局</w:t>
            </w:r>
          </w:p>
        </w:tc>
        <w:tc>
          <w:tcPr>
            <w:tcW w:w="1514" w:type="dxa"/>
            <w:noWrap w:val="0"/>
            <w:vAlign w:val="center"/>
          </w:tcPr>
          <w:p w14:paraId="1A45F8F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项目审批（核准/备案）文号</w:t>
            </w:r>
          </w:p>
        </w:tc>
        <w:tc>
          <w:tcPr>
            <w:tcW w:w="2942" w:type="dxa"/>
            <w:noWrap w:val="0"/>
            <w:vAlign w:val="center"/>
          </w:tcPr>
          <w:p w14:paraId="30A1155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eastAsia="zh-CN"/>
              </w:rPr>
            </w:pPr>
            <w:r>
              <w:rPr>
                <w:rFonts w:hint="eastAsia" w:cs="Times New Roman"/>
                <w:color w:val="FF0000"/>
                <w:sz w:val="24"/>
                <w:highlight w:val="none"/>
                <w:lang w:val="en-US" w:eastAsia="zh-CN"/>
              </w:rPr>
              <w:t>/</w:t>
            </w:r>
          </w:p>
        </w:tc>
      </w:tr>
      <w:tr w14:paraId="3861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07CA74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总投资（万元）</w:t>
            </w:r>
          </w:p>
        </w:tc>
        <w:tc>
          <w:tcPr>
            <w:tcW w:w="3668" w:type="dxa"/>
            <w:noWrap w:val="0"/>
            <w:vAlign w:val="center"/>
          </w:tcPr>
          <w:p w14:paraId="016122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2500</w:t>
            </w:r>
          </w:p>
        </w:tc>
        <w:tc>
          <w:tcPr>
            <w:tcW w:w="1514" w:type="dxa"/>
            <w:noWrap w:val="0"/>
            <w:tcMar>
              <w:top w:w="16" w:type="dxa"/>
              <w:left w:w="16" w:type="dxa"/>
              <w:right w:w="16" w:type="dxa"/>
            </w:tcMar>
            <w:vAlign w:val="center"/>
          </w:tcPr>
          <w:p w14:paraId="05E1BF5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w:t>
            </w:r>
          </w:p>
          <w:p w14:paraId="59AFB6B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（万元）</w:t>
            </w:r>
          </w:p>
        </w:tc>
        <w:tc>
          <w:tcPr>
            <w:tcW w:w="2942" w:type="dxa"/>
            <w:noWrap w:val="0"/>
            <w:vAlign w:val="center"/>
          </w:tcPr>
          <w:p w14:paraId="6FFBE0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28.7</w:t>
            </w:r>
          </w:p>
        </w:tc>
      </w:tr>
      <w:tr w14:paraId="730A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30D802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环保投资占比（%）</w:t>
            </w:r>
          </w:p>
        </w:tc>
        <w:tc>
          <w:tcPr>
            <w:tcW w:w="3668" w:type="dxa"/>
            <w:noWrap w:val="0"/>
            <w:vAlign w:val="center"/>
          </w:tcPr>
          <w:p w14:paraId="6E88C58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1.148</w:t>
            </w:r>
          </w:p>
        </w:tc>
        <w:tc>
          <w:tcPr>
            <w:tcW w:w="1514" w:type="dxa"/>
            <w:noWrap w:val="0"/>
            <w:tcMar>
              <w:top w:w="16" w:type="dxa"/>
              <w:left w:w="16" w:type="dxa"/>
              <w:right w:w="16" w:type="dxa"/>
            </w:tcMar>
            <w:vAlign w:val="center"/>
          </w:tcPr>
          <w:p w14:paraId="16D0E13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施工工期</w:t>
            </w:r>
          </w:p>
        </w:tc>
        <w:tc>
          <w:tcPr>
            <w:tcW w:w="2942" w:type="dxa"/>
            <w:noWrap w:val="0"/>
            <w:vAlign w:val="center"/>
          </w:tcPr>
          <w:p w14:paraId="652D170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个月</w:t>
            </w:r>
          </w:p>
        </w:tc>
      </w:tr>
      <w:tr w14:paraId="54D4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015" w:type="dxa"/>
            <w:noWrap w:val="0"/>
            <w:tcMar>
              <w:top w:w="16" w:type="dxa"/>
              <w:left w:w="16" w:type="dxa"/>
              <w:right w:w="16" w:type="dxa"/>
            </w:tcMar>
            <w:vAlign w:val="center"/>
          </w:tcPr>
          <w:p w14:paraId="45A9FAB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是否开工建设</w:t>
            </w:r>
          </w:p>
        </w:tc>
        <w:tc>
          <w:tcPr>
            <w:tcW w:w="3668" w:type="dxa"/>
            <w:noWrap w:val="0"/>
            <w:vAlign w:val="center"/>
          </w:tcPr>
          <w:p w14:paraId="35E22D2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A3"/>
            </w:r>
            <w:r>
              <w:rPr>
                <w:rFonts w:hint="default" w:ascii="Times New Roman" w:hAnsi="Times New Roman" w:eastAsia="宋体" w:cs="Times New Roman"/>
                <w:color w:val="auto"/>
                <w:sz w:val="24"/>
              </w:rPr>
              <w:t>否</w:t>
            </w:r>
          </w:p>
          <w:p w14:paraId="23F6212E">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sym w:font="Wingdings 2" w:char="0052"/>
            </w:r>
            <w:r>
              <w:rPr>
                <w:rFonts w:hint="default" w:ascii="Times New Roman" w:hAnsi="Times New Roman" w:eastAsia="宋体" w:cs="Times New Roman"/>
                <w:color w:val="auto"/>
                <w:sz w:val="24"/>
              </w:rPr>
              <w:t>是：</w:t>
            </w:r>
            <w:r>
              <w:rPr>
                <w:rFonts w:hint="default" w:ascii="Times New Roman" w:hAnsi="Times New Roman" w:eastAsia="宋体" w:cs="Times New Roman"/>
                <w:color w:val="auto"/>
                <w:sz w:val="24"/>
                <w:szCs w:val="24"/>
                <w:u w:val="single"/>
              </w:rPr>
              <w:t xml:space="preserve"> </w:t>
            </w:r>
            <w:bookmarkStart w:id="3" w:name="_Hlk156841773"/>
            <w:r>
              <w:rPr>
                <w:rFonts w:hint="eastAsia"/>
                <w:color w:val="auto"/>
                <w:sz w:val="24"/>
                <w:szCs w:val="24"/>
                <w:u w:val="single"/>
                <w:lang w:val="en-US" w:eastAsia="zh-CN"/>
              </w:rPr>
              <w:t>截止2026年10月，项目生产设备已入场3条线，现已停止试运行。昆明市生态环境局于2026年10月12日下达行政处罚决定书（昆生环罚</w:t>
            </w:r>
            <w:r>
              <w:rPr>
                <w:rFonts w:hint="default" w:ascii="Times New Roman" w:hAnsi="Times New Roman" w:eastAsia="宋体" w:cs="Times New Roman"/>
                <w:b w:val="0"/>
                <w:bCs/>
                <w:color w:val="auto"/>
                <w:sz w:val="24"/>
                <w:szCs w:val="24"/>
                <w:highlight w:val="none"/>
                <w:u w:val="single"/>
                <w:lang w:val="en-US" w:eastAsia="zh-CN"/>
              </w:rPr>
              <w:t>〔202</w:t>
            </w:r>
            <w:r>
              <w:rPr>
                <w:rFonts w:hint="eastAsia" w:ascii="Times New Roman" w:hAnsi="Times New Roman" w:eastAsia="宋体" w:cs="Times New Roman"/>
                <w:b w:val="0"/>
                <w:bCs/>
                <w:color w:val="auto"/>
                <w:sz w:val="24"/>
                <w:szCs w:val="24"/>
                <w:highlight w:val="none"/>
                <w:u w:val="single"/>
                <w:lang w:val="en-US" w:eastAsia="zh-CN"/>
              </w:rPr>
              <w:t>6</w:t>
            </w:r>
            <w:r>
              <w:rPr>
                <w:rFonts w:hint="default" w:ascii="Times New Roman" w:hAnsi="Times New Roman" w:eastAsia="宋体" w:cs="Times New Roman"/>
                <w:b w:val="0"/>
                <w:bCs/>
                <w:color w:val="auto"/>
                <w:sz w:val="24"/>
                <w:szCs w:val="24"/>
                <w:highlight w:val="none"/>
                <w:u w:val="single"/>
                <w:lang w:val="en-US" w:eastAsia="zh-CN"/>
              </w:rPr>
              <w:t>〕</w:t>
            </w:r>
            <w:r>
              <w:rPr>
                <w:rFonts w:hint="eastAsia"/>
                <w:color w:val="auto"/>
                <w:sz w:val="24"/>
                <w:szCs w:val="24"/>
                <w:u w:val="single"/>
                <w:lang w:val="en-US" w:eastAsia="zh-CN"/>
              </w:rPr>
              <w:t>11-22号），建设单位已于2026年10月12日进行罚款缴纳。</w:t>
            </w:r>
            <w:bookmarkEnd w:id="3"/>
            <w:r>
              <w:rPr>
                <w:rFonts w:hint="eastAsia" w:cs="Times New Roman"/>
                <w:color w:val="auto"/>
                <w:sz w:val="24"/>
                <w:szCs w:val="24"/>
                <w:u w:val="single"/>
                <w:lang w:val="en-US" w:eastAsia="zh-CN"/>
              </w:rPr>
              <w:t xml:space="preserve"> </w:t>
            </w:r>
          </w:p>
        </w:tc>
        <w:tc>
          <w:tcPr>
            <w:tcW w:w="1514" w:type="dxa"/>
            <w:noWrap w:val="0"/>
            <w:tcMar>
              <w:top w:w="16" w:type="dxa"/>
              <w:left w:w="16" w:type="dxa"/>
              <w:right w:w="16" w:type="dxa"/>
            </w:tcMar>
            <w:vAlign w:val="center"/>
          </w:tcPr>
          <w:p w14:paraId="443E86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pacing w:val="-6"/>
                <w:sz w:val="24"/>
              </w:rPr>
              <w:t>用地面积（m</w:t>
            </w:r>
            <w:r>
              <w:rPr>
                <w:rFonts w:hint="default" w:ascii="Times New Roman" w:hAnsi="Times New Roman" w:eastAsia="宋体" w:cs="Times New Roman"/>
                <w:color w:val="auto"/>
                <w:spacing w:val="-6"/>
                <w:sz w:val="24"/>
                <w:vertAlign w:val="superscript"/>
              </w:rPr>
              <w:t>2</w:t>
            </w:r>
            <w:r>
              <w:rPr>
                <w:rFonts w:hint="default" w:ascii="Times New Roman" w:hAnsi="Times New Roman" w:eastAsia="宋体" w:cs="Times New Roman"/>
                <w:color w:val="auto"/>
                <w:spacing w:val="-6"/>
                <w:sz w:val="24"/>
              </w:rPr>
              <w:t>）</w:t>
            </w:r>
          </w:p>
        </w:tc>
        <w:tc>
          <w:tcPr>
            <w:tcW w:w="2942" w:type="dxa"/>
            <w:noWrap w:val="0"/>
            <w:vAlign w:val="center"/>
          </w:tcPr>
          <w:p w14:paraId="57ADC2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9</w:t>
            </w:r>
            <w:r>
              <w:rPr>
                <w:rFonts w:hint="default" w:ascii="Times New Roman" w:hAnsi="Times New Roman" w:eastAsia="宋体" w:cs="Times New Roman"/>
                <w:color w:val="auto"/>
                <w:sz w:val="24"/>
                <w:lang w:val="en-US" w:eastAsia="zh-CN"/>
              </w:rPr>
              <w:t>00</w:t>
            </w:r>
          </w:p>
        </w:tc>
      </w:tr>
      <w:tr w14:paraId="65D9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15" w:type="dxa"/>
            <w:noWrap w:val="0"/>
            <w:vAlign w:val="center"/>
          </w:tcPr>
          <w:p w14:paraId="5733F5EC">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专项评价设置情况</w:t>
            </w:r>
          </w:p>
        </w:tc>
        <w:tc>
          <w:tcPr>
            <w:tcW w:w="8124" w:type="dxa"/>
            <w:gridSpan w:val="3"/>
            <w:noWrap w:val="0"/>
            <w:vAlign w:val="center"/>
          </w:tcPr>
          <w:p w14:paraId="28D2C8A2">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eastAsia="宋体" w:cs="Times New Roman"/>
                <w:b/>
                <w:bCs/>
                <w:color w:val="auto"/>
                <w:kern w:val="0"/>
                <w:sz w:val="24"/>
              </w:rPr>
            </w:pPr>
            <w:r>
              <w:rPr>
                <w:rFonts w:hint="default" w:ascii="Times New Roman" w:hAnsi="Times New Roman" w:eastAsia="宋体" w:cs="Times New Roman"/>
                <w:color w:val="000000"/>
                <w:sz w:val="24"/>
                <w:szCs w:val="24"/>
                <w:lang w:val="en-US" w:eastAsia="zh-CN"/>
              </w:rPr>
              <w:t>根据《建设项目环境影响报告表编制技术指南（污染影响类）</w:t>
            </w:r>
            <w:r>
              <w:rPr>
                <w:rFonts w:hint="eastAsia" w:cs="Times New Roman"/>
                <w:color w:val="000000"/>
                <w:sz w:val="24"/>
                <w:szCs w:val="24"/>
                <w:lang w:val="en-US" w:eastAsia="zh-CN"/>
              </w:rPr>
              <w:t>（试行）》</w:t>
            </w:r>
            <w:r>
              <w:rPr>
                <w:rFonts w:hint="default" w:ascii="Times New Roman" w:hAnsi="Times New Roman" w:eastAsia="宋体" w:cs="Times New Roman"/>
                <w:color w:val="000000"/>
                <w:sz w:val="24"/>
                <w:szCs w:val="24"/>
                <w:lang w:val="en-US" w:eastAsia="zh-CN"/>
              </w:rPr>
              <w:t>，大气、地表水、环境风险、生态和海洋专项评价具体设置原则见表 1-1。</w:t>
            </w:r>
          </w:p>
          <w:p w14:paraId="0AECF0F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bCs/>
                <w:color w:val="auto"/>
                <w:kern w:val="0"/>
                <w:sz w:val="24"/>
              </w:rPr>
            </w:pPr>
            <w:r>
              <w:rPr>
                <w:rFonts w:hint="default" w:ascii="Times New Roman" w:hAnsi="Times New Roman" w:eastAsia="宋体" w:cs="Times New Roman"/>
                <w:b/>
                <w:bCs/>
                <w:color w:val="auto"/>
                <w:kern w:val="0"/>
                <w:sz w:val="21"/>
                <w:szCs w:val="21"/>
              </w:rPr>
              <w:t xml:space="preserve">表1-1 </w:t>
            </w:r>
            <w:r>
              <w:rPr>
                <w:rFonts w:hint="default" w:ascii="Times New Roman" w:hAnsi="Times New Roman" w:eastAsia="宋体" w:cs="Times New Roman"/>
                <w:b/>
                <w:bCs/>
                <w:color w:val="auto"/>
                <w:kern w:val="0"/>
                <w:sz w:val="21"/>
                <w:szCs w:val="21"/>
                <w:lang w:val="en-US" w:eastAsia="zh-CN"/>
              </w:rPr>
              <w:t xml:space="preserve"> </w:t>
            </w:r>
            <w:r>
              <w:rPr>
                <w:rFonts w:hint="default" w:ascii="Times New Roman" w:hAnsi="Times New Roman" w:eastAsia="宋体" w:cs="Times New Roman"/>
                <w:b/>
                <w:bCs/>
                <w:color w:val="auto"/>
                <w:kern w:val="0"/>
                <w:sz w:val="21"/>
                <w:szCs w:val="21"/>
              </w:rPr>
              <w:t>项目专项评价判定表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3272"/>
              <w:gridCol w:w="2732"/>
              <w:gridCol w:w="998"/>
            </w:tblGrid>
            <w:tr w14:paraId="36B2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66" w:type="pct"/>
                  <w:noWrap w:val="0"/>
                  <w:vAlign w:val="center"/>
                </w:tcPr>
                <w:p w14:paraId="18097B8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专项评价类别</w:t>
                  </w:r>
                </w:p>
              </w:tc>
              <w:tc>
                <w:tcPr>
                  <w:tcW w:w="2072" w:type="pct"/>
                  <w:noWrap w:val="0"/>
                  <w:vAlign w:val="center"/>
                </w:tcPr>
                <w:p w14:paraId="226E474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设置原则</w:t>
                  </w:r>
                </w:p>
              </w:tc>
              <w:tc>
                <w:tcPr>
                  <w:tcW w:w="1730" w:type="pct"/>
                  <w:noWrap w:val="0"/>
                  <w:vAlign w:val="center"/>
                </w:tcPr>
                <w:p w14:paraId="3466CBF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本项目情况</w:t>
                  </w:r>
                </w:p>
              </w:tc>
              <w:tc>
                <w:tcPr>
                  <w:tcW w:w="630" w:type="pct"/>
                  <w:noWrap w:val="0"/>
                  <w:vAlign w:val="center"/>
                </w:tcPr>
                <w:p w14:paraId="20489CD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是否设置专项评价</w:t>
                  </w:r>
                </w:p>
              </w:tc>
            </w:tr>
            <w:tr w14:paraId="3348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566" w:type="pct"/>
                  <w:noWrap w:val="0"/>
                  <w:vAlign w:val="center"/>
                </w:tcPr>
                <w:p w14:paraId="30B192D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大气</w:t>
                  </w:r>
                </w:p>
              </w:tc>
              <w:tc>
                <w:tcPr>
                  <w:tcW w:w="2072" w:type="pct"/>
                  <w:noWrap w:val="0"/>
                  <w:vAlign w:val="center"/>
                </w:tcPr>
                <w:p w14:paraId="6972A038">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排放废气含有毒有害污染物</w:t>
                  </w:r>
                  <w:r>
                    <w:rPr>
                      <w:rFonts w:hint="default" w:ascii="Times New Roman" w:hAnsi="Times New Roman" w:eastAsia="宋体" w:cs="Times New Roman"/>
                      <w:color w:val="auto"/>
                      <w:kern w:val="0"/>
                      <w:szCs w:val="21"/>
                      <w:vertAlign w:val="superscript"/>
                    </w:rPr>
                    <w:t>1</w:t>
                  </w:r>
                  <w:r>
                    <w:rPr>
                      <w:rFonts w:hint="default" w:ascii="Times New Roman" w:hAnsi="Times New Roman" w:eastAsia="宋体" w:cs="Times New Roman"/>
                      <w:color w:val="auto"/>
                      <w:kern w:val="0"/>
                      <w:szCs w:val="21"/>
                    </w:rPr>
                    <w:t>、二噁英、苯并[a]芘、氰化物、氯气且厂界500m范围内有环境空气保护目标</w:t>
                  </w:r>
                  <w:r>
                    <w:rPr>
                      <w:rFonts w:hint="default" w:ascii="Times New Roman" w:hAnsi="Times New Roman" w:eastAsia="宋体" w:cs="Times New Roman"/>
                      <w:color w:val="auto"/>
                      <w:kern w:val="0"/>
                      <w:szCs w:val="21"/>
                      <w:vertAlign w:val="superscript"/>
                    </w:rPr>
                    <w:t>2</w:t>
                  </w:r>
                  <w:r>
                    <w:rPr>
                      <w:rFonts w:hint="default" w:ascii="Times New Roman" w:hAnsi="Times New Roman" w:eastAsia="宋体" w:cs="Times New Roman"/>
                      <w:color w:val="auto"/>
                      <w:kern w:val="0"/>
                      <w:szCs w:val="21"/>
                    </w:rPr>
                    <w:t>的建设项目。</w:t>
                  </w:r>
                </w:p>
              </w:tc>
              <w:tc>
                <w:tcPr>
                  <w:tcW w:w="1730" w:type="pct"/>
                  <w:noWrap w:val="0"/>
                  <w:vAlign w:val="center"/>
                </w:tcPr>
                <w:p w14:paraId="744551B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根据工程分析，项目排放废气污染物主要为非甲烷总烃</w:t>
                  </w:r>
                  <w:r>
                    <w:rPr>
                      <w:rFonts w:hint="default" w:ascii="Times New Roman" w:hAnsi="Times New Roman" w:eastAsia="宋体" w:cs="Times New Roman"/>
                      <w:color w:val="auto"/>
                      <w:kern w:val="0"/>
                      <w:szCs w:val="21"/>
                      <w:lang w:eastAsia="zh-CN"/>
                    </w:rPr>
                    <w:t>、</w:t>
                  </w:r>
                  <w:r>
                    <w:rPr>
                      <w:rFonts w:hint="default" w:ascii="Times New Roman" w:hAnsi="Times New Roman" w:eastAsia="宋体" w:cs="Times New Roman"/>
                      <w:color w:val="auto"/>
                      <w:kern w:val="0"/>
                      <w:szCs w:val="21"/>
                      <w:lang w:val="en-US" w:eastAsia="zh-CN"/>
                    </w:rPr>
                    <w:t>颗粒物及</w:t>
                  </w:r>
                  <w:r>
                    <w:rPr>
                      <w:rFonts w:hint="eastAsia" w:cs="Times New Roman"/>
                      <w:color w:val="auto"/>
                      <w:kern w:val="0"/>
                      <w:szCs w:val="21"/>
                      <w:lang w:val="en-US" w:eastAsia="zh-CN"/>
                    </w:rPr>
                    <w:t>臭气浓度</w:t>
                  </w:r>
                  <w:r>
                    <w:rPr>
                      <w:rFonts w:hint="default" w:ascii="Times New Roman" w:hAnsi="Times New Roman" w:eastAsia="宋体" w:cs="Times New Roman"/>
                      <w:color w:val="auto"/>
                      <w:kern w:val="0"/>
                      <w:szCs w:val="21"/>
                    </w:rPr>
                    <w:t>，排放废气不涉及专项设置中有毒有害污染物。</w:t>
                  </w:r>
                </w:p>
              </w:tc>
              <w:tc>
                <w:tcPr>
                  <w:tcW w:w="630" w:type="pct"/>
                  <w:noWrap w:val="0"/>
                  <w:vAlign w:val="center"/>
                </w:tcPr>
                <w:p w14:paraId="62D3F5E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否</w:t>
                  </w:r>
                </w:p>
              </w:tc>
            </w:tr>
            <w:tr w14:paraId="6660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noWrap w:val="0"/>
                  <w:vAlign w:val="center"/>
                </w:tcPr>
                <w:p w14:paraId="283BEA3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地表水</w:t>
                  </w:r>
                </w:p>
              </w:tc>
              <w:tc>
                <w:tcPr>
                  <w:tcW w:w="2072" w:type="pct"/>
                  <w:noWrap w:val="0"/>
                  <w:vAlign w:val="center"/>
                </w:tcPr>
                <w:p w14:paraId="286AAF92">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新增工业废水直排建设项目（槽罐车外送污水处理厂的除外）；新增废水直排的污水集中处理厂。</w:t>
                  </w:r>
                </w:p>
              </w:tc>
              <w:tc>
                <w:tcPr>
                  <w:tcW w:w="1730" w:type="pct"/>
                  <w:noWrap w:val="0"/>
                  <w:vAlign w:val="center"/>
                </w:tcPr>
                <w:p w14:paraId="2DAC415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sz w:val="21"/>
                      <w:szCs w:val="21"/>
                    </w:rPr>
                    <w:t>项目实行雨污分流</w:t>
                  </w:r>
                  <w:r>
                    <w:rPr>
                      <w:rFonts w:hint="eastAsia" w:cs="Times New Roman"/>
                      <w:color w:val="auto"/>
                      <w:sz w:val="21"/>
                      <w:szCs w:val="21"/>
                      <w:lang w:val="en-US" w:eastAsia="zh-CN"/>
                    </w:rPr>
                    <w:t>制</w:t>
                  </w:r>
                  <w:r>
                    <w:rPr>
                      <w:rFonts w:hint="default" w:ascii="Times New Roman" w:hAnsi="Times New Roman" w:eastAsia="宋体" w:cs="Times New Roman"/>
                      <w:color w:val="auto"/>
                      <w:sz w:val="21"/>
                      <w:szCs w:val="21"/>
                    </w:rPr>
                    <w:t>，雨水经</w:t>
                  </w:r>
                  <w:r>
                    <w:rPr>
                      <w:rFonts w:hint="default" w:ascii="Times New Roman" w:hAnsi="Times New Roman" w:eastAsia="宋体" w:cs="Times New Roman"/>
                      <w:color w:val="auto"/>
                      <w:sz w:val="21"/>
                      <w:szCs w:val="21"/>
                      <w:lang w:val="en-US" w:eastAsia="zh-CN"/>
                    </w:rPr>
                    <w:t>园区</w:t>
                  </w:r>
                  <w:r>
                    <w:rPr>
                      <w:rFonts w:hint="default" w:ascii="Times New Roman" w:hAnsi="Times New Roman" w:eastAsia="宋体" w:cs="Times New Roman"/>
                      <w:color w:val="auto"/>
                      <w:sz w:val="21"/>
                      <w:szCs w:val="21"/>
                    </w:rPr>
                    <w:t>已建的雨水收集</w:t>
                  </w:r>
                  <w:r>
                    <w:rPr>
                      <w:rFonts w:hint="default" w:ascii="Times New Roman" w:hAnsi="Times New Roman" w:eastAsia="宋体" w:cs="Times New Roman"/>
                      <w:color w:val="auto"/>
                      <w:sz w:val="21"/>
                      <w:szCs w:val="21"/>
                      <w:lang w:val="en-US" w:eastAsia="zh-CN"/>
                    </w:rPr>
                    <w:t>系统</w:t>
                  </w:r>
                  <w:r>
                    <w:rPr>
                      <w:rFonts w:hint="default" w:ascii="Times New Roman" w:hAnsi="Times New Roman" w:eastAsia="宋体" w:cs="Times New Roman"/>
                      <w:color w:val="auto"/>
                      <w:sz w:val="21"/>
                      <w:szCs w:val="21"/>
                    </w:rPr>
                    <w:t>收集后</w:t>
                  </w:r>
                  <w:r>
                    <w:rPr>
                      <w:rFonts w:hint="default" w:ascii="Times New Roman" w:hAnsi="Times New Roman" w:eastAsia="宋体" w:cs="Times New Roman"/>
                      <w:color w:val="auto"/>
                      <w:kern w:val="0"/>
                      <w:sz w:val="21"/>
                      <w:szCs w:val="21"/>
                      <w:lang w:val="en-US" w:eastAsia="zh-CN" w:bidi="ar"/>
                    </w:rPr>
                    <w:t>排至</w:t>
                  </w:r>
                  <w:r>
                    <w:rPr>
                      <w:rFonts w:hint="default" w:ascii="Times New Roman" w:hAnsi="Times New Roman" w:eastAsia="宋体" w:cs="Times New Roman"/>
                      <w:b w:val="0"/>
                      <w:bCs w:val="0"/>
                      <w:color w:val="auto"/>
                      <w:sz w:val="21"/>
                      <w:szCs w:val="21"/>
                      <w:highlight w:val="none"/>
                      <w:lang w:val="en-US" w:eastAsia="zh-CN"/>
                    </w:rPr>
                    <w:t>市政雨水管网</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rPr>
                    <w:t>项目</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已建污水处理系统（化粪池+</w:t>
                  </w:r>
                  <w:r>
                    <w:rPr>
                      <w:rFonts w:hint="default" w:ascii="Times New Roman" w:hAnsi="Times New Roman" w:eastAsia="宋体" w:cs="Times New Roman"/>
                      <w:color w:val="000000"/>
                      <w:kern w:val="0"/>
                      <w:sz w:val="21"/>
                      <w:szCs w:val="21"/>
                      <w:lang w:val="en-US" w:eastAsia="zh-CN" w:bidi="ar"/>
                    </w:rPr>
                    <w:t>一体化污水处理设施+蓄水池</w:t>
                  </w:r>
                  <w:r>
                    <w:rPr>
                      <w:rFonts w:hint="eastAsia"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雨天暂存</w:t>
                  </w:r>
                  <w:r>
                    <w:rPr>
                      <w:rFonts w:hint="eastAsia"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，食堂废水先经油水分离器处理后同其他生活污水一同进入化粪池</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000000"/>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000000"/>
                      <w:kern w:val="0"/>
                      <w:sz w:val="21"/>
                      <w:szCs w:val="21"/>
                      <w:lang w:val="en-US" w:eastAsia="zh-CN" w:bidi="ar"/>
                    </w:rPr>
                    <w:t>绿化浇灌及道路洒水</w:t>
                  </w:r>
                  <w:r>
                    <w:rPr>
                      <w:rFonts w:hint="default" w:ascii="Times New Roman" w:hAnsi="Times New Roman" w:eastAsia="宋体" w:cs="Times New Roman"/>
                      <w:color w:val="auto"/>
                      <w:sz w:val="21"/>
                      <w:szCs w:val="21"/>
                    </w:rPr>
                    <w:t>，项目废水不外排</w:t>
                  </w:r>
                  <w:r>
                    <w:rPr>
                      <w:rFonts w:hint="default" w:ascii="Times New Roman" w:hAnsi="Times New Roman" w:eastAsia="宋体" w:cs="Times New Roman"/>
                      <w:color w:val="auto"/>
                      <w:sz w:val="21"/>
                      <w:szCs w:val="21"/>
                      <w:lang w:eastAsia="zh-CN"/>
                    </w:rPr>
                    <w:t>。</w:t>
                  </w:r>
                </w:p>
              </w:tc>
              <w:tc>
                <w:tcPr>
                  <w:tcW w:w="630" w:type="pct"/>
                  <w:noWrap w:val="0"/>
                  <w:vAlign w:val="center"/>
                </w:tcPr>
                <w:p w14:paraId="7D44EE2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否</w:t>
                  </w:r>
                </w:p>
              </w:tc>
            </w:tr>
            <w:tr w14:paraId="4124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566" w:type="pct"/>
                  <w:noWrap w:val="0"/>
                  <w:vAlign w:val="center"/>
                </w:tcPr>
                <w:p w14:paraId="315F629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环境风险</w:t>
                  </w:r>
                </w:p>
              </w:tc>
              <w:tc>
                <w:tcPr>
                  <w:tcW w:w="2072" w:type="pct"/>
                  <w:noWrap w:val="0"/>
                  <w:vAlign w:val="center"/>
                </w:tcPr>
                <w:p w14:paraId="4A98B4A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有毒有害和易燃易爆危险物质存储量超过临界量的建设项目。</w:t>
                  </w:r>
                </w:p>
              </w:tc>
              <w:tc>
                <w:tcPr>
                  <w:tcW w:w="1730" w:type="pct"/>
                  <w:noWrap w:val="0"/>
                  <w:vAlign w:val="center"/>
                </w:tcPr>
                <w:p w14:paraId="7F6A22E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highlight w:val="none"/>
                    </w:rPr>
                    <w:t>根据风</w:t>
                  </w:r>
                  <w:r>
                    <w:rPr>
                      <w:rFonts w:hint="default" w:ascii="Times New Roman" w:hAnsi="Times New Roman" w:eastAsia="宋体" w:cs="Times New Roman"/>
                      <w:color w:val="auto"/>
                      <w:kern w:val="0"/>
                      <w:sz w:val="21"/>
                      <w:szCs w:val="21"/>
                      <w:highlight w:val="none"/>
                    </w:rPr>
                    <w:t>险分析，</w:t>
                  </w: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Q值为</w:t>
                  </w:r>
                  <w:r>
                    <w:rPr>
                      <w:rFonts w:hint="default" w:ascii="Times New Roman" w:hAnsi="Times New Roman" w:eastAsia="宋体" w:cs="Times New Roman"/>
                      <w:i w:val="0"/>
                      <w:iCs w:val="0"/>
                      <w:color w:val="000000"/>
                      <w:kern w:val="0"/>
                      <w:sz w:val="21"/>
                      <w:szCs w:val="21"/>
                      <w:u w:val="none"/>
                      <w:lang w:val="en-US" w:eastAsia="zh-CN" w:bidi="ar"/>
                    </w:rPr>
                    <w:t>0.00024</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危险物质存储量未超过</w:t>
                  </w:r>
                  <w:r>
                    <w:rPr>
                      <w:rFonts w:hint="default" w:ascii="Times New Roman" w:hAnsi="Times New Roman" w:eastAsia="宋体" w:cs="Times New Roman"/>
                      <w:color w:val="auto"/>
                      <w:kern w:val="0"/>
                      <w:szCs w:val="21"/>
                      <w:highlight w:val="none"/>
                    </w:rPr>
                    <w:t>临界量。</w:t>
                  </w:r>
                </w:p>
              </w:tc>
              <w:tc>
                <w:tcPr>
                  <w:tcW w:w="630" w:type="pct"/>
                  <w:noWrap w:val="0"/>
                  <w:vAlign w:val="center"/>
                </w:tcPr>
                <w:p w14:paraId="15B3AE8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否</w:t>
                  </w:r>
                </w:p>
              </w:tc>
            </w:tr>
            <w:tr w14:paraId="16D9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 w:type="pct"/>
                  <w:noWrap w:val="0"/>
                  <w:vAlign w:val="center"/>
                </w:tcPr>
                <w:p w14:paraId="28ADB4AC">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生态</w:t>
                  </w:r>
                </w:p>
              </w:tc>
              <w:tc>
                <w:tcPr>
                  <w:tcW w:w="2072" w:type="pct"/>
                  <w:noWrap w:val="0"/>
                  <w:vAlign w:val="center"/>
                </w:tcPr>
                <w:p w14:paraId="7BE1CDD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取水口下游500米范围内有重要水生生物的自然产卵场、索饵场、越冬场和洄游通道的新增河道取水的污染类建设项目。</w:t>
                  </w:r>
                </w:p>
              </w:tc>
              <w:tc>
                <w:tcPr>
                  <w:tcW w:w="1730" w:type="pct"/>
                  <w:noWrap w:val="0"/>
                  <w:vAlign w:val="center"/>
                </w:tcPr>
                <w:p w14:paraId="30752C5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rPr>
                    <w:t>项目</w:t>
                  </w:r>
                  <w:r>
                    <w:rPr>
                      <w:rFonts w:hint="default" w:ascii="Times New Roman" w:hAnsi="Times New Roman" w:eastAsia="宋体" w:cs="Times New Roman"/>
                      <w:color w:val="auto"/>
                      <w:lang w:val="en-US" w:eastAsia="zh-CN"/>
                    </w:rPr>
                    <w:t>不涉及河道取水</w:t>
                  </w:r>
                  <w:r>
                    <w:rPr>
                      <w:rFonts w:hint="default" w:ascii="Times New Roman" w:hAnsi="Times New Roman" w:eastAsia="宋体" w:cs="Times New Roman"/>
                      <w:color w:val="auto"/>
                      <w:kern w:val="0"/>
                      <w:szCs w:val="21"/>
                    </w:rPr>
                    <w:t>。</w:t>
                  </w:r>
                </w:p>
              </w:tc>
              <w:tc>
                <w:tcPr>
                  <w:tcW w:w="630" w:type="pct"/>
                  <w:noWrap w:val="0"/>
                  <w:vAlign w:val="center"/>
                </w:tcPr>
                <w:p w14:paraId="5DBB114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否</w:t>
                  </w:r>
                </w:p>
              </w:tc>
            </w:tr>
            <w:tr w14:paraId="49C0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 w:type="pct"/>
                  <w:noWrap w:val="0"/>
                  <w:vAlign w:val="center"/>
                </w:tcPr>
                <w:p w14:paraId="4F14FACC">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海洋</w:t>
                  </w:r>
                </w:p>
              </w:tc>
              <w:tc>
                <w:tcPr>
                  <w:tcW w:w="2072" w:type="pct"/>
                  <w:noWrap w:val="0"/>
                  <w:vAlign w:val="center"/>
                </w:tcPr>
                <w:p w14:paraId="49960E7A">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直接向海排放污染物的海洋工程建设项目。</w:t>
                  </w:r>
                </w:p>
              </w:tc>
              <w:tc>
                <w:tcPr>
                  <w:tcW w:w="1730" w:type="pct"/>
                  <w:noWrap w:val="0"/>
                  <w:vAlign w:val="center"/>
                </w:tcPr>
                <w:p w14:paraId="3FE2E727">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项目不涉及向海洋排放污染物。</w:t>
                  </w:r>
                </w:p>
              </w:tc>
              <w:tc>
                <w:tcPr>
                  <w:tcW w:w="630" w:type="pct"/>
                  <w:noWrap w:val="0"/>
                  <w:vAlign w:val="center"/>
                </w:tcPr>
                <w:p w14:paraId="5C395CE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否</w:t>
                  </w:r>
                </w:p>
              </w:tc>
            </w:tr>
            <w:tr w14:paraId="28FA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center"/>
                </w:tcPr>
                <w:p w14:paraId="6011511D">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注：①废气中有毒有害污染物指纳入《有毒有害大气污染物名录》的污染物（不包括无排放标准的污染物）。</w:t>
                  </w:r>
                </w:p>
                <w:p w14:paraId="555D6C07">
                  <w:pPr>
                    <w:keepNext w:val="0"/>
                    <w:keepLines w:val="0"/>
                    <w:suppressLineNumbers w:val="0"/>
                    <w:autoSpaceDE w:val="0"/>
                    <w:autoSpaceDN w:val="0"/>
                    <w:adjustRightInd w:val="0"/>
                    <w:snapToGrid w:val="0"/>
                    <w:spacing w:before="0" w:beforeAutospacing="0" w:after="0" w:afterAutospacing="0"/>
                    <w:ind w:left="0" w:right="0" w:firstLine="420" w:firstLineChars="200"/>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②环境空气保护目标指自然保护区、风景名胜区、居住区、文化区和农村地区中人群较集中的区域。</w:t>
                  </w:r>
                </w:p>
                <w:p w14:paraId="7372E2F5">
                  <w:pPr>
                    <w:keepNext w:val="0"/>
                    <w:keepLines w:val="0"/>
                    <w:suppressLineNumbers w:val="0"/>
                    <w:autoSpaceDE w:val="0"/>
                    <w:autoSpaceDN w:val="0"/>
                    <w:adjustRightInd w:val="0"/>
                    <w:snapToGrid w:val="0"/>
                    <w:spacing w:before="0" w:beforeAutospacing="0" w:after="0" w:afterAutospacing="0"/>
                    <w:ind w:left="0" w:right="0" w:firstLine="420" w:firstLineChars="200"/>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③临界量及其计算方法可参考《建设项目环境风险评价技术导则》（HJ 169）附录B、附录C。</w:t>
                  </w:r>
                </w:p>
              </w:tc>
            </w:tr>
          </w:tbl>
          <w:p w14:paraId="1B959DB0">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b/>
                <w:bCs/>
                <w:color w:val="auto"/>
                <w:kern w:val="0"/>
                <w:sz w:val="24"/>
              </w:rPr>
              <w:t>由上表可知，</w:t>
            </w:r>
            <w:r>
              <w:rPr>
                <w:rFonts w:hint="default" w:ascii="Times New Roman" w:hAnsi="Times New Roman" w:eastAsia="宋体" w:cs="Times New Roman"/>
                <w:b/>
                <w:bCs/>
                <w:color w:val="auto"/>
                <w:kern w:val="0"/>
                <w:sz w:val="24"/>
                <w:lang w:val="en-US" w:eastAsia="zh-CN"/>
              </w:rPr>
              <w:t>本</w:t>
            </w:r>
            <w:r>
              <w:rPr>
                <w:rFonts w:hint="default" w:ascii="Times New Roman" w:hAnsi="Times New Roman" w:eastAsia="宋体" w:cs="Times New Roman"/>
                <w:b/>
                <w:bCs/>
                <w:color w:val="auto"/>
                <w:kern w:val="0"/>
                <w:sz w:val="24"/>
              </w:rPr>
              <w:t>项目不设置</w:t>
            </w:r>
            <w:r>
              <w:rPr>
                <w:rFonts w:hint="eastAsia" w:cs="Times New Roman"/>
                <w:b/>
                <w:bCs/>
                <w:color w:val="auto"/>
                <w:kern w:val="0"/>
                <w:sz w:val="24"/>
                <w:lang w:val="en-US" w:eastAsia="zh-CN"/>
              </w:rPr>
              <w:t>专项</w:t>
            </w:r>
            <w:r>
              <w:rPr>
                <w:rFonts w:hint="default" w:ascii="Times New Roman" w:hAnsi="Times New Roman" w:eastAsia="宋体" w:cs="Times New Roman"/>
                <w:b/>
                <w:bCs/>
                <w:color w:val="auto"/>
                <w:kern w:val="0"/>
                <w:sz w:val="24"/>
              </w:rPr>
              <w:t>评价。</w:t>
            </w:r>
          </w:p>
        </w:tc>
      </w:tr>
      <w:tr w14:paraId="3CFE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15" w:type="dxa"/>
            <w:noWrap w:val="0"/>
            <w:vAlign w:val="center"/>
          </w:tcPr>
          <w:p w14:paraId="646B160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sz w:val="24"/>
              </w:rPr>
              <w:t>规划情况</w:t>
            </w:r>
          </w:p>
        </w:tc>
        <w:tc>
          <w:tcPr>
            <w:tcW w:w="8124" w:type="dxa"/>
            <w:gridSpan w:val="3"/>
            <w:noWrap w:val="0"/>
            <w:vAlign w:val="center"/>
          </w:tcPr>
          <w:p w14:paraId="0FDC7E38">
            <w:pPr>
              <w:keepNext w:val="0"/>
              <w:keepLines w:val="0"/>
              <w:pageBreakBefore w:val="0"/>
              <w:widowControl w:val="0"/>
              <w:suppressLineNumbers w:val="0"/>
              <w:kinsoku/>
              <w:wordWrap/>
              <w:overflowPunct/>
              <w:topLinePunct w:val="0"/>
              <w:bidi w:val="0"/>
              <w:spacing w:before="157" w:beforeLines="50" w:beforeAutospacing="0" w:after="0" w:afterAutospacing="0" w:line="360" w:lineRule="auto"/>
              <w:ind w:left="0" w:right="0" w:firstLine="482" w:firstLineChars="200"/>
              <w:jc w:val="both"/>
              <w:textAlignment w:val="auto"/>
              <w:rPr>
                <w:rStyle w:val="120"/>
                <w:rFonts w:hint="default" w:ascii="Times New Roman" w:hAnsi="Times New Roman" w:eastAsia="宋体" w:cs="Times New Roman"/>
                <w:color w:val="auto"/>
                <w:sz w:val="24"/>
                <w:highlight w:val="none"/>
              </w:rPr>
            </w:pPr>
            <w:r>
              <w:rPr>
                <w:rStyle w:val="120"/>
                <w:rFonts w:hint="default" w:ascii="Times New Roman" w:hAnsi="Times New Roman" w:eastAsia="宋体" w:cs="Times New Roman"/>
                <w:b/>
                <w:bCs/>
                <w:color w:val="auto"/>
                <w:sz w:val="24"/>
                <w:highlight w:val="none"/>
                <w:lang w:val="en-US"/>
              </w:rPr>
              <w:t>1、</w:t>
            </w:r>
            <w:r>
              <w:rPr>
                <w:rStyle w:val="120"/>
                <w:rFonts w:hint="default" w:ascii="Times New Roman" w:hAnsi="Times New Roman" w:eastAsia="宋体" w:cs="Times New Roman"/>
                <w:b/>
                <w:bCs/>
                <w:color w:val="auto"/>
                <w:sz w:val="24"/>
                <w:highlight w:val="none"/>
              </w:rPr>
              <w:t>规划名称：</w:t>
            </w:r>
            <w:r>
              <w:rPr>
                <w:rFonts w:hint="default" w:ascii="Times New Roman" w:hAnsi="Times New Roman" w:eastAsia="宋体" w:cs="Times New Roman"/>
                <w:color w:val="auto"/>
                <w:sz w:val="24"/>
                <w:szCs w:val="24"/>
                <w:highlight w:val="none"/>
              </w:rPr>
              <w:t>《云南寻甸产业园区总体规划修编（2021-2035）》</w:t>
            </w:r>
            <w:r>
              <w:rPr>
                <w:rStyle w:val="120"/>
                <w:rFonts w:hint="default" w:ascii="Times New Roman" w:hAnsi="Times New Roman" w:eastAsia="宋体" w:cs="Times New Roman"/>
                <w:color w:val="auto"/>
                <w:sz w:val="24"/>
                <w:highlight w:val="none"/>
              </w:rPr>
              <w:t>；</w:t>
            </w:r>
          </w:p>
          <w:p w14:paraId="55E8F3AD">
            <w:pPr>
              <w:keepNext w:val="0"/>
              <w:keepLines w:val="0"/>
              <w:pageBreakBefore w:val="0"/>
              <w:widowControl w:val="0"/>
              <w:suppressLineNumbers w:val="0"/>
              <w:shd w:val="clear" w:color="auto" w:fill="auto"/>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val="0"/>
                <w:bCs w:val="0"/>
                <w:color w:val="auto"/>
                <w:sz w:val="24"/>
                <w:highlight w:val="none"/>
                <w:lang w:val="zh-CN"/>
              </w:rPr>
            </w:pPr>
            <w:r>
              <w:rPr>
                <w:rStyle w:val="120"/>
                <w:rFonts w:hint="default" w:ascii="Times New Roman" w:hAnsi="Times New Roman" w:eastAsia="宋体" w:cs="Times New Roman"/>
                <w:b/>
                <w:bCs/>
                <w:color w:val="auto"/>
                <w:sz w:val="24"/>
                <w:highlight w:val="none"/>
                <w:lang w:val="en-US"/>
              </w:rPr>
              <w:t>2、</w:t>
            </w:r>
            <w:r>
              <w:rPr>
                <w:rStyle w:val="120"/>
                <w:rFonts w:hint="default" w:ascii="Times New Roman" w:hAnsi="Times New Roman" w:eastAsia="宋体" w:cs="Times New Roman"/>
                <w:b/>
                <w:bCs/>
                <w:color w:val="auto"/>
                <w:sz w:val="24"/>
                <w:highlight w:val="none"/>
              </w:rPr>
              <w:t>审查机关：</w:t>
            </w:r>
            <w:r>
              <w:rPr>
                <w:rStyle w:val="120"/>
                <w:rFonts w:hint="default" w:ascii="Times New Roman" w:hAnsi="Times New Roman" w:eastAsia="宋体" w:cs="Times New Roman"/>
                <w:b w:val="0"/>
                <w:bCs w:val="0"/>
                <w:color w:val="auto"/>
                <w:sz w:val="24"/>
                <w:highlight w:val="none"/>
                <w:lang w:val="en-US"/>
              </w:rPr>
              <w:t>昆明市人民政府；</w:t>
            </w:r>
          </w:p>
          <w:p w14:paraId="40901C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b/>
                <w:bCs/>
                <w:color w:val="auto"/>
                <w:sz w:val="24"/>
                <w:highlight w:val="none"/>
                <w:lang w:val="en-US" w:eastAsia="zh-CN"/>
              </w:rPr>
              <w:t>3、审查文件名称及文号：</w:t>
            </w:r>
            <w:r>
              <w:rPr>
                <w:rStyle w:val="120"/>
                <w:rFonts w:hint="default" w:ascii="Times New Roman" w:hAnsi="Times New Roman" w:eastAsia="宋体" w:cs="Times New Roman"/>
                <w:b w:val="0"/>
                <w:bCs w:val="0"/>
                <w:color w:val="auto"/>
                <w:sz w:val="24"/>
                <w:highlight w:val="none"/>
                <w:lang w:val="en-US"/>
              </w:rPr>
              <w:t>昆明市人民政府</w:t>
            </w:r>
            <w:r>
              <w:rPr>
                <w:rFonts w:hint="default" w:ascii="Times New Roman" w:hAnsi="Times New Roman" w:eastAsia="宋体" w:cs="Times New Roman"/>
                <w:b w:val="0"/>
                <w:bCs w:val="0"/>
                <w:color w:val="auto"/>
                <w:sz w:val="24"/>
                <w:szCs w:val="24"/>
                <w:highlight w:val="none"/>
                <w:lang w:val="en-US" w:eastAsia="zh-CN"/>
              </w:rPr>
              <w:t>关于</w:t>
            </w:r>
            <w:r>
              <w:rPr>
                <w:rFonts w:hint="default" w:ascii="Times New Roman" w:hAnsi="Times New Roman" w:eastAsia="宋体" w:cs="Times New Roman"/>
                <w:b w:val="0"/>
                <w:bCs/>
                <w:color w:val="auto"/>
                <w:sz w:val="24"/>
                <w:szCs w:val="24"/>
                <w:highlight w:val="none"/>
                <w:lang w:val="en-US" w:eastAsia="zh-CN"/>
              </w:rPr>
              <w:t>《云南寻甸产业园区总体规划修编（2021—2035年）》的批复（昆政复〔2023〕63号）</w:t>
            </w:r>
            <w:r>
              <w:rPr>
                <w:rFonts w:hint="default" w:ascii="Times New Roman" w:hAnsi="Times New Roman" w:eastAsia="宋体" w:cs="Times New Roman"/>
                <w:b w:val="0"/>
                <w:bCs w:val="0"/>
                <w:color w:val="auto"/>
                <w:sz w:val="24"/>
                <w:szCs w:val="24"/>
                <w:highlight w:val="none"/>
                <w:lang w:val="en-US" w:eastAsia="zh-CN"/>
              </w:rPr>
              <w:t>。</w:t>
            </w:r>
          </w:p>
        </w:tc>
      </w:tr>
      <w:tr w14:paraId="0B7B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15" w:type="dxa"/>
            <w:noWrap w:val="0"/>
            <w:vAlign w:val="center"/>
          </w:tcPr>
          <w:p w14:paraId="061C60B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sz w:val="24"/>
              </w:rPr>
              <w:t>规划环境影响评价情况</w:t>
            </w:r>
          </w:p>
        </w:tc>
        <w:tc>
          <w:tcPr>
            <w:tcW w:w="8124" w:type="dxa"/>
            <w:gridSpan w:val="3"/>
            <w:noWrap w:val="0"/>
            <w:vAlign w:val="center"/>
          </w:tcPr>
          <w:p w14:paraId="7C164605">
            <w:pPr>
              <w:keepNext w:val="0"/>
              <w:keepLines w:val="0"/>
              <w:pageBreakBefore w:val="0"/>
              <w:widowControl w:val="0"/>
              <w:numPr>
                <w:ilvl w:val="0"/>
                <w:numId w:val="0"/>
              </w:numPr>
              <w:suppressLineNumbers w:val="0"/>
              <w:shd w:val="clear" w:color="auto" w:fill="auto"/>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82" w:firstLineChars="200"/>
              <w:jc w:val="both"/>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bCs/>
                <w:color w:val="auto"/>
                <w:sz w:val="24"/>
                <w:highlight w:val="none"/>
                <w:lang w:val="en-US" w:eastAsia="zh-CN"/>
              </w:rPr>
              <w:t>1、规划环境影响评价文件名称：</w:t>
            </w:r>
            <w:r>
              <w:rPr>
                <w:rFonts w:hint="default" w:ascii="Times New Roman" w:hAnsi="Times New Roman" w:eastAsia="宋体" w:cs="Times New Roman"/>
                <w:b w:val="0"/>
                <w:bCs/>
                <w:color w:val="auto"/>
                <w:sz w:val="24"/>
                <w:szCs w:val="24"/>
                <w:highlight w:val="none"/>
                <w:lang w:val="en-US" w:eastAsia="zh-CN"/>
              </w:rPr>
              <w:t>《云南寻甸产业园区总体规划修编（2021-2035）环境影响报告书》；</w:t>
            </w:r>
          </w:p>
          <w:p w14:paraId="4F105D81">
            <w:pPr>
              <w:keepNext w:val="0"/>
              <w:keepLines w:val="0"/>
              <w:pageBreakBefore w:val="0"/>
              <w:widowControl w:val="0"/>
              <w:numPr>
                <w:ilvl w:val="0"/>
                <w:numId w:val="0"/>
              </w:numPr>
              <w:suppressLineNumbers w:val="0"/>
              <w:shd w:val="clear" w:color="auto" w:fill="auto"/>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bCs/>
                <w:color w:val="auto"/>
                <w:sz w:val="24"/>
                <w:highlight w:val="none"/>
                <w:lang w:val="en-US" w:eastAsia="zh-CN"/>
              </w:rPr>
              <w:t>2、审查机关：</w:t>
            </w:r>
            <w:r>
              <w:rPr>
                <w:rStyle w:val="120"/>
                <w:rFonts w:hint="default" w:ascii="Times New Roman" w:hAnsi="Times New Roman" w:eastAsia="宋体" w:cs="Times New Roman"/>
                <w:color w:val="auto"/>
                <w:sz w:val="24"/>
                <w:highlight w:val="none"/>
              </w:rPr>
              <w:t>昆明市生态环境局</w:t>
            </w:r>
            <w:r>
              <w:rPr>
                <w:rFonts w:hint="default" w:ascii="Times New Roman" w:hAnsi="Times New Roman" w:eastAsia="宋体" w:cs="Times New Roman"/>
                <w:b w:val="0"/>
                <w:bCs w:val="0"/>
                <w:color w:val="auto"/>
                <w:sz w:val="24"/>
                <w:szCs w:val="24"/>
                <w:highlight w:val="none"/>
                <w:lang w:val="en-US" w:eastAsia="zh-CN"/>
              </w:rPr>
              <w:t>；</w:t>
            </w:r>
          </w:p>
          <w:p w14:paraId="612BE9D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b/>
                <w:bCs/>
                <w:color w:val="auto"/>
                <w:sz w:val="24"/>
                <w:highlight w:val="none"/>
                <w:lang w:val="en-US" w:eastAsia="zh-CN"/>
              </w:rPr>
              <w:t>3、审查文件名称及文号：</w:t>
            </w:r>
            <w:r>
              <w:rPr>
                <w:rFonts w:hint="default" w:ascii="Times New Roman" w:hAnsi="Times New Roman" w:eastAsia="宋体" w:cs="Times New Roman"/>
                <w:b w:val="0"/>
                <w:bCs w:val="0"/>
                <w:color w:val="auto"/>
                <w:sz w:val="24"/>
                <w:szCs w:val="24"/>
                <w:highlight w:val="none"/>
                <w:lang w:val="en-US" w:eastAsia="zh-CN"/>
              </w:rPr>
              <w:t>昆明市生态环境局关于</w:t>
            </w:r>
            <w:r>
              <w:rPr>
                <w:rFonts w:hint="default" w:ascii="Times New Roman" w:hAnsi="Times New Roman" w:eastAsia="宋体" w:cs="Times New Roman"/>
                <w:b w:val="0"/>
                <w:bCs/>
                <w:color w:val="auto"/>
                <w:sz w:val="24"/>
                <w:szCs w:val="24"/>
                <w:highlight w:val="none"/>
                <w:lang w:val="en-US" w:eastAsia="zh-CN"/>
              </w:rPr>
              <w:t>《云南寻甸产业园区总体规划修编（2021-2035）环境影响报告书》审查意见的函（昆环审</w:t>
            </w:r>
            <w:r>
              <w:rPr>
                <w:rFonts w:hint="default" w:ascii="Times New Roman" w:hAnsi="Times New Roman" w:eastAsia="宋体" w:cs="Times New Roman"/>
                <w:color w:val="auto"/>
                <w:sz w:val="24"/>
                <w:szCs w:val="24"/>
                <w:lang w:val="en-US" w:eastAsia="zh-CN"/>
              </w:rPr>
              <w:t>〔2023〕</w:t>
            </w:r>
            <w:r>
              <w:rPr>
                <w:rFonts w:hint="default" w:ascii="Times New Roman" w:hAnsi="Times New Roman" w:eastAsia="宋体" w:cs="Times New Roman"/>
                <w:b w:val="0"/>
                <w:bCs/>
                <w:color w:val="auto"/>
                <w:sz w:val="24"/>
                <w:szCs w:val="24"/>
                <w:highlight w:val="none"/>
                <w:lang w:val="en-US" w:eastAsia="zh-CN"/>
              </w:rPr>
              <w:t>5号）</w:t>
            </w:r>
            <w:r>
              <w:rPr>
                <w:rFonts w:hint="default" w:ascii="Times New Roman" w:hAnsi="Times New Roman" w:eastAsia="宋体" w:cs="Times New Roman"/>
                <w:b w:val="0"/>
                <w:bCs w:val="0"/>
                <w:color w:val="auto"/>
                <w:sz w:val="24"/>
                <w:szCs w:val="24"/>
                <w:highlight w:val="none"/>
                <w:lang w:val="en-US" w:eastAsia="zh-CN"/>
              </w:rPr>
              <w:t>。</w:t>
            </w:r>
          </w:p>
        </w:tc>
      </w:tr>
      <w:tr w14:paraId="19BC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015" w:type="dxa"/>
            <w:noWrap w:val="0"/>
            <w:vAlign w:val="center"/>
          </w:tcPr>
          <w:p w14:paraId="62781BD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规划及规划环境影响评价符合性分析</w:t>
            </w:r>
          </w:p>
        </w:tc>
        <w:tc>
          <w:tcPr>
            <w:tcW w:w="8124" w:type="dxa"/>
            <w:gridSpan w:val="3"/>
            <w:noWrap w:val="0"/>
            <w:vAlign w:val="center"/>
          </w:tcPr>
          <w:p w14:paraId="14EC5124">
            <w:pPr>
              <w:pStyle w:val="24"/>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1、与</w:t>
            </w:r>
            <w:r>
              <w:rPr>
                <w:rFonts w:hint="default" w:ascii="Times New Roman" w:hAnsi="Times New Roman" w:eastAsia="宋体" w:cs="Times New Roman"/>
                <w:b/>
                <w:bCs w:val="0"/>
                <w:color w:val="auto"/>
                <w:sz w:val="24"/>
                <w:szCs w:val="24"/>
                <w:highlight w:val="none"/>
                <w:lang w:val="zh-CN" w:eastAsia="zh-CN"/>
              </w:rPr>
              <w:t>《云南寻甸产业园区总体规划修编（2021-2035）》</w:t>
            </w:r>
            <w:r>
              <w:rPr>
                <w:rFonts w:hint="default" w:ascii="Times New Roman" w:hAnsi="Times New Roman" w:eastAsia="宋体" w:cs="Times New Roman"/>
                <w:b/>
                <w:bCs w:val="0"/>
                <w:color w:val="auto"/>
                <w:sz w:val="24"/>
                <w:szCs w:val="24"/>
                <w:highlight w:val="none"/>
                <w:lang w:val="en-US" w:eastAsia="zh-CN"/>
              </w:rPr>
              <w:t>的符合性分析</w:t>
            </w:r>
          </w:p>
          <w:p w14:paraId="2B68341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规划简介</w:t>
            </w:r>
          </w:p>
          <w:p w14:paraId="764BE35A">
            <w:pPr>
              <w:keepNext w:val="0"/>
              <w:keepLines w:val="0"/>
              <w:pageBreakBefore w:val="0"/>
              <w:widowControl w:val="0"/>
              <w:suppressLineNumbers w:val="0"/>
              <w:shd w:val="clear" w:color="auto" w:fill="auto"/>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val="zh-CN" w:eastAsia="zh-CN"/>
              </w:rPr>
            </w:pPr>
            <w:r>
              <w:rPr>
                <w:rFonts w:hint="default" w:ascii="Times New Roman" w:hAnsi="Times New Roman" w:eastAsia="宋体" w:cs="Times New Roman"/>
                <w:b w:val="0"/>
                <w:bCs w:val="0"/>
                <w:color w:val="auto"/>
                <w:sz w:val="24"/>
                <w:szCs w:val="24"/>
                <w:highlight w:val="none"/>
                <w:lang w:val="zh-CN" w:eastAsia="zh-CN"/>
              </w:rPr>
              <w:t>根据《云南寻甸产业园区总体规划修编（2021-2035）》，修编后云南寻甸产业园区至2035年园区总面积控制为12.15k</w:t>
            </w:r>
            <w:r>
              <w:rPr>
                <w:rFonts w:hint="eastAsia" w:cs="Times New Roman"/>
                <w:b w:val="0"/>
                <w:bCs w:val="0"/>
                <w:color w:val="auto"/>
                <w:sz w:val="24"/>
                <w:szCs w:val="24"/>
                <w:highlight w:val="none"/>
                <w:lang w:val="zh-CN" w:eastAsia="zh-CN"/>
              </w:rPr>
              <w:t>m</w:t>
            </w:r>
            <w:r>
              <w:rPr>
                <w:rFonts w:hint="eastAsia" w:cs="Times New Roman"/>
                <w:b w:val="0"/>
                <w:bCs w:val="0"/>
                <w:color w:val="auto"/>
                <w:sz w:val="24"/>
                <w:szCs w:val="24"/>
                <w:highlight w:val="none"/>
                <w:vertAlign w:val="superscript"/>
                <w:lang w:val="zh-CN" w:eastAsia="zh-CN"/>
              </w:rPr>
              <w:t>2</w:t>
            </w:r>
            <w:r>
              <w:rPr>
                <w:rFonts w:hint="default" w:ascii="Times New Roman" w:hAnsi="Times New Roman" w:eastAsia="宋体" w:cs="Times New Roman"/>
                <w:b w:val="0"/>
                <w:bCs w:val="0"/>
                <w:color w:val="auto"/>
                <w:sz w:val="24"/>
                <w:szCs w:val="24"/>
                <w:highlight w:val="none"/>
                <w:lang w:val="zh-CN" w:eastAsia="zh-CN"/>
              </w:rPr>
              <w:t>（1214.59公顷），总体布局规划由“一园三片”组成，即羊街片区、金所（天生桥）片区、倘甸片区，其中金所片区规划面积6.82k</w:t>
            </w:r>
            <w:r>
              <w:rPr>
                <w:rFonts w:hint="eastAsia" w:cs="Times New Roman"/>
                <w:b w:val="0"/>
                <w:bCs w:val="0"/>
                <w:color w:val="auto"/>
                <w:sz w:val="24"/>
                <w:szCs w:val="24"/>
                <w:highlight w:val="none"/>
                <w:lang w:val="zh-CN" w:eastAsia="zh-CN"/>
              </w:rPr>
              <w:t>m</w:t>
            </w:r>
            <w:r>
              <w:rPr>
                <w:rFonts w:hint="eastAsia" w:cs="Times New Roman"/>
                <w:b w:val="0"/>
                <w:bCs w:val="0"/>
                <w:color w:val="auto"/>
                <w:sz w:val="24"/>
                <w:szCs w:val="24"/>
                <w:highlight w:val="none"/>
                <w:vertAlign w:val="superscript"/>
                <w:lang w:val="zh-CN" w:eastAsia="zh-CN"/>
              </w:rPr>
              <w:t>2</w:t>
            </w:r>
            <w:r>
              <w:rPr>
                <w:rFonts w:hint="default" w:ascii="Times New Roman" w:hAnsi="Times New Roman" w:eastAsia="宋体" w:cs="Times New Roman"/>
                <w:b w:val="0"/>
                <w:bCs w:val="0"/>
                <w:color w:val="auto"/>
                <w:sz w:val="24"/>
                <w:szCs w:val="24"/>
                <w:highlight w:val="none"/>
                <w:lang w:val="zh-CN" w:eastAsia="zh-CN"/>
              </w:rPr>
              <w:t>（681.52公顷）；羊街片区规划面积 2.63k</w:t>
            </w:r>
            <w:r>
              <w:rPr>
                <w:rFonts w:hint="eastAsia" w:cs="Times New Roman"/>
                <w:b w:val="0"/>
                <w:bCs w:val="0"/>
                <w:color w:val="auto"/>
                <w:sz w:val="24"/>
                <w:szCs w:val="24"/>
                <w:highlight w:val="none"/>
                <w:lang w:val="zh-CN" w:eastAsia="zh-CN"/>
              </w:rPr>
              <w:t>m</w:t>
            </w:r>
            <w:r>
              <w:rPr>
                <w:rFonts w:hint="eastAsia" w:cs="Times New Roman"/>
                <w:b w:val="0"/>
                <w:bCs w:val="0"/>
                <w:color w:val="auto"/>
                <w:sz w:val="24"/>
                <w:szCs w:val="24"/>
                <w:highlight w:val="none"/>
                <w:vertAlign w:val="superscript"/>
                <w:lang w:val="zh-CN" w:eastAsia="zh-CN"/>
              </w:rPr>
              <w:t>2</w:t>
            </w:r>
            <w:r>
              <w:rPr>
                <w:rFonts w:hint="default" w:ascii="Times New Roman" w:hAnsi="Times New Roman" w:eastAsia="宋体" w:cs="Times New Roman"/>
                <w:b w:val="0"/>
                <w:bCs w:val="0"/>
                <w:color w:val="auto"/>
                <w:sz w:val="24"/>
                <w:szCs w:val="24"/>
                <w:highlight w:val="none"/>
                <w:lang w:val="zh-CN" w:eastAsia="zh-CN"/>
              </w:rPr>
              <w:t>（263.39公顷）；倘甸片区规划面积2.70k</w:t>
            </w:r>
            <w:r>
              <w:rPr>
                <w:rFonts w:hint="eastAsia" w:cs="Times New Roman"/>
                <w:b w:val="0"/>
                <w:bCs w:val="0"/>
                <w:color w:val="auto"/>
                <w:sz w:val="24"/>
                <w:szCs w:val="24"/>
                <w:highlight w:val="none"/>
                <w:lang w:val="zh-CN" w:eastAsia="zh-CN"/>
              </w:rPr>
              <w:t>m</w:t>
            </w:r>
            <w:r>
              <w:rPr>
                <w:rFonts w:hint="eastAsia" w:cs="Times New Roman"/>
                <w:b w:val="0"/>
                <w:bCs w:val="0"/>
                <w:color w:val="auto"/>
                <w:sz w:val="24"/>
                <w:szCs w:val="24"/>
                <w:highlight w:val="none"/>
                <w:vertAlign w:val="superscript"/>
                <w:lang w:val="zh-CN" w:eastAsia="zh-CN"/>
              </w:rPr>
              <w:t>2</w:t>
            </w:r>
            <w:r>
              <w:rPr>
                <w:rFonts w:hint="default" w:ascii="Times New Roman" w:hAnsi="Times New Roman" w:eastAsia="宋体" w:cs="Times New Roman"/>
                <w:b w:val="0"/>
                <w:bCs w:val="0"/>
                <w:color w:val="auto"/>
                <w:sz w:val="24"/>
                <w:szCs w:val="24"/>
                <w:highlight w:val="none"/>
                <w:lang w:val="zh-CN" w:eastAsia="zh-CN"/>
              </w:rPr>
              <w:t>（269.69公顷）。主要产业发展定位为：云南省层面—云南省省级园区产镇融合的先导区；滇东北城市群层面—滇中及滇东北城市群的非烟轻工产业集聚区；昆明市层面—昆明东部工业走廊的产业门户重地；寻甸县层面—寻甸产业整合进园发展的承载重地。即园区定位为“以非烟轻工制造为主导，以绿色化工、先进装备制造为辅导产业，巩固提升2大传统产业，即生物医疗、绿色建材传统产业，积极培育生产性服务业和生活性服务业，着力构建形成“3+2+2”的现代产业体系架构。”其中，金所片区金所组团（6分区）定位为先进装备制造产业区、非烟轻工产业区、绿色建材产业区、绿色化工产业区、公共服务配套区、中转物流区；金所片区天生桥组团（2 分区）定位为绿色化工产业区、先进装备制造产业区；羊街片区（3分区）定位为先进装备制造产业区、非烟轻工产业区、商贸物流及冷链加工区；倘甸片区（4 分区）定位为生物医疗产业区、先进装备制造产业区、非烟轻工产业区、公共服务配套区。</w:t>
            </w:r>
          </w:p>
          <w:p w14:paraId="000B8A5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zh-CN"/>
              </w:rPr>
              <w:t>（</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）相符性分析</w:t>
            </w:r>
          </w:p>
          <w:p w14:paraId="2D0427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本项目为塑料制品生产项目，位于金所街道办事处竹沟社区居委会魏所工业园区01号。根据项目与《云南寻甸产业园区总体规划修编（2021‑2035）》中的金所片区土地利用规划叠图分析，项目位于云南寻甸产业园区金所片区金所组团内</w:t>
            </w:r>
            <w:r>
              <w:rPr>
                <w:rFonts w:hint="default" w:ascii="Times New Roman" w:hAnsi="Times New Roman" w:eastAsia="宋体" w:cs="Times New Roman"/>
                <w:color w:val="auto"/>
                <w:kern w:val="0"/>
                <w:sz w:val="24"/>
                <w:lang w:val="zh-CN" w:bidi="ar"/>
              </w:rPr>
              <w:t>用地为</w:t>
            </w:r>
            <w:r>
              <w:rPr>
                <w:rFonts w:hint="eastAsia" w:cs="Times New Roman"/>
                <w:color w:val="auto"/>
                <w:kern w:val="0"/>
                <w:sz w:val="24"/>
                <w:lang w:val="en-US" w:eastAsia="zh-CN" w:bidi="ar"/>
              </w:rPr>
              <w:t>二类</w:t>
            </w:r>
            <w:r>
              <w:rPr>
                <w:rFonts w:hint="default" w:ascii="Times New Roman" w:hAnsi="Times New Roman" w:eastAsia="宋体" w:cs="Times New Roman"/>
                <w:color w:val="auto"/>
                <w:kern w:val="0"/>
                <w:sz w:val="24"/>
                <w:lang w:val="zh-CN" w:bidi="ar"/>
              </w:rPr>
              <w:t>工业用地</w:t>
            </w:r>
            <w:r>
              <w:rPr>
                <w:rFonts w:hint="eastAsia" w:ascii="Times New Roman" w:hAnsi="Times New Roman" w:eastAsia="宋体" w:cs="Times New Roman"/>
                <w:color w:val="auto"/>
                <w:kern w:val="0"/>
                <w:sz w:val="24"/>
                <w:lang w:val="zh-CN" w:bidi="ar"/>
              </w:rPr>
              <w:t>。</w:t>
            </w:r>
          </w:p>
          <w:p w14:paraId="16D5B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zh-CN" w:eastAsia="zh-CN"/>
              </w:rPr>
              <w:t>金所片区金所组团</w:t>
            </w:r>
            <w:r>
              <w:rPr>
                <w:rFonts w:hint="default" w:ascii="Times New Roman" w:hAnsi="Times New Roman" w:eastAsia="宋体" w:cs="Times New Roman"/>
                <w:b w:val="0"/>
                <w:bCs/>
                <w:color w:val="auto"/>
                <w:sz w:val="24"/>
                <w:szCs w:val="24"/>
                <w:highlight w:val="none"/>
                <w:lang w:val="en-US" w:eastAsia="zh-CN"/>
              </w:rPr>
              <w:t>主导产业定位为</w:t>
            </w:r>
            <w:r>
              <w:rPr>
                <w:rFonts w:hint="default" w:ascii="Times New Roman" w:hAnsi="Times New Roman" w:eastAsia="宋体" w:cs="Times New Roman"/>
                <w:b w:val="0"/>
                <w:bCs w:val="0"/>
                <w:color w:val="auto"/>
                <w:sz w:val="24"/>
                <w:szCs w:val="24"/>
                <w:highlight w:val="none"/>
                <w:lang w:val="zh-CN" w:eastAsia="zh-CN"/>
              </w:rPr>
              <w:t>先进装备制造</w:t>
            </w:r>
            <w:r>
              <w:rPr>
                <w:rFonts w:hint="default"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zh-CN" w:eastAsia="zh-CN"/>
              </w:rPr>
              <w:t>非烟轻工</w:t>
            </w:r>
            <w:r>
              <w:rPr>
                <w:rFonts w:hint="eastAsia" w:ascii="Times New Roman" w:hAnsi="Times New Roman" w:eastAsia="宋体" w:cs="Times New Roman"/>
                <w:b w:val="0"/>
                <w:bCs w:val="0"/>
                <w:color w:val="auto"/>
                <w:sz w:val="24"/>
                <w:szCs w:val="24"/>
                <w:highlight w:val="none"/>
                <w:lang w:val="zh-CN" w:eastAsia="zh-CN"/>
              </w:rPr>
              <w:t>、</w:t>
            </w:r>
            <w:r>
              <w:rPr>
                <w:rFonts w:hint="default" w:ascii="Times New Roman" w:hAnsi="Times New Roman" w:eastAsia="宋体" w:cs="Times New Roman"/>
                <w:b w:val="0"/>
                <w:bCs w:val="0"/>
                <w:color w:val="auto"/>
                <w:sz w:val="24"/>
                <w:szCs w:val="24"/>
                <w:highlight w:val="none"/>
                <w:lang w:val="zh-CN" w:eastAsia="zh-CN"/>
              </w:rPr>
              <w:t>绿色建材</w:t>
            </w:r>
            <w:r>
              <w:rPr>
                <w:rFonts w:hint="eastAsia" w:ascii="Times New Roman" w:hAnsi="Times New Roman" w:eastAsia="宋体" w:cs="Times New Roman"/>
                <w:b w:val="0"/>
                <w:bCs w:val="0"/>
                <w:color w:val="auto"/>
                <w:sz w:val="24"/>
                <w:szCs w:val="24"/>
                <w:highlight w:val="none"/>
                <w:lang w:val="zh-CN" w:eastAsia="zh-CN"/>
              </w:rPr>
              <w:t>、</w:t>
            </w:r>
            <w:r>
              <w:rPr>
                <w:rFonts w:hint="default" w:ascii="Times New Roman" w:hAnsi="Times New Roman" w:eastAsia="宋体" w:cs="Times New Roman"/>
                <w:b w:val="0"/>
                <w:bCs w:val="0"/>
                <w:color w:val="auto"/>
                <w:sz w:val="24"/>
                <w:szCs w:val="24"/>
                <w:highlight w:val="none"/>
                <w:lang w:val="zh-CN" w:eastAsia="zh-CN"/>
              </w:rPr>
              <w:t>绿色化工</w:t>
            </w:r>
            <w:r>
              <w:rPr>
                <w:rFonts w:hint="default" w:ascii="Times New Roman" w:hAnsi="Times New Roman" w:eastAsia="宋体" w:cs="Times New Roman"/>
                <w:b w:val="0"/>
                <w:bCs/>
                <w:color w:val="auto"/>
                <w:sz w:val="24"/>
                <w:szCs w:val="24"/>
                <w:highlight w:val="none"/>
                <w:lang w:val="en-US" w:eastAsia="zh-CN"/>
              </w:rPr>
              <w:t>等产业，本项目属于塑料制品</w:t>
            </w:r>
            <w:r>
              <w:rPr>
                <w:rFonts w:hint="eastAsia" w:cs="Times New Roman"/>
                <w:b w:val="0"/>
                <w:bCs/>
                <w:color w:val="auto"/>
                <w:sz w:val="24"/>
                <w:szCs w:val="24"/>
                <w:highlight w:val="none"/>
                <w:lang w:val="en-US" w:eastAsia="zh-CN"/>
              </w:rPr>
              <w:t>生产</w:t>
            </w:r>
            <w:r>
              <w:rPr>
                <w:rFonts w:hint="default" w:ascii="Times New Roman" w:hAnsi="Times New Roman" w:eastAsia="宋体" w:cs="Times New Roman"/>
                <w:b w:val="0"/>
                <w:bCs/>
                <w:color w:val="auto"/>
                <w:sz w:val="24"/>
                <w:szCs w:val="24"/>
                <w:highlight w:val="none"/>
                <w:lang w:val="en-US" w:eastAsia="zh-CN"/>
              </w:rPr>
              <w:t>（轻工加工类），项目行业属性与</w:t>
            </w:r>
            <w:r>
              <w:rPr>
                <w:rFonts w:hint="default" w:ascii="Times New Roman" w:hAnsi="Times New Roman" w:eastAsia="宋体" w:cs="Times New Roman"/>
                <w:b w:val="0"/>
                <w:bCs w:val="0"/>
                <w:color w:val="auto"/>
                <w:sz w:val="24"/>
                <w:szCs w:val="24"/>
                <w:highlight w:val="none"/>
                <w:lang w:val="zh-CN" w:eastAsia="zh-CN"/>
              </w:rPr>
              <w:t>金所片区金所组团</w:t>
            </w:r>
            <w:r>
              <w:rPr>
                <w:rFonts w:hint="default" w:ascii="Times New Roman" w:hAnsi="Times New Roman" w:eastAsia="宋体" w:cs="Times New Roman"/>
                <w:b w:val="0"/>
                <w:bCs/>
                <w:color w:val="auto"/>
                <w:sz w:val="24"/>
                <w:szCs w:val="24"/>
                <w:highlight w:val="none"/>
                <w:lang w:val="en-US" w:eastAsia="zh-CN"/>
              </w:rPr>
              <w:t>产业定位相契合，不存在行业冲突。同时，2026年8月21日</w:t>
            </w:r>
            <w:r>
              <w:rPr>
                <w:rFonts w:hint="eastAsia" w:cs="Times New Roman"/>
                <w:b w:val="0"/>
                <w:bCs/>
                <w:color w:val="auto"/>
                <w:sz w:val="24"/>
                <w:szCs w:val="24"/>
                <w:highlight w:val="none"/>
                <w:lang w:val="en-US" w:eastAsia="zh-CN"/>
              </w:rPr>
              <w:t>项目</w:t>
            </w:r>
            <w:r>
              <w:rPr>
                <w:rFonts w:hint="default" w:ascii="Times New Roman" w:hAnsi="Times New Roman" w:eastAsia="宋体" w:cs="Times New Roman"/>
                <w:b w:val="0"/>
                <w:bCs/>
                <w:color w:val="auto"/>
                <w:sz w:val="24"/>
                <w:szCs w:val="24"/>
                <w:highlight w:val="none"/>
                <w:lang w:val="en-US" w:eastAsia="zh-CN"/>
              </w:rPr>
              <w:t>已取得寻甸特色产业园区管理委员会出具的《寻甸亿源塑料制品有限公司果蔬专用框生产项目（金所片区）入园申请同意书》，同意书中明确“项目符合园区产业发展，同意寻甸亿源塑料制品有限公司《寻甸亿源塑料制品有限公司果蔬专用框生产项目（金所片区）》入驻寻甸产业园区金所片区”。</w:t>
            </w:r>
          </w:p>
          <w:p w14:paraId="73450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综上分析，项目建设用地属于二类工业用地，</w:t>
            </w:r>
            <w:r>
              <w:rPr>
                <w:rFonts w:hint="eastAsia" w:cs="Times New Roman"/>
                <w:b w:val="0"/>
                <w:bCs/>
                <w:color w:val="auto"/>
                <w:sz w:val="24"/>
                <w:szCs w:val="24"/>
                <w:highlight w:val="none"/>
                <w:lang w:val="en-US" w:eastAsia="zh-CN"/>
              </w:rPr>
              <w:t>属于</w:t>
            </w:r>
            <w:r>
              <w:rPr>
                <w:rFonts w:hint="default" w:ascii="Times New Roman" w:hAnsi="Times New Roman" w:eastAsia="宋体" w:cs="Times New Roman"/>
                <w:b w:val="0"/>
                <w:bCs/>
                <w:color w:val="auto"/>
                <w:sz w:val="24"/>
                <w:szCs w:val="24"/>
                <w:highlight w:val="none"/>
                <w:lang w:val="en-US" w:eastAsia="zh-CN"/>
              </w:rPr>
              <w:t>轻工加工产业</w:t>
            </w:r>
            <w:r>
              <w:rPr>
                <w:rFonts w:hint="eastAsia"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符合金所片区产业定位，项目建设符合《云南寻甸产业园区总体规划修编（2021‑2035）》中的相关要求。</w:t>
            </w:r>
          </w:p>
          <w:p w14:paraId="601046B2">
            <w:pPr>
              <w:pStyle w:val="24"/>
              <w:keepNext w:val="0"/>
              <w:keepLines w:val="0"/>
              <w:pageBreakBefore w:val="0"/>
              <w:widowControl w:val="0"/>
              <w:numPr>
                <w:ilvl w:val="0"/>
                <w:numId w:val="2"/>
              </w:numPr>
              <w:suppressLineNumbers w:val="0"/>
              <w:shd w:val="clear" w:color="auto" w:fill="auto"/>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sz w:val="24"/>
                <w:szCs w:val="24"/>
                <w:highlight w:val="none"/>
                <w:lang w:val="en-US" w:eastAsia="zh-CN"/>
              </w:rPr>
            </w:pPr>
            <w:bookmarkStart w:id="4" w:name="_Toc31449"/>
            <w:r>
              <w:rPr>
                <w:rFonts w:hint="default" w:ascii="Times New Roman" w:hAnsi="Times New Roman" w:eastAsia="宋体" w:cs="Times New Roman"/>
                <w:b/>
                <w:bCs w:val="0"/>
                <w:color w:val="auto"/>
                <w:sz w:val="24"/>
                <w:szCs w:val="24"/>
                <w:highlight w:val="none"/>
                <w:lang w:val="zh-CN" w:bidi="ar"/>
              </w:rPr>
              <w:t>与《云南寻甸产业园区总体规划修编（2021-2035）环境影响报告书》</w:t>
            </w:r>
            <w:r>
              <w:rPr>
                <w:rFonts w:hint="default" w:ascii="Times New Roman" w:hAnsi="Times New Roman" w:eastAsia="宋体" w:cs="Times New Roman"/>
                <w:b/>
                <w:bCs w:val="0"/>
                <w:color w:val="auto"/>
                <w:sz w:val="24"/>
                <w:szCs w:val="24"/>
                <w:highlight w:val="none"/>
                <w:lang w:val="en-US" w:eastAsia="zh-CN" w:bidi="ar"/>
              </w:rPr>
              <w:t>及</w:t>
            </w:r>
            <w:r>
              <w:rPr>
                <w:rFonts w:hint="default" w:ascii="Times New Roman" w:hAnsi="Times New Roman" w:eastAsia="宋体" w:cs="Times New Roman"/>
                <w:b/>
                <w:bCs w:val="0"/>
                <w:color w:val="auto"/>
                <w:sz w:val="24"/>
                <w:szCs w:val="24"/>
                <w:highlight w:val="none"/>
                <w:lang w:val="zh-CN" w:bidi="ar"/>
              </w:rPr>
              <w:t>审查意见（昆环审</w:t>
            </w:r>
            <w:r>
              <w:rPr>
                <w:rFonts w:hint="default" w:ascii="Times New Roman" w:hAnsi="Times New Roman" w:eastAsia="宋体" w:cs="Times New Roman"/>
                <w:b/>
                <w:bCs/>
                <w:color w:val="auto"/>
                <w:sz w:val="24"/>
                <w:szCs w:val="24"/>
                <w:lang w:val="en-US" w:eastAsia="zh-CN"/>
              </w:rPr>
              <w:t>〔2023〕</w:t>
            </w:r>
            <w:r>
              <w:rPr>
                <w:rFonts w:hint="default" w:ascii="Times New Roman" w:hAnsi="Times New Roman" w:eastAsia="宋体" w:cs="Times New Roman"/>
                <w:b/>
                <w:bCs w:val="0"/>
                <w:color w:val="auto"/>
                <w:sz w:val="24"/>
                <w:szCs w:val="24"/>
                <w:highlight w:val="none"/>
                <w:lang w:val="zh-CN" w:bidi="ar"/>
              </w:rPr>
              <w:t>5号）</w:t>
            </w:r>
            <w:r>
              <w:rPr>
                <w:rFonts w:hint="default" w:ascii="Times New Roman" w:hAnsi="Times New Roman" w:eastAsia="宋体" w:cs="Times New Roman"/>
                <w:b/>
                <w:bCs w:val="0"/>
                <w:color w:val="auto"/>
                <w:sz w:val="24"/>
                <w:szCs w:val="24"/>
                <w:highlight w:val="none"/>
                <w:lang w:val="en-US" w:eastAsia="zh-CN" w:bidi="ar"/>
              </w:rPr>
              <w:t>的</w:t>
            </w:r>
            <w:r>
              <w:rPr>
                <w:rFonts w:hint="default" w:ascii="Times New Roman" w:hAnsi="Times New Roman" w:eastAsia="宋体" w:cs="Times New Roman"/>
                <w:b/>
                <w:bCs w:val="0"/>
                <w:color w:val="auto"/>
                <w:sz w:val="24"/>
                <w:szCs w:val="24"/>
                <w:highlight w:val="none"/>
                <w:lang w:val="zh-CN" w:bidi="ar"/>
              </w:rPr>
              <w:t>符合性分析</w:t>
            </w:r>
            <w:bookmarkEnd w:id="4"/>
          </w:p>
          <w:p w14:paraId="06683CB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zh-CN"/>
              </w:rPr>
              <w:t>）主要环境影响减缓措施</w:t>
            </w:r>
            <w:r>
              <w:rPr>
                <w:rFonts w:hint="default" w:ascii="Times New Roman" w:hAnsi="Times New Roman" w:eastAsia="宋体" w:cs="Times New Roman"/>
                <w:b/>
                <w:bCs/>
                <w:color w:val="auto"/>
                <w:sz w:val="24"/>
                <w:szCs w:val="24"/>
                <w:highlight w:val="none"/>
                <w:lang w:val="en-US" w:eastAsia="zh-CN"/>
              </w:rPr>
              <w:t>符合性分析</w:t>
            </w:r>
          </w:p>
          <w:p w14:paraId="2D3CF33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根据《云南寻甸产业园区总体规划修编（2021-2035）环境影响报告书》及其环评审查意见，</w:t>
            </w:r>
            <w:r>
              <w:rPr>
                <w:rFonts w:hint="default" w:ascii="Times New Roman" w:hAnsi="Times New Roman" w:eastAsia="宋体" w:cs="Times New Roman"/>
                <w:color w:val="auto"/>
                <w:sz w:val="24"/>
                <w:szCs w:val="24"/>
                <w:highlight w:val="none"/>
                <w:lang w:val="en-US" w:eastAsia="zh-CN"/>
              </w:rPr>
              <w:t>本项目与</w:t>
            </w:r>
            <w:r>
              <w:rPr>
                <w:rFonts w:hint="default" w:ascii="Times New Roman" w:hAnsi="Times New Roman" w:eastAsia="宋体" w:cs="Times New Roman"/>
                <w:color w:val="auto"/>
                <w:sz w:val="24"/>
                <w:szCs w:val="24"/>
                <w:highlight w:val="none"/>
                <w:lang w:val="zh-CN"/>
              </w:rPr>
              <w:t>园区的主要环境影响减缓措施</w:t>
            </w:r>
            <w:r>
              <w:rPr>
                <w:rFonts w:hint="default" w:ascii="Times New Roman" w:hAnsi="Times New Roman" w:eastAsia="宋体" w:cs="Times New Roman"/>
                <w:color w:val="auto"/>
                <w:sz w:val="24"/>
                <w:szCs w:val="24"/>
                <w:highlight w:val="none"/>
                <w:lang w:val="en-US" w:eastAsia="zh-CN"/>
              </w:rPr>
              <w:t>符合性分析</w:t>
            </w:r>
            <w:r>
              <w:rPr>
                <w:rFonts w:hint="default" w:ascii="Times New Roman" w:hAnsi="Times New Roman" w:eastAsia="宋体" w:cs="Times New Roman"/>
                <w:color w:val="auto"/>
                <w:sz w:val="24"/>
                <w:szCs w:val="24"/>
                <w:highlight w:val="none"/>
                <w:lang w:val="zh-CN"/>
              </w:rPr>
              <w:t>如下</w:t>
            </w:r>
            <w:r>
              <w:rPr>
                <w:rFonts w:hint="default" w:ascii="Times New Roman" w:hAnsi="Times New Roman" w:eastAsia="宋体" w:cs="Times New Roman"/>
                <w:color w:val="auto"/>
                <w:sz w:val="24"/>
                <w:szCs w:val="24"/>
                <w:highlight w:val="none"/>
                <w:lang w:val="en-US" w:eastAsia="zh-CN"/>
              </w:rPr>
              <w:t>表所示。</w:t>
            </w:r>
          </w:p>
          <w:p w14:paraId="325EED3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表1-</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rPr>
              <w:t xml:space="preserve"> </w:t>
            </w:r>
            <w:r>
              <w:rPr>
                <w:rFonts w:hint="default" w:ascii="Times New Roman" w:hAnsi="Times New Roman" w:eastAsia="宋体" w:cs="Times New Roman"/>
                <w:b/>
                <w:bCs/>
                <w:color w:val="auto"/>
                <w:highlight w:val="none"/>
                <w:lang w:val="en-US" w:eastAsia="zh-CN"/>
              </w:rPr>
              <w:t xml:space="preserve"> </w:t>
            </w:r>
            <w:r>
              <w:rPr>
                <w:rFonts w:hint="default" w:ascii="Times New Roman" w:hAnsi="Times New Roman" w:eastAsia="宋体" w:cs="Times New Roman"/>
                <w:b/>
                <w:bCs/>
                <w:color w:val="auto"/>
                <w:highlight w:val="none"/>
              </w:rPr>
              <w:t>项目与规划环评</w:t>
            </w:r>
            <w:r>
              <w:rPr>
                <w:rFonts w:hint="default" w:ascii="Times New Roman" w:hAnsi="Times New Roman" w:eastAsia="宋体" w:cs="Times New Roman"/>
                <w:b/>
                <w:bCs/>
                <w:color w:val="auto"/>
                <w:highlight w:val="none"/>
                <w:lang w:val="en-US" w:eastAsia="zh-CN"/>
              </w:rPr>
              <w:t>中环境影响减缓措施</w:t>
            </w:r>
            <w:r>
              <w:rPr>
                <w:rFonts w:hint="default" w:ascii="Times New Roman" w:hAnsi="Times New Roman" w:eastAsia="宋体" w:cs="Times New Roman"/>
                <w:b/>
                <w:bCs/>
                <w:color w:val="auto"/>
                <w:highlight w:val="none"/>
              </w:rPr>
              <w:t>相符性对比分析表</w:t>
            </w:r>
          </w:p>
          <w:tbl>
            <w:tblPr>
              <w:tblStyle w:val="36"/>
              <w:tblW w:w="7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3563"/>
              <w:gridCol w:w="3001"/>
              <w:gridCol w:w="664"/>
            </w:tblGrid>
            <w:tr w14:paraId="2C7D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jc w:val="center"/>
              </w:trPr>
              <w:tc>
                <w:tcPr>
                  <w:tcW w:w="670" w:type="dxa"/>
                  <w:noWrap w:val="0"/>
                  <w:vAlign w:val="center"/>
                </w:tcPr>
                <w:p w14:paraId="57D114A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3563" w:type="dxa"/>
                  <w:noWrap w:val="0"/>
                  <w:vAlign w:val="center"/>
                </w:tcPr>
                <w:p w14:paraId="46DD3BB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内容要求</w:t>
                  </w:r>
                </w:p>
              </w:tc>
              <w:tc>
                <w:tcPr>
                  <w:tcW w:w="3001" w:type="dxa"/>
                  <w:noWrap w:val="0"/>
                  <w:vAlign w:val="center"/>
                </w:tcPr>
                <w:p w14:paraId="0EAF78C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项目建设内容</w:t>
                  </w:r>
                </w:p>
              </w:tc>
              <w:tc>
                <w:tcPr>
                  <w:tcW w:w="664" w:type="dxa"/>
                  <w:noWrap w:val="0"/>
                  <w:vAlign w:val="center"/>
                </w:tcPr>
                <w:p w14:paraId="498582F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w:t>
                  </w:r>
                </w:p>
              </w:tc>
            </w:tr>
            <w:tr w14:paraId="3ECC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21DEA8B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地表</w:t>
                  </w:r>
                  <w:r>
                    <w:rPr>
                      <w:rFonts w:hint="default" w:ascii="Times New Roman" w:hAnsi="Times New Roman" w:eastAsia="宋体" w:cs="Times New Roman"/>
                      <w:color w:val="auto"/>
                      <w:sz w:val="21"/>
                      <w:szCs w:val="21"/>
                      <w:highlight w:val="none"/>
                      <w:lang w:val="zh-CN"/>
                    </w:rPr>
                    <w:t>水</w:t>
                  </w:r>
                  <w:r>
                    <w:rPr>
                      <w:rFonts w:hint="default" w:ascii="Times New Roman" w:hAnsi="Times New Roman" w:eastAsia="宋体" w:cs="Times New Roman"/>
                      <w:color w:val="auto"/>
                      <w:sz w:val="21"/>
                      <w:szCs w:val="21"/>
                      <w:highlight w:val="none"/>
                      <w:lang w:val="en-US" w:eastAsia="zh-CN"/>
                    </w:rPr>
                    <w:t>环境影响</w:t>
                  </w:r>
                  <w:r>
                    <w:rPr>
                      <w:rFonts w:hint="default" w:ascii="Times New Roman" w:hAnsi="Times New Roman" w:eastAsia="宋体" w:cs="Times New Roman"/>
                      <w:color w:val="auto"/>
                      <w:sz w:val="21"/>
                      <w:szCs w:val="21"/>
                      <w:highlight w:val="none"/>
                      <w:lang w:val="zh-CN"/>
                    </w:rPr>
                    <w:t>减缓措施</w:t>
                  </w:r>
                </w:p>
              </w:tc>
              <w:tc>
                <w:tcPr>
                  <w:tcW w:w="3563" w:type="dxa"/>
                  <w:noWrap w:val="0"/>
                  <w:vAlign w:val="center"/>
                </w:tcPr>
                <w:p w14:paraId="298CC20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kern w:val="0"/>
                      <w:sz w:val="21"/>
                      <w:szCs w:val="21"/>
                      <w:lang w:val="en-US" w:eastAsia="zh-CN"/>
                    </w:rPr>
                    <w:t>①</w:t>
                  </w:r>
                  <w:r>
                    <w:rPr>
                      <w:rFonts w:hint="default" w:ascii="Times New Roman" w:hAnsi="Times New Roman" w:cs="Times New Roman"/>
                      <w:color w:val="auto"/>
                      <w:sz w:val="21"/>
                      <w:szCs w:val="21"/>
                      <w:highlight w:val="none"/>
                    </w:rPr>
                    <w:t>根据《规划修编》实施对水环境的影响分析，规划建设覆盖规划区范围的“雨污分流”排水体制。</w:t>
                  </w:r>
                  <w:r>
                    <w:rPr>
                      <w:rFonts w:hint="default" w:ascii="Times New Roman" w:hAnsi="Times New Roman" w:cs="Times New Roman"/>
                      <w:color w:val="auto"/>
                      <w:spacing w:val="-9"/>
                      <w:sz w:val="21"/>
                      <w:szCs w:val="21"/>
                    </w:rPr>
                    <w:t>各</w:t>
                  </w:r>
                  <w:r>
                    <w:rPr>
                      <w:rFonts w:hint="default" w:ascii="Times New Roman" w:hAnsi="Times New Roman" w:cs="Times New Roman"/>
                      <w:color w:val="auto"/>
                      <w:spacing w:val="-9"/>
                      <w:sz w:val="21"/>
                      <w:szCs w:val="21"/>
                      <w:lang w:val="en-US" w:eastAsia="zh-CN"/>
                    </w:rPr>
                    <w:t>煤、磷、盐化工</w:t>
                  </w:r>
                  <w:r>
                    <w:rPr>
                      <w:rFonts w:hint="default" w:ascii="Times New Roman" w:hAnsi="Times New Roman" w:cs="Times New Roman"/>
                      <w:color w:val="auto"/>
                      <w:spacing w:val="-9"/>
                      <w:sz w:val="21"/>
                      <w:szCs w:val="21"/>
                    </w:rPr>
                    <w:t>等企业内部自行收集初期雨水进行处理后回</w:t>
                  </w:r>
                  <w:r>
                    <w:rPr>
                      <w:rFonts w:hint="default" w:ascii="Times New Roman" w:hAnsi="Times New Roman" w:cs="Times New Roman"/>
                      <w:color w:val="auto"/>
                      <w:spacing w:val="-10"/>
                      <w:sz w:val="21"/>
                      <w:szCs w:val="21"/>
                    </w:rPr>
                    <w:t>用，</w:t>
                  </w:r>
                  <w:r>
                    <w:rPr>
                      <w:rFonts w:hint="default" w:ascii="Times New Roman" w:hAnsi="Times New Roman" w:cs="Times New Roman"/>
                      <w:color w:val="auto"/>
                      <w:sz w:val="21"/>
                      <w:szCs w:val="21"/>
                      <w:highlight w:val="none"/>
                    </w:rPr>
                    <w:t>园区雨水经过雨水管网收集后汇入附近地表水体</w:t>
                  </w:r>
                  <w:r>
                    <w:rPr>
                      <w:rFonts w:hint="default" w:ascii="Times New Roman" w:hAnsi="Times New Roman" w:cs="Times New Roman"/>
                      <w:color w:val="auto"/>
                      <w:sz w:val="21"/>
                      <w:szCs w:val="21"/>
                      <w:highlight w:val="none"/>
                      <w:lang w:val="en-US" w:eastAsia="zh-CN"/>
                    </w:rPr>
                    <w:t>。</w:t>
                  </w:r>
                </w:p>
                <w:p w14:paraId="5F5C75E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②</w:t>
                  </w:r>
                  <w:r>
                    <w:rPr>
                      <w:rFonts w:hint="default" w:ascii="Times New Roman" w:hAnsi="Times New Roman" w:cs="Times New Roman"/>
                      <w:color w:val="auto"/>
                      <w:sz w:val="21"/>
                      <w:szCs w:val="21"/>
                      <w:highlight w:val="none"/>
                      <w:lang w:val="en-US" w:eastAsia="zh-CN"/>
                    </w:rPr>
                    <w:t>金所组团</w:t>
                  </w:r>
                  <w:r>
                    <w:rPr>
                      <w:rFonts w:hint="default" w:ascii="Times New Roman" w:hAnsi="Times New Roman" w:cs="Times New Roman"/>
                      <w:bCs/>
                      <w:color w:val="auto"/>
                      <w:sz w:val="21"/>
                      <w:szCs w:val="21"/>
                      <w:highlight w:val="none"/>
                    </w:rPr>
                    <w:t>现状煤磷盐化工企业及废水实现零排放企业按现状处置方式，即由企业处理达标后循环回用或经已建的排污管道排至</w:t>
                  </w:r>
                  <w:r>
                    <w:rPr>
                      <w:rFonts w:hint="default" w:ascii="Times New Roman" w:hAnsi="Times New Roman" w:cs="Times New Roman"/>
                      <w:bCs/>
                      <w:color w:val="auto"/>
                      <w:sz w:val="21"/>
                      <w:szCs w:val="21"/>
                      <w:highlight w:val="none"/>
                      <w:lang w:val="en-US" w:eastAsia="zh-CN"/>
                    </w:rPr>
                    <w:t>摩洛河</w:t>
                  </w:r>
                  <w:r>
                    <w:rPr>
                      <w:rFonts w:hint="default" w:ascii="Times New Roman" w:hAnsi="Times New Roman" w:cs="Times New Roman"/>
                      <w:bCs/>
                      <w:color w:val="auto"/>
                      <w:sz w:val="21"/>
                      <w:szCs w:val="21"/>
                      <w:highlight w:val="none"/>
                    </w:rPr>
                    <w:t>。</w:t>
                  </w:r>
                  <w:r>
                    <w:rPr>
                      <w:rFonts w:hint="default" w:ascii="Times New Roman" w:hAnsi="Times New Roman" w:cs="Times New Roman"/>
                      <w:color w:val="auto"/>
                      <w:kern w:val="2"/>
                      <w:sz w:val="21"/>
                      <w:szCs w:val="21"/>
                      <w:lang w:val="en-US" w:eastAsia="zh-CN" w:bidi="ar-SA"/>
                    </w:rPr>
                    <w:t>园区</w:t>
                  </w:r>
                  <w:r>
                    <w:rPr>
                      <w:rFonts w:hint="default" w:ascii="Times New Roman" w:hAnsi="Times New Roman" w:eastAsia="宋体" w:cs="Times New Roman"/>
                      <w:color w:val="auto"/>
                      <w:kern w:val="2"/>
                      <w:sz w:val="21"/>
                      <w:szCs w:val="21"/>
                      <w:lang w:val="en-US" w:eastAsia="zh-CN" w:bidi="ar-SA"/>
                    </w:rPr>
                    <w:t>严格按照规划要求，</w:t>
                  </w:r>
                  <w:r>
                    <w:rPr>
                      <w:rFonts w:hint="default" w:ascii="Times New Roman" w:hAnsi="Times New Roman" w:cs="Times New Roman"/>
                      <w:color w:val="auto"/>
                      <w:kern w:val="2"/>
                      <w:sz w:val="21"/>
                      <w:szCs w:val="21"/>
                      <w:lang w:val="en-US" w:eastAsia="zh-CN" w:bidi="ar-SA"/>
                    </w:rPr>
                    <w:t>建设污水集中和分散处理设施，</w:t>
                  </w:r>
                  <w:r>
                    <w:rPr>
                      <w:rFonts w:hint="default" w:ascii="Times New Roman" w:hAnsi="Times New Roman" w:eastAsia="宋体" w:cs="Times New Roman"/>
                      <w:color w:val="auto"/>
                      <w:kern w:val="2"/>
                      <w:sz w:val="21"/>
                      <w:szCs w:val="21"/>
                      <w:highlight w:val="none"/>
                      <w:lang w:val="en-US" w:eastAsia="zh-CN" w:bidi="ar-SA"/>
                    </w:rPr>
                    <w:t>提高园区水资源利用率，减少污水排放。</w:t>
                  </w:r>
                  <w:r>
                    <w:rPr>
                      <w:rFonts w:hint="default" w:ascii="Times New Roman" w:hAnsi="Times New Roman" w:cs="Times New Roman"/>
                      <w:color w:val="auto"/>
                      <w:kern w:val="2"/>
                      <w:sz w:val="21"/>
                      <w:szCs w:val="21"/>
                      <w:highlight w:val="none"/>
                      <w:lang w:val="en-US" w:eastAsia="zh-CN" w:bidi="ar-SA"/>
                    </w:rPr>
                    <w:t>各组团后续入驻企业废水严格按照规划排水方案执行。</w:t>
                  </w:r>
                </w:p>
                <w:p w14:paraId="56B3ECE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zh-CN" w:eastAsia="zh-CN"/>
                    </w:rPr>
                  </w:pPr>
                  <w:r>
                    <w:rPr>
                      <w:rFonts w:hint="eastAsia" w:ascii="Times New Roman" w:hAnsi="Times New Roman" w:cs="Times New Roman"/>
                      <w:color w:val="auto"/>
                      <w:sz w:val="21"/>
                      <w:szCs w:val="21"/>
                      <w:highlight w:val="none"/>
                      <w:lang w:val="en-US" w:eastAsia="zh-CN"/>
                    </w:rPr>
                    <w:t>③</w:t>
                  </w:r>
                  <w:r>
                    <w:rPr>
                      <w:rFonts w:hint="default" w:ascii="Times New Roman" w:hAnsi="Times New Roman" w:cs="Times New Roman"/>
                      <w:color w:val="auto"/>
                      <w:sz w:val="21"/>
                      <w:szCs w:val="21"/>
                      <w:highlight w:val="none"/>
                      <w:lang w:val="en-US" w:eastAsia="zh-CN"/>
                    </w:rPr>
                    <w:t>园区规划实施时，应同步规划、建设再生水调蓄、回用管网等配套。并采取园区产业结构调整、加强入园企业控制、促进园区再生水利用、加大对排污企业的执法力度、对超标的地表水体进行综合治理等措施。</w:t>
                  </w:r>
                </w:p>
                <w:p w14:paraId="672C3B6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zh-CN" w:eastAsia="zh-CN"/>
                    </w:rPr>
                  </w:pPr>
                  <w:r>
                    <w:rPr>
                      <w:rFonts w:hint="eastAsia" w:ascii="Times New Roman" w:hAnsi="Times New Roman" w:cs="Times New Roman"/>
                      <w:color w:val="auto"/>
                      <w:sz w:val="21"/>
                      <w:szCs w:val="21"/>
                      <w:highlight w:val="none"/>
                      <w:lang w:val="en-US" w:eastAsia="zh-CN"/>
                    </w:rPr>
                    <w:t>④</w:t>
                  </w:r>
                  <w:r>
                    <w:rPr>
                      <w:rFonts w:hint="default" w:ascii="Times New Roman" w:hAnsi="Times New Roman" w:cs="Times New Roman"/>
                      <w:color w:val="auto"/>
                      <w:sz w:val="21"/>
                      <w:szCs w:val="21"/>
                      <w:highlight w:val="none"/>
                      <w:lang w:val="zh-CN" w:eastAsia="zh-CN"/>
                    </w:rPr>
                    <w:t>对园区内不符合园区规划行业、不符合管控要求的企业行业尽快淘汰或搬迁。</w:t>
                  </w:r>
                </w:p>
                <w:p w14:paraId="00241B1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⑤</w:t>
                  </w:r>
                  <w:r>
                    <w:rPr>
                      <w:rFonts w:hint="default" w:ascii="Times New Roman" w:hAnsi="Times New Roman" w:cs="Times New Roman"/>
                      <w:color w:val="auto"/>
                      <w:sz w:val="21"/>
                      <w:szCs w:val="21"/>
                      <w:highlight w:val="none"/>
                      <w:lang w:val="en-US" w:eastAsia="zh-CN"/>
                    </w:rPr>
                    <w:t>园区内企事业单位等应增加再生水回用接口。企业内部循环利用+园区调配两级保障措施，按分期发展要求分别建设污水处理回用系统，污水处理回用系统采取分质处理分级回用方式，回用于各类城市杂用水和工业补水等。</w:t>
                  </w:r>
                </w:p>
                <w:p w14:paraId="1F33B27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⑥</w:t>
                  </w:r>
                  <w:r>
                    <w:rPr>
                      <w:rFonts w:hint="default" w:ascii="Times New Roman" w:hAnsi="Times New Roman" w:cs="Times New Roman"/>
                      <w:color w:val="auto"/>
                      <w:sz w:val="21"/>
                      <w:szCs w:val="21"/>
                      <w:highlight w:val="none"/>
                      <w:lang w:val="en-US" w:eastAsia="zh-CN"/>
                    </w:rPr>
                    <w:t>严格环境准入政策，园区不得引入不符合国家产业政策的工业项目及高污染工业项目。</w:t>
                  </w:r>
                </w:p>
                <w:p w14:paraId="2845637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⑦</w:t>
                  </w:r>
                  <w:r>
                    <w:rPr>
                      <w:rFonts w:hint="default" w:ascii="Times New Roman" w:hAnsi="Times New Roman" w:cs="Times New Roman"/>
                      <w:color w:val="auto"/>
                      <w:sz w:val="21"/>
                      <w:szCs w:val="21"/>
                      <w:highlight w:val="none"/>
                      <w:lang w:val="en-US" w:eastAsia="zh-CN"/>
                    </w:rPr>
                    <w:t xml:space="preserve">新入园的“两高”项目必须根据《关于加强重点行业建设项目区域削减措施监督管理的通知》（环办环评〔2020〕36 号）的相关规定，以满足区域、流域控制单元环境质量改善目标管理要求，制定配套区域的污染物削减方案。 </w:t>
                  </w:r>
                </w:p>
                <w:p w14:paraId="1EA261E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⑧</w:t>
                  </w:r>
                  <w:r>
                    <w:rPr>
                      <w:rFonts w:hint="default" w:ascii="Times New Roman" w:hAnsi="Times New Roman" w:cs="Times New Roman"/>
                      <w:color w:val="auto"/>
                      <w:sz w:val="21"/>
                      <w:szCs w:val="21"/>
                      <w:highlight w:val="none"/>
                      <w:lang w:val="en-US" w:eastAsia="zh-CN"/>
                    </w:rPr>
                    <w:t>严格各污水处理设施的管理、监测工作，确保污水处理设施外排污水长期稳定达标。</w:t>
                  </w:r>
                </w:p>
                <w:p w14:paraId="4E6EE8E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⑨</w:t>
                  </w:r>
                  <w:r>
                    <w:rPr>
                      <w:rFonts w:hint="default" w:ascii="Times New Roman" w:hAnsi="Times New Roman" w:cs="Times New Roman"/>
                      <w:color w:val="auto"/>
                      <w:sz w:val="21"/>
                      <w:szCs w:val="21"/>
                      <w:highlight w:val="none"/>
                      <w:lang w:val="en-US" w:eastAsia="zh-CN"/>
                    </w:rPr>
                    <w:t>部分企业未按规定对原料、渣场、渣库设置雨棚或用雨布遮盖</w:t>
                  </w:r>
                  <w:r>
                    <w:rPr>
                      <w:rFonts w:hint="eastAsia" w:cs="Times New Roman"/>
                      <w:color w:val="auto"/>
                      <w:sz w:val="21"/>
                      <w:szCs w:val="21"/>
                      <w:highlight w:val="none"/>
                      <w:lang w:val="en-US" w:eastAsia="zh-CN"/>
                    </w:rPr>
                    <w:t>或截排水设施</w:t>
                  </w:r>
                  <w:r>
                    <w:rPr>
                      <w:rFonts w:hint="default" w:ascii="Times New Roman" w:hAnsi="Times New Roman" w:cs="Times New Roman"/>
                      <w:color w:val="auto"/>
                      <w:sz w:val="21"/>
                      <w:szCs w:val="21"/>
                      <w:highlight w:val="none"/>
                      <w:lang w:val="en-US" w:eastAsia="zh-CN"/>
                    </w:rPr>
                    <w:t>，雨季雨水冲刷导致大量的污染物直接进入附近水体，对水环境造成污染，园区应</w:t>
                  </w:r>
                  <w:r>
                    <w:rPr>
                      <w:rFonts w:hint="eastAsia" w:cs="Times New Roman"/>
                      <w:color w:val="auto"/>
                      <w:sz w:val="21"/>
                      <w:szCs w:val="21"/>
                      <w:highlight w:val="none"/>
                      <w:lang w:val="en-US" w:eastAsia="zh-CN"/>
                    </w:rPr>
                    <w:t>加大</w:t>
                  </w:r>
                  <w:r>
                    <w:rPr>
                      <w:rFonts w:hint="default" w:ascii="Times New Roman" w:hAnsi="Times New Roman" w:cs="Times New Roman"/>
                      <w:color w:val="auto"/>
                      <w:sz w:val="21"/>
                      <w:szCs w:val="21"/>
                      <w:highlight w:val="none"/>
                      <w:lang w:val="en-US" w:eastAsia="zh-CN"/>
                    </w:rPr>
                    <w:t>监管和处罚的执法力度，防止原料和渣料库</w:t>
                  </w:r>
                  <w:r>
                    <w:rPr>
                      <w:rFonts w:hint="eastAsia" w:cs="Times New Roman"/>
                      <w:color w:val="auto"/>
                      <w:sz w:val="21"/>
                      <w:szCs w:val="21"/>
                      <w:highlight w:val="none"/>
                      <w:lang w:val="en-US" w:eastAsia="zh-CN"/>
                    </w:rPr>
                    <w:t>管理</w:t>
                  </w:r>
                  <w:r>
                    <w:rPr>
                      <w:rFonts w:hint="default" w:ascii="Times New Roman" w:hAnsi="Times New Roman" w:cs="Times New Roman"/>
                      <w:color w:val="auto"/>
                      <w:sz w:val="21"/>
                      <w:szCs w:val="21"/>
                      <w:highlight w:val="none"/>
                      <w:lang w:val="en-US" w:eastAsia="zh-CN"/>
                    </w:rPr>
                    <w:t>不当对水环境的影响。</w:t>
                  </w:r>
                </w:p>
                <w:p w14:paraId="1C281E0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rPr>
                  </w:pPr>
                  <w:r>
                    <w:rPr>
                      <w:rFonts w:hint="eastAsia" w:ascii="微软雅黑" w:hAnsi="微软雅黑" w:eastAsia="微软雅黑" w:cs="微软雅黑"/>
                      <w:color w:val="auto"/>
                      <w:sz w:val="21"/>
                      <w:szCs w:val="21"/>
                      <w:highlight w:val="none"/>
                      <w:lang w:val="en-US" w:eastAsia="zh-CN"/>
                    </w:rPr>
                    <w:t>⑩</w:t>
                  </w:r>
                  <w:r>
                    <w:rPr>
                      <w:rFonts w:hint="default" w:ascii="Times New Roman" w:hAnsi="Times New Roman" w:cs="Times New Roman"/>
                      <w:color w:val="auto"/>
                      <w:sz w:val="21"/>
                      <w:szCs w:val="21"/>
                      <w:highlight w:val="none"/>
                      <w:lang w:val="en-US" w:eastAsia="zh-CN"/>
                    </w:rPr>
                    <w:t>工业园区建设要严格执行“三同时”制度、环保竣工验收、排污许可申报和清洁生产审核制度。新建、迁建项目应采用先进的生产工艺和污染防治技术，其清洁生产水平应达到国内先进水平以上；实行严格的清洁生产审计，全过程降低对水的消耗和污染；工业企业应严格控制用水量，加大工业用水的重复利用率，发展节水型工业</w:t>
                  </w:r>
                  <w:r>
                    <w:rPr>
                      <w:rFonts w:hint="default" w:cs="Times New Roman"/>
                      <w:color w:val="auto"/>
                      <w:sz w:val="21"/>
                      <w:szCs w:val="21"/>
                      <w:lang w:val="zh-CN"/>
                    </w:rPr>
                    <w:t>。</w:t>
                  </w:r>
                </w:p>
              </w:tc>
              <w:tc>
                <w:tcPr>
                  <w:tcW w:w="3001" w:type="dxa"/>
                  <w:noWrap w:val="0"/>
                  <w:vAlign w:val="center"/>
                </w:tcPr>
                <w:p w14:paraId="1C3D2AC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①项目为塑料制品生产项目，不属于</w:t>
                  </w:r>
                  <w:r>
                    <w:rPr>
                      <w:rFonts w:hint="default" w:ascii="Times New Roman" w:hAnsi="Times New Roman" w:eastAsia="宋体" w:cs="Times New Roman"/>
                      <w:color w:val="auto"/>
                      <w:spacing w:val="-9"/>
                      <w:sz w:val="21"/>
                      <w:szCs w:val="21"/>
                      <w:lang w:val="en-US" w:eastAsia="zh-CN"/>
                    </w:rPr>
                    <w:t>煤、磷、盐化工</w:t>
                  </w:r>
                  <w:r>
                    <w:rPr>
                      <w:rFonts w:hint="default" w:ascii="Times New Roman" w:hAnsi="Times New Roman" w:eastAsia="宋体" w:cs="Times New Roman"/>
                      <w:color w:val="auto"/>
                      <w:spacing w:val="-9"/>
                      <w:sz w:val="21"/>
                      <w:szCs w:val="21"/>
                    </w:rPr>
                    <w:t>等企业</w:t>
                  </w:r>
                  <w:r>
                    <w:rPr>
                      <w:rFonts w:hint="default" w:ascii="Times New Roman" w:hAnsi="Times New Roman" w:eastAsia="宋体" w:cs="Times New Roman"/>
                      <w:color w:val="auto"/>
                      <w:sz w:val="21"/>
                      <w:szCs w:val="21"/>
                      <w:highlight w:val="none"/>
                      <w:lang w:val="en-US" w:eastAsia="zh-CN"/>
                    </w:rPr>
                    <w:t>，符合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p w14:paraId="22F713C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②项目为塑料制品生产项目，</w:t>
                  </w:r>
                  <w:r>
                    <w:rPr>
                      <w:rFonts w:hint="default" w:ascii="Times New Roman" w:hAnsi="Times New Roman" w:eastAsia="宋体" w:cs="Times New Roman"/>
                      <w:color w:val="auto"/>
                      <w:sz w:val="21"/>
                      <w:szCs w:val="21"/>
                    </w:rPr>
                    <w:t>项目</w:t>
                  </w:r>
                  <w:r>
                    <w:rPr>
                      <w:rFonts w:hint="default" w:ascii="Times New Roman" w:hAnsi="Times New Roman" w:eastAsia="宋体" w:cs="Times New Roman"/>
                      <w:color w:val="auto"/>
                      <w:sz w:val="21"/>
                      <w:szCs w:val="21"/>
                      <w:lang w:val="en-US" w:eastAsia="zh-CN"/>
                    </w:rPr>
                    <w:t>厂区</w:t>
                  </w:r>
                  <w:r>
                    <w:rPr>
                      <w:rFonts w:hint="default" w:ascii="Times New Roman" w:hAnsi="Times New Roman" w:eastAsia="宋体" w:cs="Times New Roman"/>
                      <w:color w:val="auto"/>
                      <w:sz w:val="21"/>
                      <w:szCs w:val="21"/>
                    </w:rPr>
                    <w:t>实行雨污分流</w:t>
                  </w:r>
                  <w:r>
                    <w:rPr>
                      <w:rFonts w:hint="default" w:ascii="Times New Roman" w:hAnsi="Times New Roman" w:eastAsia="宋体" w:cs="Times New Roman"/>
                      <w:color w:val="auto"/>
                      <w:sz w:val="21"/>
                      <w:szCs w:val="21"/>
                      <w:lang w:val="en-US" w:eastAsia="zh-CN"/>
                    </w:rPr>
                    <w:t>制</w:t>
                  </w:r>
                  <w:r>
                    <w:rPr>
                      <w:rFonts w:hint="default" w:ascii="Times New Roman" w:hAnsi="Times New Roman" w:eastAsia="宋体" w:cs="Times New Roman"/>
                      <w:color w:val="auto"/>
                      <w:sz w:val="21"/>
                      <w:szCs w:val="21"/>
                    </w:rPr>
                    <w:t>，</w:t>
                  </w:r>
                  <w:r>
                    <w:rPr>
                      <w:rFonts w:hint="default" w:ascii="Times New Roman" w:hAnsi="Times New Roman" w:eastAsia="宋体" w:cs="Times New Roman"/>
                      <w:b w:val="0"/>
                      <w:bCs w:val="0"/>
                      <w:color w:val="auto"/>
                      <w:sz w:val="21"/>
                      <w:szCs w:val="21"/>
                      <w:highlight w:val="none"/>
                      <w:lang w:val="en-US" w:eastAsia="zh-CN"/>
                    </w:rPr>
                    <w:t>雨水经厂区雨水管收集后排入市政雨水管网</w:t>
                  </w:r>
                  <w:r>
                    <w:rPr>
                      <w:rFonts w:hint="default" w:ascii="Times New Roman" w:hAnsi="Times New Roman" w:eastAsia="宋体" w:cs="Times New Roman"/>
                      <w:color w:val="auto"/>
                      <w:sz w:val="21"/>
                      <w:szCs w:val="21"/>
                    </w:rPr>
                    <w:t>。</w:t>
                  </w:r>
                </w:p>
                <w:p w14:paraId="75E9EB2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③项目为塑料制品生产项目，</w:t>
                  </w:r>
                  <w:r>
                    <w:rPr>
                      <w:rFonts w:hint="default" w:ascii="Times New Roman" w:hAnsi="Times New Roman" w:eastAsia="宋体" w:cs="Times New Roman"/>
                      <w:color w:val="auto"/>
                      <w:sz w:val="21"/>
                      <w:szCs w:val="21"/>
                    </w:rPr>
                    <w:t>项目生产过程中冷却水循环使用，</w:t>
                  </w:r>
                  <w:r>
                    <w:rPr>
                      <w:rFonts w:hint="eastAsia" w:cs="Times New Roman"/>
                      <w:color w:val="auto"/>
                      <w:sz w:val="21"/>
                      <w:szCs w:val="21"/>
                      <w:lang w:val="en-US" w:eastAsia="zh-CN"/>
                    </w:rPr>
                    <w:t>定期排污冷却废水依托</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eastAsia" w:ascii="Times New Roman" w:hAnsi="Times New Roman" w:eastAsia="宋体" w:cs="Times New Roman"/>
                      <w:color w:val="auto"/>
                      <w:sz w:val="21"/>
                      <w:szCs w:val="21"/>
                      <w:lang w:val="en-US" w:eastAsia="zh-CN"/>
                    </w:rPr>
                    <w:t>处理后回用于项目区绿化浇灌、洒水降尘，</w:t>
                  </w:r>
                  <w:r>
                    <w:rPr>
                      <w:rFonts w:hint="default" w:ascii="Times New Roman" w:hAnsi="Times New Roman" w:eastAsia="宋体" w:cs="Times New Roman"/>
                      <w:color w:val="auto"/>
                      <w:sz w:val="21"/>
                      <w:szCs w:val="21"/>
                      <w:lang w:val="en-US" w:eastAsia="zh-CN"/>
                    </w:rPr>
                    <w:t>不涉及生产</w:t>
                  </w:r>
                  <w:r>
                    <w:rPr>
                      <w:rFonts w:hint="default" w:ascii="Times New Roman" w:hAnsi="Times New Roman" w:eastAsia="宋体" w:cs="Times New Roman"/>
                      <w:color w:val="auto"/>
                      <w:sz w:val="21"/>
                      <w:szCs w:val="21"/>
                    </w:rPr>
                    <w:t>废水</w:t>
                  </w:r>
                  <w:r>
                    <w:rPr>
                      <w:rFonts w:hint="default" w:ascii="Times New Roman" w:hAnsi="Times New Roman" w:eastAsia="宋体" w:cs="Times New Roman"/>
                      <w:color w:val="auto"/>
                      <w:sz w:val="21"/>
                      <w:szCs w:val="21"/>
                      <w:lang w:val="en-US" w:eastAsia="zh-CN"/>
                    </w:rPr>
                    <w:t>排放</w:t>
                  </w:r>
                  <w:r>
                    <w:rPr>
                      <w:rFonts w:hint="default" w:ascii="Times New Roman" w:hAnsi="Times New Roman" w:eastAsia="宋体" w:cs="Times New Roman"/>
                      <w:color w:val="auto"/>
                      <w:sz w:val="21"/>
                      <w:szCs w:val="21"/>
                      <w:highlight w:val="none"/>
                      <w:lang w:val="en-US" w:eastAsia="zh-CN"/>
                    </w:rPr>
                    <w:t>，符合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p w14:paraId="722ED69E">
                  <w:pPr>
                    <w:pStyle w:val="4"/>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④本项目为塑料制品生产项目，</w:t>
                  </w:r>
                  <w:r>
                    <w:rPr>
                      <w:rFonts w:hint="default" w:ascii="Times New Roman" w:hAnsi="Times New Roman" w:eastAsia="宋体" w:cs="Times New Roman"/>
                      <w:b w:val="0"/>
                      <w:bCs/>
                      <w:color w:val="auto"/>
                      <w:sz w:val="21"/>
                      <w:szCs w:val="21"/>
                      <w:highlight w:val="none"/>
                      <w:lang w:val="en-US" w:eastAsia="zh-CN"/>
                    </w:rPr>
                    <w:t>项目建设用地属于二类工业用地，属于轻工加工产业，符合金所片区产业定位，项目建设符合《云南寻甸产业园区总体规划修编（2021‑2035）》中的相关要求</w:t>
                  </w:r>
                  <w:r>
                    <w:rPr>
                      <w:rFonts w:hint="default" w:ascii="Times New Roman" w:hAnsi="Times New Roman" w:eastAsia="宋体" w:cs="Times New Roman"/>
                      <w:color w:val="auto"/>
                      <w:sz w:val="21"/>
                      <w:szCs w:val="21"/>
                      <w:highlight w:val="none"/>
                      <w:lang w:val="en-US" w:eastAsia="zh-CN"/>
                    </w:rPr>
                    <w:t>，符合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p w14:paraId="6F452BF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b w:val="0"/>
                      <w:bCs/>
                      <w:color w:val="auto"/>
                      <w:sz w:val="21"/>
                      <w:szCs w:val="21"/>
                      <w:highlight w:val="none"/>
                      <w:lang w:val="en-US" w:eastAsia="zh-CN"/>
                    </w:rPr>
                    <w:t>⑤</w:t>
                  </w:r>
                  <w:r>
                    <w:rPr>
                      <w:rFonts w:hint="default" w:ascii="Times New Roman" w:hAnsi="Times New Roman" w:eastAsia="宋体" w:cs="Times New Roman"/>
                      <w:color w:val="auto"/>
                      <w:sz w:val="21"/>
                      <w:szCs w:val="21"/>
                    </w:rPr>
                    <w:t>项目</w:t>
                  </w:r>
                  <w:r>
                    <w:rPr>
                      <w:rFonts w:hint="default" w:ascii="Times New Roman" w:hAnsi="Times New Roman" w:eastAsia="宋体" w:cs="Times New Roman"/>
                      <w:color w:val="auto"/>
                      <w:sz w:val="21"/>
                      <w:szCs w:val="21"/>
                      <w:lang w:val="en-US" w:eastAsia="zh-CN"/>
                    </w:rPr>
                    <w:t>厂区</w:t>
                  </w:r>
                  <w:r>
                    <w:rPr>
                      <w:rFonts w:hint="default" w:ascii="Times New Roman" w:hAnsi="Times New Roman" w:eastAsia="宋体" w:cs="Times New Roman"/>
                      <w:color w:val="auto"/>
                      <w:sz w:val="21"/>
                      <w:szCs w:val="21"/>
                    </w:rPr>
                    <w:t>实行雨污分流</w:t>
                  </w:r>
                  <w:r>
                    <w:rPr>
                      <w:rFonts w:hint="default" w:ascii="Times New Roman" w:hAnsi="Times New Roman" w:eastAsia="宋体" w:cs="Times New Roman"/>
                      <w:color w:val="auto"/>
                      <w:sz w:val="21"/>
                      <w:szCs w:val="21"/>
                      <w:lang w:val="en-US" w:eastAsia="zh-CN"/>
                    </w:rPr>
                    <w:t>制</w:t>
                  </w:r>
                  <w:r>
                    <w:rPr>
                      <w:rFonts w:hint="default" w:ascii="Times New Roman" w:hAnsi="Times New Roman" w:eastAsia="宋体" w:cs="Times New Roman"/>
                      <w:color w:val="auto"/>
                      <w:sz w:val="21"/>
                      <w:szCs w:val="21"/>
                    </w:rPr>
                    <w:t>，</w:t>
                  </w:r>
                  <w:r>
                    <w:rPr>
                      <w:rFonts w:hint="default" w:ascii="Times New Roman" w:hAnsi="Times New Roman" w:eastAsia="宋体" w:cs="Times New Roman"/>
                      <w:b w:val="0"/>
                      <w:bCs w:val="0"/>
                      <w:color w:val="auto"/>
                      <w:sz w:val="21"/>
                      <w:szCs w:val="21"/>
                      <w:highlight w:val="none"/>
                      <w:lang w:val="en-US" w:eastAsia="zh-CN"/>
                    </w:rPr>
                    <w:t>雨水经厂区雨水管收集后排入市政雨水管网</w:t>
                  </w:r>
                  <w:r>
                    <w:rPr>
                      <w:rFonts w:hint="default" w:ascii="Times New Roman" w:hAnsi="Times New Roman" w:eastAsia="宋体" w:cs="Times New Roman"/>
                      <w:color w:val="auto"/>
                      <w:sz w:val="21"/>
                      <w:szCs w:val="21"/>
                    </w:rPr>
                    <w:t>。项目生产过程中</w:t>
                  </w:r>
                  <w:r>
                    <w:rPr>
                      <w:rFonts w:hint="eastAsia" w:cs="Times New Roman"/>
                      <w:color w:val="auto"/>
                      <w:sz w:val="21"/>
                      <w:szCs w:val="21"/>
                      <w:lang w:val="en-US" w:eastAsia="zh-CN"/>
                    </w:rPr>
                    <w:t>定期排污</w:t>
                  </w:r>
                  <w:r>
                    <w:rPr>
                      <w:rFonts w:hint="default" w:ascii="Times New Roman" w:hAnsi="Times New Roman" w:eastAsia="宋体" w:cs="Times New Roman"/>
                      <w:color w:val="auto"/>
                      <w:sz w:val="21"/>
                      <w:szCs w:val="21"/>
                    </w:rPr>
                    <w:t>冷却循环</w:t>
                  </w:r>
                  <w:r>
                    <w:rPr>
                      <w:rFonts w:hint="eastAsia" w:cs="Times New Roman"/>
                      <w:color w:val="auto"/>
                      <w:sz w:val="21"/>
                      <w:szCs w:val="21"/>
                      <w:lang w:val="en-US" w:eastAsia="zh-CN"/>
                    </w:rPr>
                    <w:t>废水</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sz w:val="21"/>
                      <w:szCs w:val="21"/>
                      <w:lang w:val="en-US" w:eastAsia="zh-CN"/>
                    </w:rPr>
                    <w:t>项目区</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highlight w:val="none"/>
                      <w:lang w:val="en-US" w:eastAsia="zh-CN"/>
                    </w:rPr>
                    <w:t>，符合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kern w:val="0"/>
                      <w:sz w:val="21"/>
                      <w:szCs w:val="21"/>
                      <w:lang w:val="en-US" w:eastAsia="zh-CN" w:bidi="ar"/>
                    </w:rPr>
                    <w:t>。</w:t>
                  </w:r>
                </w:p>
                <w:p w14:paraId="0B8B5F8C">
                  <w:pPr>
                    <w:pStyle w:val="4"/>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⑥</w:t>
                  </w:r>
                  <w:r>
                    <w:rPr>
                      <w:rFonts w:hint="default" w:ascii="Times New Roman" w:hAnsi="Times New Roman" w:eastAsia="宋体" w:cs="Times New Roman"/>
                      <w:color w:val="auto"/>
                      <w:sz w:val="21"/>
                      <w:szCs w:val="21"/>
                      <w:lang w:val="en-US" w:eastAsia="zh-CN"/>
                    </w:rPr>
                    <w:t>本项目为塑料制品生产项目，</w:t>
                  </w:r>
                  <w:r>
                    <w:rPr>
                      <w:rFonts w:hint="default" w:ascii="Times New Roman" w:hAnsi="Times New Roman" w:eastAsia="宋体" w:cs="Times New Roman"/>
                      <w:b w:val="0"/>
                      <w:bCs/>
                      <w:color w:val="auto"/>
                      <w:sz w:val="21"/>
                      <w:szCs w:val="21"/>
                      <w:highlight w:val="none"/>
                      <w:lang w:val="en-US" w:eastAsia="zh-CN"/>
                    </w:rPr>
                    <w:t>属于轻工加工产业，项目建设符合《云南寻甸产业园区总体规划修编（2021‑2035）》中的相关要求</w:t>
                  </w:r>
                  <w:r>
                    <w:rPr>
                      <w:rFonts w:hint="default" w:ascii="Times New Roman" w:hAnsi="Times New Roman" w:eastAsia="宋体" w:cs="Times New Roman"/>
                      <w:color w:val="auto"/>
                      <w:sz w:val="21"/>
                      <w:szCs w:val="21"/>
                      <w:highlight w:val="none"/>
                      <w:lang w:val="en-US" w:eastAsia="zh-CN"/>
                    </w:rPr>
                    <w:t>，符合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p w14:paraId="6E47457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⑦</w:t>
                  </w:r>
                  <w:r>
                    <w:rPr>
                      <w:rFonts w:hint="default" w:ascii="Times New Roman" w:hAnsi="Times New Roman" w:eastAsia="宋体" w:cs="Times New Roman"/>
                      <w:color w:val="auto"/>
                      <w:sz w:val="21"/>
                      <w:szCs w:val="21"/>
                      <w:lang w:val="en-US" w:eastAsia="zh-CN"/>
                    </w:rPr>
                    <w:t>本项目为塑料制品生产项目，不属于</w:t>
                  </w:r>
                  <w:r>
                    <w:rPr>
                      <w:rFonts w:hint="default" w:ascii="Times New Roman" w:hAnsi="Times New Roman" w:eastAsia="宋体" w:cs="Times New Roman"/>
                      <w:color w:val="auto"/>
                      <w:sz w:val="21"/>
                      <w:szCs w:val="21"/>
                      <w:highlight w:val="none"/>
                      <w:lang w:val="en-US" w:eastAsia="zh-CN"/>
                    </w:rPr>
                    <w:t>“两高”项目。</w:t>
                  </w:r>
                </w:p>
                <w:p w14:paraId="03E584A9">
                  <w:pPr>
                    <w:pStyle w:val="4"/>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⑧</w:t>
                  </w:r>
                  <w:r>
                    <w:rPr>
                      <w:rFonts w:hint="default" w:ascii="Times New Roman" w:hAnsi="Times New Roman" w:eastAsia="宋体" w:cs="Times New Roman"/>
                      <w:color w:val="auto"/>
                      <w:sz w:val="21"/>
                      <w:szCs w:val="21"/>
                    </w:rPr>
                    <w:t>项目</w:t>
                  </w:r>
                  <w:r>
                    <w:rPr>
                      <w:rFonts w:hint="default" w:ascii="Times New Roman" w:hAnsi="Times New Roman" w:eastAsia="宋体" w:cs="Times New Roman"/>
                      <w:color w:val="auto"/>
                      <w:sz w:val="21"/>
                      <w:szCs w:val="21"/>
                      <w:lang w:val="en-US" w:eastAsia="zh-CN"/>
                    </w:rPr>
                    <w:t>厂区</w:t>
                  </w:r>
                  <w:r>
                    <w:rPr>
                      <w:rFonts w:hint="default" w:ascii="Times New Roman" w:hAnsi="Times New Roman" w:eastAsia="宋体" w:cs="Times New Roman"/>
                      <w:color w:val="auto"/>
                      <w:sz w:val="21"/>
                      <w:szCs w:val="21"/>
                    </w:rPr>
                    <w:t>实行雨污分流</w:t>
                  </w:r>
                  <w:r>
                    <w:rPr>
                      <w:rFonts w:hint="default" w:ascii="Times New Roman" w:hAnsi="Times New Roman" w:eastAsia="宋体" w:cs="Times New Roman"/>
                      <w:color w:val="auto"/>
                      <w:sz w:val="21"/>
                      <w:szCs w:val="21"/>
                      <w:lang w:val="en-US" w:eastAsia="zh-CN"/>
                    </w:rPr>
                    <w:t>制</w:t>
                  </w:r>
                  <w:r>
                    <w:rPr>
                      <w:rFonts w:hint="default" w:ascii="Times New Roman" w:hAnsi="Times New Roman" w:eastAsia="宋体" w:cs="Times New Roman"/>
                      <w:color w:val="auto"/>
                      <w:sz w:val="21"/>
                      <w:szCs w:val="21"/>
                    </w:rPr>
                    <w:t>，</w:t>
                  </w:r>
                  <w:r>
                    <w:rPr>
                      <w:rFonts w:hint="default" w:ascii="Times New Roman" w:hAnsi="Times New Roman" w:eastAsia="宋体" w:cs="Times New Roman"/>
                      <w:b w:val="0"/>
                      <w:bCs w:val="0"/>
                      <w:color w:val="auto"/>
                      <w:sz w:val="21"/>
                      <w:szCs w:val="21"/>
                      <w:highlight w:val="none"/>
                      <w:lang w:val="en-US" w:eastAsia="zh-CN"/>
                    </w:rPr>
                    <w:t>雨水经厂区雨水管收集后排入市政雨水管网</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项目生产过程中项目生产过</w:t>
                  </w:r>
                  <w:r>
                    <w:rPr>
                      <w:rFonts w:hint="eastAsia" w:ascii="宋体" w:hAnsi="宋体" w:eastAsia="宋体" w:cs="宋体"/>
                      <w:color w:val="auto"/>
                      <w:sz w:val="21"/>
                      <w:szCs w:val="21"/>
                    </w:rPr>
                    <w:t>程中</w:t>
                  </w:r>
                  <w:r>
                    <w:rPr>
                      <w:rFonts w:hint="eastAsia" w:ascii="宋体" w:hAnsi="宋体" w:eastAsia="宋体" w:cs="宋体"/>
                      <w:color w:val="auto"/>
                      <w:sz w:val="21"/>
                      <w:szCs w:val="21"/>
                      <w:lang w:val="en-US" w:eastAsia="zh-CN"/>
                    </w:rPr>
                    <w:t>定期排污</w:t>
                  </w:r>
                  <w:r>
                    <w:rPr>
                      <w:rFonts w:hint="eastAsia" w:ascii="宋体" w:hAnsi="宋体" w:eastAsia="宋体" w:cs="宋体"/>
                      <w:color w:val="auto"/>
                      <w:sz w:val="21"/>
                      <w:szCs w:val="21"/>
                    </w:rPr>
                    <w:t>冷却循环</w:t>
                  </w:r>
                  <w:r>
                    <w:rPr>
                      <w:rFonts w:hint="eastAsia" w:ascii="宋体" w:hAnsi="宋体" w:eastAsia="宋体" w:cs="宋体"/>
                      <w:color w:val="auto"/>
                      <w:sz w:val="21"/>
                      <w:szCs w:val="21"/>
                      <w:lang w:val="en-US" w:eastAsia="zh-CN"/>
                    </w:rPr>
                    <w:t>废水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生活污水</w:t>
                  </w:r>
                  <w:r>
                    <w:rPr>
                      <w:rFonts w:hint="eastAsia" w:ascii="宋体" w:hAnsi="宋体" w:eastAsia="宋体" w:cs="宋体"/>
                      <w:color w:val="auto"/>
                      <w:sz w:val="21"/>
                      <w:szCs w:val="21"/>
                      <w:lang w:val="en-US" w:eastAsia="zh-CN"/>
                    </w:rPr>
                    <w:t>依托</w:t>
                  </w:r>
                  <w:r>
                    <w:rPr>
                      <w:rFonts w:hint="eastAsia" w:ascii="宋体" w:hAnsi="宋体" w:eastAsia="宋体" w:cs="宋体"/>
                      <w:caps w:val="0"/>
                      <w:smallCaps w:val="0"/>
                      <w:color w:val="auto"/>
                      <w:kern w:val="2"/>
                      <w:sz w:val="21"/>
                      <w:szCs w:val="21"/>
                      <w:lang w:val="en-US" w:eastAsia="zh-CN" w:bidi="ar-SA"/>
                    </w:rPr>
                    <w:t>云南鹏达冠得有限公司</w:t>
                  </w:r>
                  <w:r>
                    <w:rPr>
                      <w:rFonts w:hint="eastAsia" w:ascii="宋体" w:hAnsi="宋体" w:eastAsia="宋体" w:cs="宋体"/>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sz w:val="21"/>
                      <w:szCs w:val="21"/>
                      <w:lang w:val="en-US" w:eastAsia="zh-CN"/>
                    </w:rPr>
                    <w:t>项目区</w:t>
                  </w:r>
                  <w:r>
                    <w:rPr>
                      <w:rFonts w:hint="default" w:ascii="Times New Roman" w:hAnsi="Times New Roman" w:eastAsia="宋体" w:cs="Times New Roman"/>
                      <w:color w:val="auto"/>
                      <w:kern w:val="0"/>
                      <w:sz w:val="21"/>
                      <w:szCs w:val="21"/>
                      <w:lang w:val="en-US" w:eastAsia="zh-CN" w:bidi="ar"/>
                    </w:rPr>
                    <w:t>绿化浇灌及道路洒水，项目无外排废水</w:t>
                  </w:r>
                  <w:r>
                    <w:rPr>
                      <w:rFonts w:hint="default" w:ascii="Times New Roman" w:hAnsi="Times New Roman" w:eastAsia="宋体" w:cs="Times New Roman"/>
                      <w:color w:val="auto"/>
                      <w:sz w:val="21"/>
                      <w:szCs w:val="21"/>
                      <w:highlight w:val="none"/>
                      <w:lang w:val="en-US" w:eastAsia="zh-CN"/>
                    </w:rPr>
                    <w:t>，符合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p w14:paraId="10842B18">
                  <w:pPr>
                    <w:pStyle w:val="4"/>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⑨</w:t>
                  </w:r>
                  <w:r>
                    <w:rPr>
                      <w:rFonts w:hint="default" w:ascii="Times New Roman" w:hAnsi="Times New Roman" w:eastAsia="宋体" w:cs="Times New Roman"/>
                      <w:color w:val="auto"/>
                      <w:sz w:val="21"/>
                      <w:szCs w:val="21"/>
                      <w:lang w:val="en-US" w:eastAsia="zh-CN"/>
                    </w:rPr>
                    <w:t>本项目为塑料制品生产项目，项目原料于厂房内堆放，本项目不涉及渣场、渣库的设置，同时，项目区</w:t>
                  </w:r>
                  <w:r>
                    <w:rPr>
                      <w:rFonts w:hint="default" w:ascii="Times New Roman" w:hAnsi="Times New Roman" w:eastAsia="宋体" w:cs="Times New Roman"/>
                      <w:color w:val="auto"/>
                      <w:sz w:val="21"/>
                      <w:szCs w:val="21"/>
                    </w:rPr>
                    <w:t>项目</w:t>
                  </w:r>
                  <w:r>
                    <w:rPr>
                      <w:rFonts w:hint="default" w:ascii="Times New Roman" w:hAnsi="Times New Roman" w:eastAsia="宋体" w:cs="Times New Roman"/>
                      <w:color w:val="auto"/>
                      <w:sz w:val="21"/>
                      <w:szCs w:val="21"/>
                      <w:lang w:val="en-US" w:eastAsia="zh-CN"/>
                    </w:rPr>
                    <w:t>厂区</w:t>
                  </w:r>
                  <w:r>
                    <w:rPr>
                      <w:rFonts w:hint="default" w:ascii="Times New Roman" w:hAnsi="Times New Roman" w:eastAsia="宋体" w:cs="Times New Roman"/>
                      <w:color w:val="auto"/>
                      <w:sz w:val="21"/>
                      <w:szCs w:val="21"/>
                    </w:rPr>
                    <w:t>实行雨污分流</w:t>
                  </w:r>
                  <w:r>
                    <w:rPr>
                      <w:rFonts w:hint="default" w:ascii="Times New Roman" w:hAnsi="Times New Roman" w:eastAsia="宋体" w:cs="Times New Roman"/>
                      <w:color w:val="auto"/>
                      <w:sz w:val="21"/>
                      <w:szCs w:val="21"/>
                      <w:lang w:val="en-US" w:eastAsia="zh-CN"/>
                    </w:rPr>
                    <w:t>制</w:t>
                  </w:r>
                  <w:r>
                    <w:rPr>
                      <w:rFonts w:hint="default" w:ascii="Times New Roman" w:hAnsi="Times New Roman" w:eastAsia="宋体" w:cs="Times New Roman"/>
                      <w:color w:val="auto"/>
                      <w:sz w:val="21"/>
                      <w:szCs w:val="21"/>
                    </w:rPr>
                    <w:t>，</w:t>
                  </w:r>
                  <w:r>
                    <w:rPr>
                      <w:rFonts w:hint="default" w:ascii="Times New Roman" w:hAnsi="Times New Roman" w:eastAsia="宋体" w:cs="Times New Roman"/>
                      <w:b w:val="0"/>
                      <w:bCs w:val="0"/>
                      <w:color w:val="auto"/>
                      <w:sz w:val="21"/>
                      <w:szCs w:val="21"/>
                      <w:highlight w:val="none"/>
                      <w:lang w:val="en-US" w:eastAsia="zh-CN"/>
                    </w:rPr>
                    <w:t>雨水经厂区雨水管收集后排入市政雨水管网，无生产废水外排，</w:t>
                  </w:r>
                  <w:r>
                    <w:rPr>
                      <w:rFonts w:hint="default" w:ascii="Times New Roman" w:hAnsi="Times New Roman" w:eastAsia="宋体" w:cs="Times New Roman"/>
                      <w:color w:val="auto"/>
                      <w:sz w:val="21"/>
                      <w:szCs w:val="21"/>
                      <w:highlight w:val="none"/>
                      <w:lang w:val="en-US" w:eastAsia="zh-CN"/>
                    </w:rPr>
                    <w:t>对周边水环境较小，符合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p w14:paraId="1D59069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⑩项目将严格执行环保“三同时”、竣工环保验收、排污许可申报制度；采用成熟先进</w:t>
                  </w:r>
                  <w:r>
                    <w:rPr>
                      <w:rFonts w:hint="eastAsia"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val="en-US" w:eastAsia="zh-CN"/>
                    </w:rPr>
                    <w:t>注塑工艺，配套活性炭吸附废气治理设施，清洁生产可达国内先进水平；</w:t>
                  </w: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highlight w:val="none"/>
                      <w:lang w:val="en-US" w:eastAsia="zh-CN"/>
                    </w:rPr>
                    <w:t>冷却水循环回用，严控新鲜水消耗，提高水重复利用率，发展节水型工业，符合</w:t>
                  </w:r>
                  <w:r>
                    <w:rPr>
                      <w:rFonts w:hint="eastAsia" w:ascii="Times New Roman" w:hAnsi="Times New Roman" w:eastAsia="宋体" w:cs="Times New Roman"/>
                      <w:color w:val="auto"/>
                      <w:sz w:val="21"/>
                      <w:szCs w:val="21"/>
                      <w:highlight w:val="none"/>
                      <w:lang w:val="en-US" w:eastAsia="zh-CN"/>
                    </w:rPr>
                    <w:t>该</w:t>
                  </w:r>
                  <w:r>
                    <w:rPr>
                      <w:rFonts w:hint="default" w:ascii="Times New Roman" w:hAnsi="Times New Roman" w:eastAsia="宋体" w:cs="Times New Roman"/>
                      <w:color w:val="auto"/>
                      <w:sz w:val="21"/>
                      <w:szCs w:val="21"/>
                      <w:highlight w:val="none"/>
                      <w:lang w:val="en-US" w:eastAsia="zh-CN"/>
                    </w:rPr>
                    <w:t>条要求</w:t>
                  </w:r>
                  <w:r>
                    <w:rPr>
                      <w:rFonts w:hint="default" w:ascii="Times New Roman" w:hAnsi="Times New Roman" w:eastAsia="宋体" w:cs="Times New Roman"/>
                      <w:color w:val="auto"/>
                      <w:sz w:val="21"/>
                      <w:szCs w:val="21"/>
                      <w:lang w:val="zh-CN"/>
                    </w:rPr>
                    <w:t>。</w:t>
                  </w:r>
                </w:p>
              </w:tc>
              <w:tc>
                <w:tcPr>
                  <w:tcW w:w="664" w:type="dxa"/>
                  <w:noWrap w:val="0"/>
                  <w:vAlign w:val="center"/>
                </w:tcPr>
                <w:p w14:paraId="332FB565">
                  <w:pPr>
                    <w:keepNext w:val="0"/>
                    <w:keepLines w:val="0"/>
                    <w:pageBreakBefore w:val="0"/>
                    <w:widowControl w:val="0"/>
                    <w:suppressLineNumbers w:val="0"/>
                    <w:shd w:val="clear" w:color="auto" w:fill="auto"/>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546E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3436028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大气</w:t>
                  </w:r>
                  <w:r>
                    <w:rPr>
                      <w:rFonts w:hint="default" w:ascii="Times New Roman" w:hAnsi="Times New Roman" w:eastAsia="宋体" w:cs="Times New Roman"/>
                      <w:color w:val="auto"/>
                      <w:sz w:val="21"/>
                      <w:szCs w:val="21"/>
                      <w:highlight w:val="none"/>
                      <w:lang w:val="en-US" w:eastAsia="zh-CN"/>
                    </w:rPr>
                    <w:t>环境影响</w:t>
                  </w:r>
                  <w:r>
                    <w:rPr>
                      <w:rFonts w:hint="default" w:ascii="Times New Roman" w:hAnsi="Times New Roman" w:eastAsia="宋体" w:cs="Times New Roman"/>
                      <w:color w:val="auto"/>
                      <w:sz w:val="21"/>
                      <w:szCs w:val="21"/>
                      <w:highlight w:val="none"/>
                      <w:lang w:val="zh-CN"/>
                    </w:rPr>
                    <w:t>减缓措施</w:t>
                  </w:r>
                </w:p>
              </w:tc>
              <w:tc>
                <w:tcPr>
                  <w:tcW w:w="3563" w:type="dxa"/>
                  <w:noWrap w:val="0"/>
                  <w:vAlign w:val="center"/>
                </w:tcPr>
                <w:p w14:paraId="6B5A716E">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①</w:t>
                  </w:r>
                  <w:r>
                    <w:rPr>
                      <w:rFonts w:hint="default" w:ascii="Times New Roman" w:hAnsi="Times New Roman" w:eastAsia="宋体" w:cs="Times New Roman"/>
                      <w:color w:val="auto"/>
                      <w:kern w:val="0"/>
                      <w:sz w:val="21"/>
                      <w:szCs w:val="21"/>
                    </w:rPr>
                    <w:t>按规划及其他相关</w:t>
                  </w:r>
                  <w:r>
                    <w:rPr>
                      <w:rFonts w:hint="default" w:ascii="Times New Roman" w:hAnsi="Times New Roman" w:eastAsia="宋体" w:cs="Times New Roman"/>
                      <w:color w:val="auto"/>
                      <w:kern w:val="0"/>
                      <w:sz w:val="21"/>
                      <w:szCs w:val="21"/>
                      <w:lang w:eastAsia="zh-CN"/>
                    </w:rPr>
                    <w:t>要求</w:t>
                  </w:r>
                  <w:r>
                    <w:rPr>
                      <w:rFonts w:hint="default" w:ascii="Times New Roman" w:hAnsi="Times New Roman" w:eastAsia="宋体" w:cs="Times New Roman"/>
                      <w:color w:val="auto"/>
                      <w:kern w:val="0"/>
                      <w:sz w:val="21"/>
                      <w:szCs w:val="21"/>
                    </w:rPr>
                    <w:t>规划区工业及民用均使用清洁能源。对严重污染大气环境的工艺、设备和产品实行淘汰制度</w:t>
                  </w:r>
                  <w:r>
                    <w:rPr>
                      <w:rFonts w:hint="default" w:ascii="Times New Roman" w:hAnsi="Times New Roman" w:eastAsia="宋体" w:cs="Times New Roman"/>
                      <w:color w:val="auto"/>
                      <w:kern w:val="0"/>
                      <w:sz w:val="21"/>
                      <w:szCs w:val="21"/>
                      <w:lang w:eastAsia="zh-CN"/>
                    </w:rPr>
                    <w:t>；</w:t>
                  </w:r>
                </w:p>
                <w:p w14:paraId="61C30767">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②</w:t>
                  </w:r>
                  <w:r>
                    <w:rPr>
                      <w:rFonts w:hint="default" w:ascii="Times New Roman" w:hAnsi="Times New Roman" w:eastAsia="宋体" w:cs="Times New Roman"/>
                      <w:color w:val="auto"/>
                      <w:kern w:val="0"/>
                      <w:sz w:val="21"/>
                      <w:szCs w:val="21"/>
                    </w:rPr>
                    <w:t>入驻的有大气污染源排放的项目环境影响评价文件中应将大气环境影响评价作为重点之一，深入分析项目入驻对区域大气环境的影响，明确环境空气污染防治措施并严格落实，要求作出明确的环境是否可行的结论</w:t>
                  </w:r>
                  <w:r>
                    <w:rPr>
                      <w:rFonts w:hint="default" w:ascii="Times New Roman" w:hAnsi="Times New Roman" w:eastAsia="宋体" w:cs="Times New Roman"/>
                      <w:color w:val="auto"/>
                      <w:kern w:val="0"/>
                      <w:sz w:val="21"/>
                      <w:szCs w:val="21"/>
                      <w:lang w:eastAsia="zh-CN"/>
                    </w:rPr>
                    <w:t>；</w:t>
                  </w:r>
                </w:p>
                <w:p w14:paraId="1CB466B6">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③</w:t>
                  </w:r>
                  <w:r>
                    <w:rPr>
                      <w:rFonts w:hint="default" w:ascii="Times New Roman" w:hAnsi="Times New Roman" w:eastAsia="宋体" w:cs="Times New Roman"/>
                      <w:color w:val="auto"/>
                      <w:kern w:val="0"/>
                      <w:sz w:val="21"/>
                      <w:szCs w:val="21"/>
                    </w:rPr>
                    <w:t>推行清洁能源，建议考虑集中供热，实施循环经济，并对大气污染物实行总量控制</w:t>
                  </w:r>
                  <w:r>
                    <w:rPr>
                      <w:rFonts w:hint="default" w:ascii="Times New Roman" w:hAnsi="Times New Roman" w:eastAsia="宋体" w:cs="Times New Roman"/>
                      <w:color w:val="auto"/>
                      <w:kern w:val="0"/>
                      <w:sz w:val="21"/>
                      <w:szCs w:val="21"/>
                      <w:lang w:eastAsia="zh-CN"/>
                    </w:rPr>
                    <w:t>；</w:t>
                  </w:r>
                </w:p>
                <w:p w14:paraId="072EEABA">
                  <w:pPr>
                    <w:keepNext w:val="0"/>
                    <w:keepLines w:val="0"/>
                    <w:suppressLineNumbers w:val="0"/>
                    <w:adjustRightInd w:val="0"/>
                    <w:snapToGrid w:val="0"/>
                    <w:spacing w:before="0" w:beforeAutospacing="0" w:after="0" w:afterAutospacing="0"/>
                    <w:ind w:left="0" w:right="0"/>
                    <w:rPr>
                      <w:rFonts w:hint="default" w:cs="Times New Roman"/>
                      <w:color w:val="auto"/>
                      <w:szCs w:val="20"/>
                    </w:rPr>
                  </w:pPr>
                  <w:r>
                    <w:rPr>
                      <w:rFonts w:hint="eastAsia" w:cs="Times New Roman"/>
                      <w:color w:val="auto"/>
                      <w:szCs w:val="20"/>
                      <w:lang w:val="en-US" w:eastAsia="zh-CN"/>
                    </w:rPr>
                    <w:t>④</w:t>
                  </w:r>
                  <w:r>
                    <w:rPr>
                      <w:rFonts w:hint="default" w:cs="Times New Roman"/>
                      <w:color w:val="auto"/>
                      <w:szCs w:val="20"/>
                    </w:rPr>
                    <w:t>加强规划区工业企业精细化管理，入驻企业必须采取新工艺、新技术，提高综合利用，禁止高耗能、重污染的企业入驻，要求规划区企业采用清洁生产工艺，加强源头治理，控制或者逐步削减大气污染物的排放量，严格控制废气污染物的排放，杜绝超标排放，推行清洁生产，</w:t>
                  </w:r>
                  <w:r>
                    <w:rPr>
                      <w:rFonts w:hint="eastAsia" w:cs="Times New Roman"/>
                      <w:color w:val="auto"/>
                      <w:szCs w:val="20"/>
                      <w:lang w:eastAsia="zh-CN"/>
                    </w:rPr>
                    <w:t>减少</w:t>
                  </w:r>
                  <w:r>
                    <w:rPr>
                      <w:rFonts w:hint="default" w:cs="Times New Roman"/>
                      <w:color w:val="auto"/>
                      <w:szCs w:val="20"/>
                    </w:rPr>
                    <w:t>能耗。</w:t>
                  </w:r>
                </w:p>
                <w:p w14:paraId="77EBEE9D">
                  <w:pPr>
                    <w:keepNext w:val="0"/>
                    <w:keepLines w:val="0"/>
                    <w:pageBreakBefore w:val="0"/>
                    <w:suppressLineNumbers w:val="0"/>
                    <w:kinsoku/>
                    <w:overflowPunct/>
                    <w:topLinePunct w:val="0"/>
                    <w:bidi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eastAsia" w:cs="Times New Roman"/>
                      <w:color w:val="auto"/>
                      <w:szCs w:val="20"/>
                      <w:lang w:val="en-US" w:eastAsia="zh-CN"/>
                    </w:rPr>
                    <w:t>⑤</w:t>
                  </w:r>
                  <w:r>
                    <w:rPr>
                      <w:rFonts w:hint="default" w:ascii="Times New Roman" w:hAnsi="Times New Roman" w:eastAsia="宋体" w:cs="Times New Roman"/>
                      <w:color w:val="auto"/>
                      <w:kern w:val="0"/>
                      <w:sz w:val="21"/>
                      <w:szCs w:val="21"/>
                    </w:rPr>
                    <w:t>规划区企业事业单位和其他生产经营者应当按照国家有关规定和监测规范，对其排放的工业废气和有毒有害大气污染物进行监测。其中，重点排污单位应当安装、使用大气污染物排放自动监测设备，与环境保护主管部门的监控设备联网，保证监测设备正常运行并依法公开排放信息。</w:t>
                  </w:r>
                </w:p>
                <w:p w14:paraId="68022AA8">
                  <w:pPr>
                    <w:keepNext w:val="0"/>
                    <w:keepLines w:val="0"/>
                    <w:suppressLineNumbers w:val="0"/>
                    <w:adjustRightInd w:val="0"/>
                    <w:snapToGrid w:val="0"/>
                    <w:spacing w:before="0" w:beforeAutospacing="0" w:after="0" w:afterAutospacing="0"/>
                    <w:ind w:left="0" w:right="0"/>
                    <w:rPr>
                      <w:rFonts w:hint="default"/>
                      <w:color w:val="auto"/>
                      <w:lang w:val="zh-CN"/>
                    </w:rPr>
                  </w:pPr>
                  <w:r>
                    <w:rPr>
                      <w:rFonts w:hint="eastAsia" w:cs="Times New Roman"/>
                      <w:color w:val="auto"/>
                      <w:kern w:val="0"/>
                      <w:sz w:val="21"/>
                      <w:szCs w:val="21"/>
                      <w:lang w:val="en-US" w:eastAsia="zh-CN"/>
                    </w:rPr>
                    <w:t>⑥</w:t>
                  </w:r>
                  <w:r>
                    <w:rPr>
                      <w:rFonts w:hint="default" w:cs="Times New Roman"/>
                      <w:color w:val="auto"/>
                      <w:szCs w:val="20"/>
                    </w:rPr>
                    <w:t>合理布置绿化区域，应按规划的绿地面积绿化片区环境。</w:t>
                  </w:r>
                </w:p>
              </w:tc>
              <w:tc>
                <w:tcPr>
                  <w:tcW w:w="3001" w:type="dxa"/>
                  <w:noWrap w:val="0"/>
                  <w:vAlign w:val="center"/>
                </w:tcPr>
                <w:p w14:paraId="73ED4C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①本项目生产设备采用电能，属于清洁能源；项目使用注塑成熟工艺，不属于国家明令淘汰的工艺、设备及产品，符合园区使用清洁能源、淘汰重污染工艺设备的管控要求。</w:t>
                  </w:r>
                </w:p>
                <w:p w14:paraId="582EF6CF">
                  <w:pPr>
                    <w:pStyle w:val="4"/>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②本项目环评将大气环境影响评价作为重点章节，本项目热熔</w:t>
                  </w:r>
                  <w:r>
                    <w:rPr>
                      <w:rFonts w:hint="default" w:ascii="Times New Roman" w:hAnsi="Times New Roman" w:eastAsia="宋体" w:cs="Times New Roman"/>
                      <w:color w:val="auto"/>
                      <w:sz w:val="21"/>
                      <w:szCs w:val="21"/>
                      <w:lang w:val="en-US" w:eastAsia="zh-CN"/>
                    </w:rPr>
                    <w:t>注塑</w:t>
                  </w:r>
                  <w:r>
                    <w:rPr>
                      <w:rFonts w:hint="default" w:ascii="Times New Roman" w:hAnsi="Times New Roman" w:eastAsia="宋体" w:cs="Times New Roman"/>
                      <w:color w:val="auto"/>
                      <w:sz w:val="21"/>
                      <w:szCs w:val="21"/>
                    </w:rPr>
                    <w:t>工序产生的非甲烷总烃</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臭气浓度</w:t>
                  </w:r>
                  <w:r>
                    <w:rPr>
                      <w:rFonts w:hint="default" w:ascii="Times New Roman" w:hAnsi="Times New Roman" w:eastAsia="宋体" w:cs="Times New Roman"/>
                      <w:color w:val="auto"/>
                      <w:sz w:val="21"/>
                      <w:szCs w:val="21"/>
                    </w:rPr>
                    <w:t>经</w:t>
                  </w:r>
                  <w:r>
                    <w:rPr>
                      <w:rFonts w:hint="default" w:ascii="Times New Roman" w:hAnsi="Times New Roman" w:eastAsia="宋体" w:cs="Times New Roman"/>
                      <w:color w:val="auto"/>
                      <w:sz w:val="21"/>
                      <w:szCs w:val="21"/>
                      <w:lang w:val="en-US" w:eastAsia="zh-CN"/>
                    </w:rPr>
                    <w:t>注塑</w:t>
                  </w:r>
                  <w:r>
                    <w:rPr>
                      <w:rFonts w:hint="default" w:ascii="Times New Roman" w:hAnsi="Times New Roman" w:eastAsia="宋体" w:cs="Times New Roman"/>
                      <w:color w:val="auto"/>
                      <w:sz w:val="21"/>
                      <w:szCs w:val="21"/>
                    </w:rPr>
                    <w:t>机上方设置的集气罩收集进入1套</w:t>
                  </w:r>
                  <w:r>
                    <w:rPr>
                      <w:rFonts w:hint="default" w:ascii="Times New Roman" w:hAnsi="Times New Roman" w:eastAsia="宋体" w:cs="Times New Roman"/>
                      <w:color w:val="auto"/>
                      <w:sz w:val="21"/>
                      <w:szCs w:val="21"/>
                      <w:lang w:val="en-US" w:eastAsia="zh-CN"/>
                    </w:rPr>
                    <w:t>三级活性炭吸附装置</w:t>
                  </w:r>
                  <w:r>
                    <w:rPr>
                      <w:rFonts w:hint="default" w:ascii="Times New Roman" w:hAnsi="Times New Roman" w:eastAsia="宋体" w:cs="Times New Roman"/>
                      <w:color w:val="auto"/>
                      <w:sz w:val="21"/>
                      <w:szCs w:val="21"/>
                    </w:rPr>
                    <w:t>处理后经1根15m高排气筒（DA001）排放</w:t>
                  </w:r>
                  <w:r>
                    <w:rPr>
                      <w:rFonts w:hint="default" w:ascii="Times New Roman" w:hAnsi="Times New Roman" w:eastAsia="宋体" w:cs="Times New Roman"/>
                      <w:bCs/>
                      <w:color w:val="auto"/>
                      <w:sz w:val="21"/>
                      <w:szCs w:val="21"/>
                      <w:highlight w:val="none"/>
                      <w:lang w:val="en-US" w:eastAsia="zh-CN"/>
                    </w:rPr>
                    <w:t>；</w:t>
                  </w:r>
                  <w:r>
                    <w:rPr>
                      <w:rFonts w:hint="default" w:ascii="Times New Roman" w:hAnsi="Times New Roman" w:eastAsia="宋体" w:cs="Times New Roman"/>
                      <w:b w:val="0"/>
                      <w:bCs w:val="0"/>
                      <w:color w:val="auto"/>
                      <w:sz w:val="21"/>
                      <w:szCs w:val="21"/>
                      <w:lang w:val="en-US" w:eastAsia="zh-CN"/>
                    </w:rPr>
                    <w:t>项目原料为塑料颗粒料，破碎仅对生产不合格品间歇破碎，作业时间短</w:t>
                  </w:r>
                  <w:r>
                    <w:rPr>
                      <w:rFonts w:hint="eastAsia" w:eastAsia="宋体" w:cs="Times New Roman"/>
                      <w:b w:val="0"/>
                      <w:bCs w:val="0"/>
                      <w:color w:val="auto"/>
                      <w:sz w:val="21"/>
                      <w:szCs w:val="21"/>
                      <w:lang w:val="en-US" w:eastAsia="zh-CN"/>
                    </w:rPr>
                    <w:t>，故</w:t>
                  </w:r>
                  <w:r>
                    <w:rPr>
                      <w:rFonts w:hint="default" w:ascii="Times New Roman" w:hAnsi="Times New Roman" w:eastAsia="宋体" w:cs="Times New Roman"/>
                      <w:b w:val="0"/>
                      <w:bCs w:val="0"/>
                      <w:color w:val="auto"/>
                      <w:sz w:val="21"/>
                      <w:szCs w:val="21"/>
                      <w:lang w:val="en-US" w:eastAsia="zh-CN"/>
                    </w:rPr>
                    <w:t>拌料、上料、</w:t>
                  </w:r>
                  <w:r>
                    <w:rPr>
                      <w:rFonts w:hint="eastAsia" w:ascii="Times New Roman" w:hAnsi="Times New Roman" w:eastAsia="宋体" w:cs="Times New Roman"/>
                      <w:b w:val="0"/>
                      <w:bCs w:val="0"/>
                      <w:color w:val="auto"/>
                      <w:sz w:val="21"/>
                      <w:szCs w:val="21"/>
                      <w:lang w:val="en-US" w:eastAsia="zh-CN"/>
                    </w:rPr>
                    <w:t>不合格品</w:t>
                  </w:r>
                  <w:r>
                    <w:rPr>
                      <w:rFonts w:hint="default" w:ascii="Times New Roman" w:hAnsi="Times New Roman" w:eastAsia="宋体" w:cs="Times New Roman"/>
                      <w:b w:val="0"/>
                      <w:bCs w:val="0"/>
                      <w:color w:val="auto"/>
                      <w:sz w:val="21"/>
                      <w:szCs w:val="21"/>
                      <w:lang w:val="en-US" w:eastAsia="zh-CN"/>
                    </w:rPr>
                    <w:t>破碎工序粉尘产生量小</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拌料、上料、破碎均在</w:t>
                  </w:r>
                  <w:r>
                    <w:rPr>
                      <w:rFonts w:hint="eastAsia" w:ascii="Times New Roman" w:hAnsi="Times New Roman" w:eastAsia="宋体" w:cs="Times New Roman"/>
                      <w:b w:val="0"/>
                      <w:bCs w:val="0"/>
                      <w:color w:val="auto"/>
                      <w:sz w:val="21"/>
                      <w:szCs w:val="21"/>
                      <w:lang w:val="en-US" w:eastAsia="zh-CN"/>
                    </w:rPr>
                    <w:t>封闭</w:t>
                  </w:r>
                  <w:r>
                    <w:rPr>
                      <w:rFonts w:hint="default" w:ascii="Times New Roman" w:hAnsi="Times New Roman" w:eastAsia="宋体" w:cs="Times New Roman"/>
                      <w:b w:val="0"/>
                      <w:bCs w:val="0"/>
                      <w:color w:val="auto"/>
                      <w:sz w:val="21"/>
                      <w:szCs w:val="21"/>
                      <w:lang w:val="en-US" w:eastAsia="zh-CN"/>
                    </w:rPr>
                    <w:t>厂房</w:t>
                  </w:r>
                  <w:r>
                    <w:rPr>
                      <w:rFonts w:hint="eastAsia" w:ascii="Times New Roman" w:hAnsi="Times New Roman" w:eastAsia="宋体" w:cs="Times New Roman"/>
                      <w:b w:val="0"/>
                      <w:bCs w:val="0"/>
                      <w:color w:val="auto"/>
                      <w:sz w:val="21"/>
                      <w:szCs w:val="21"/>
                      <w:lang w:val="en-US" w:eastAsia="zh-CN"/>
                    </w:rPr>
                    <w:t>（仅留出入口）</w:t>
                  </w:r>
                  <w:r>
                    <w:rPr>
                      <w:rFonts w:hint="default" w:ascii="Times New Roman" w:hAnsi="Times New Roman" w:eastAsia="宋体" w:cs="Times New Roman"/>
                      <w:b w:val="0"/>
                      <w:bCs w:val="0"/>
                      <w:color w:val="auto"/>
                      <w:sz w:val="21"/>
                      <w:szCs w:val="21"/>
                      <w:lang w:val="en-US" w:eastAsia="zh-CN"/>
                    </w:rPr>
                    <w:t>内进行，</w:t>
                  </w:r>
                  <w:r>
                    <w:rPr>
                      <w:rFonts w:hint="eastAsia" w:ascii="Times New Roman" w:hAnsi="Times New Roman" w:eastAsia="宋体" w:cs="Times New Roman"/>
                      <w:b w:val="0"/>
                      <w:bCs w:val="0"/>
                      <w:color w:val="auto"/>
                      <w:sz w:val="21"/>
                      <w:szCs w:val="21"/>
                      <w:lang w:val="en-US" w:eastAsia="zh-CN"/>
                    </w:rPr>
                    <w:t>以上工序产生的颗粒物</w:t>
                  </w:r>
                  <w:r>
                    <w:rPr>
                      <w:rFonts w:hint="default" w:ascii="Times New Roman" w:hAnsi="Times New Roman" w:eastAsia="宋体" w:cs="Times New Roman"/>
                      <w:b w:val="0"/>
                      <w:bCs w:val="0"/>
                      <w:color w:val="auto"/>
                      <w:sz w:val="21"/>
                      <w:szCs w:val="21"/>
                      <w:lang w:val="en-US" w:eastAsia="zh-CN"/>
                    </w:rPr>
                    <w:t>经厂房自然沉降</w:t>
                  </w:r>
                  <w:r>
                    <w:rPr>
                      <w:rFonts w:hint="eastAsia" w:ascii="Times New Roman" w:hAnsi="Times New Roman" w:eastAsia="宋体" w:cs="Times New Roman"/>
                      <w:b w:val="0"/>
                      <w:bCs w:val="0"/>
                      <w:color w:val="auto"/>
                      <w:sz w:val="21"/>
                      <w:szCs w:val="21"/>
                      <w:lang w:val="en-US" w:eastAsia="zh-CN"/>
                    </w:rPr>
                    <w:t>、厂区绿化削减后</w:t>
                  </w:r>
                  <w:r>
                    <w:rPr>
                      <w:rFonts w:hint="default" w:ascii="Times New Roman" w:hAnsi="Times New Roman" w:eastAsia="宋体" w:cs="Times New Roman"/>
                      <w:b w:val="0"/>
                      <w:bCs w:val="0"/>
                      <w:color w:val="auto"/>
                      <w:sz w:val="21"/>
                      <w:szCs w:val="21"/>
                      <w:lang w:val="en-US" w:eastAsia="zh-CN"/>
                    </w:rPr>
                    <w:t>，以无组织形式排放，对区域大气环境影响较小</w:t>
                  </w:r>
                  <w:r>
                    <w:rPr>
                      <w:rFonts w:hint="default" w:ascii="Times New Roman" w:hAnsi="Times New Roman" w:eastAsia="宋体" w:cs="Times New Roman"/>
                      <w:color w:val="auto"/>
                      <w:kern w:val="0"/>
                      <w:sz w:val="21"/>
                      <w:szCs w:val="21"/>
                      <w:lang w:eastAsia="zh-CN" w:bidi="ar"/>
                    </w:rPr>
                    <w:t>；</w:t>
                  </w:r>
                  <w:r>
                    <w:rPr>
                      <w:rFonts w:hint="default" w:ascii="Times New Roman" w:hAnsi="Times New Roman" w:eastAsia="宋体" w:cs="Times New Roman"/>
                      <w:color w:val="auto"/>
                      <w:kern w:val="0"/>
                      <w:sz w:val="21"/>
                      <w:szCs w:val="21"/>
                      <w:lang w:bidi="ar"/>
                    </w:rPr>
                    <w:t>食堂油烟</w:t>
                  </w:r>
                  <w:r>
                    <w:rPr>
                      <w:rFonts w:hint="eastAsia" w:ascii="Times New Roman" w:hAnsi="Times New Roman" w:eastAsia="宋体" w:cs="Times New Roman"/>
                      <w:color w:val="auto"/>
                      <w:kern w:val="0"/>
                      <w:sz w:val="21"/>
                      <w:szCs w:val="21"/>
                      <w:lang w:val="en-US" w:eastAsia="zh-CN" w:bidi="ar"/>
                    </w:rPr>
                    <w:t>依托租用厂房已</w:t>
                  </w:r>
                  <w:r>
                    <w:rPr>
                      <w:rFonts w:hint="default" w:ascii="Times New Roman" w:hAnsi="Times New Roman" w:eastAsia="宋体" w:cs="Times New Roman"/>
                      <w:color w:val="auto"/>
                      <w:kern w:val="0"/>
                      <w:sz w:val="21"/>
                      <w:szCs w:val="21"/>
                      <w:lang w:bidi="ar"/>
                    </w:rPr>
                    <w:t>配套的油烟净化器处理后由排烟管道引至屋顶排放</w:t>
                  </w:r>
                  <w:r>
                    <w:rPr>
                      <w:rFonts w:hint="default" w:ascii="Times New Roman" w:hAnsi="Times New Roman" w:eastAsia="宋体" w:cs="Times New Roman"/>
                      <w:color w:val="auto"/>
                      <w:sz w:val="21"/>
                      <w:szCs w:val="21"/>
                      <w:highlight w:val="none"/>
                      <w:lang w:val="en-US" w:eastAsia="zh-CN"/>
                    </w:rPr>
                    <w:t>；针对项目产生的有机废气、颗粒物、食堂油烟明确配套废气收集治理措施，论证项目废气排放对区域大气环境影响可接受，明确项目大气环境可行性结论。</w:t>
                  </w:r>
                </w:p>
                <w:p w14:paraId="1BE649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③项目生产采用电能（清洁能源），不使用锅炉；项目不合格塑料筐破碎后回用于生产，实现物料循环利用；项目废气污染物（非甲烷总烃）按要求申请总量控制，满足总量管控要求。</w:t>
                  </w:r>
                </w:p>
                <w:p w14:paraId="3145E823">
                  <w:pPr>
                    <w:pStyle w:val="4"/>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④项目采用注塑成型新工艺，属于低耗能轻工制造项目，不属于高耗能、重污染行业；项目从源头控制原料无组织逸散，配套废气收集治理设施，削减有机废气排放；项目</w:t>
                  </w: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highlight w:val="none"/>
                      <w:lang w:val="en-US" w:eastAsia="zh-CN"/>
                    </w:rPr>
                    <w:t>冷却水循环回用</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落实清洁生产，降低能耗，废气经治理后稳定达标排放。</w:t>
                  </w:r>
                </w:p>
                <w:p w14:paraId="01C3CE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⑤项目按照排污许可技术规范制定废气自行监测方案，定期对注塑有机废气</w:t>
                  </w:r>
                  <w:r>
                    <w:rPr>
                      <w:rFonts w:hint="eastAsia" w:ascii="Times New Roman" w:hAnsi="Times New Roman" w:eastAsia="宋体" w:cs="Times New Roman"/>
                      <w:color w:val="auto"/>
                      <w:sz w:val="21"/>
                      <w:szCs w:val="21"/>
                      <w:highlight w:val="none"/>
                      <w:lang w:val="en-US" w:eastAsia="zh-CN"/>
                    </w:rPr>
                    <w:t>、颗粒物、臭气浓度</w:t>
                  </w:r>
                  <w:r>
                    <w:rPr>
                      <w:rFonts w:hint="default" w:ascii="Times New Roman" w:hAnsi="Times New Roman" w:eastAsia="宋体" w:cs="Times New Roman"/>
                      <w:color w:val="auto"/>
                      <w:sz w:val="21"/>
                      <w:szCs w:val="21"/>
                      <w:highlight w:val="none"/>
                      <w:lang w:val="en-US" w:eastAsia="zh-CN"/>
                    </w:rPr>
                    <w:t>开展监测；本项目不属于重点排污单位，无需安装大气自动监测设备，按规范落实手动监测即可。</w:t>
                  </w:r>
                </w:p>
                <w:p w14:paraId="1D4346E0">
                  <w:pPr>
                    <w:pStyle w:val="4"/>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⑥项目</w:t>
                  </w:r>
                  <w:r>
                    <w:rPr>
                      <w:rFonts w:hint="eastAsia" w:ascii="Times New Roman" w:hAnsi="Times New Roman" w:eastAsia="宋体" w:cs="Times New Roman"/>
                      <w:color w:val="auto"/>
                      <w:sz w:val="21"/>
                      <w:szCs w:val="21"/>
                      <w:highlight w:val="none"/>
                      <w:lang w:val="en-US" w:eastAsia="zh-CN"/>
                    </w:rPr>
                    <w:t>租用</w:t>
                  </w:r>
                  <w:r>
                    <w:rPr>
                      <w:rFonts w:hint="default" w:ascii="Times New Roman" w:hAnsi="Times New Roman" w:eastAsia="宋体" w:cs="Times New Roman"/>
                      <w:color w:val="auto"/>
                      <w:sz w:val="21"/>
                      <w:szCs w:val="21"/>
                      <w:lang w:eastAsia="zh-CN"/>
                    </w:rPr>
                    <w:t>云南鹏达冠得有限公司</w:t>
                  </w:r>
                  <w:r>
                    <w:rPr>
                      <w:rFonts w:hint="eastAsia" w:ascii="Times New Roman" w:hAnsi="Times New Roman" w:eastAsia="宋体" w:cs="Times New Roman"/>
                      <w:color w:val="auto"/>
                      <w:sz w:val="21"/>
                      <w:szCs w:val="21"/>
                      <w:lang w:val="en-US" w:eastAsia="zh-CN"/>
                    </w:rPr>
                    <w:t>闲置厂房进行建设，</w:t>
                  </w:r>
                  <w:r>
                    <w:rPr>
                      <w:rFonts w:hint="eastAsia" w:ascii="Times New Roman" w:hAnsi="Times New Roman" w:eastAsia="宋体" w:cs="Times New Roman"/>
                      <w:color w:val="auto"/>
                      <w:sz w:val="21"/>
                      <w:szCs w:val="21"/>
                      <w:highlight w:val="none"/>
                      <w:lang w:val="en-US" w:eastAsia="zh-CN"/>
                    </w:rPr>
                    <w:t>项目区已</w:t>
                  </w:r>
                  <w:r>
                    <w:rPr>
                      <w:rFonts w:hint="default" w:ascii="Times New Roman" w:hAnsi="Times New Roman" w:eastAsia="宋体" w:cs="Times New Roman"/>
                      <w:color w:val="auto"/>
                      <w:sz w:val="21"/>
                      <w:szCs w:val="21"/>
                      <w:highlight w:val="none"/>
                      <w:lang w:val="en-US" w:eastAsia="zh-CN"/>
                    </w:rPr>
                    <w:t>按照园区规划要求配套</w:t>
                  </w:r>
                  <w:r>
                    <w:rPr>
                      <w:rFonts w:hint="eastAsia" w:ascii="Times New Roman" w:hAnsi="Times New Roman" w:eastAsia="宋体" w:cs="Times New Roman"/>
                      <w:color w:val="auto"/>
                      <w:sz w:val="21"/>
                      <w:szCs w:val="21"/>
                      <w:highlight w:val="none"/>
                      <w:lang w:val="en-US" w:eastAsia="zh-CN"/>
                    </w:rPr>
                    <w:t>建设有</w:t>
                  </w:r>
                  <w:r>
                    <w:rPr>
                      <w:rFonts w:hint="default" w:ascii="Times New Roman" w:hAnsi="Times New Roman" w:eastAsia="宋体" w:cs="Times New Roman"/>
                      <w:color w:val="auto"/>
                      <w:sz w:val="21"/>
                      <w:szCs w:val="21"/>
                      <w:highlight w:val="none"/>
                      <w:lang w:val="en-US" w:eastAsia="zh-CN"/>
                    </w:rPr>
                    <w:t>厂区绿化，对无组织废气进行稀释、吸附，改善片区环境。</w:t>
                  </w:r>
                </w:p>
              </w:tc>
              <w:tc>
                <w:tcPr>
                  <w:tcW w:w="664" w:type="dxa"/>
                  <w:noWrap w:val="0"/>
                  <w:vAlign w:val="center"/>
                </w:tcPr>
                <w:p w14:paraId="253888E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95A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70" w:type="dxa"/>
                  <w:noWrap w:val="0"/>
                  <w:vAlign w:val="center"/>
                </w:tcPr>
                <w:p w14:paraId="695535D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地下水环境影响</w:t>
                  </w:r>
                  <w:r>
                    <w:rPr>
                      <w:rFonts w:hint="default" w:ascii="Times New Roman" w:hAnsi="Times New Roman" w:eastAsia="宋体" w:cs="Times New Roman"/>
                      <w:color w:val="auto"/>
                      <w:sz w:val="21"/>
                      <w:szCs w:val="21"/>
                      <w:highlight w:val="none"/>
                      <w:lang w:val="zh-CN"/>
                    </w:rPr>
                    <w:t>减缓措施</w:t>
                  </w:r>
                </w:p>
              </w:tc>
              <w:tc>
                <w:tcPr>
                  <w:tcW w:w="3563" w:type="dxa"/>
                  <w:noWrap w:val="0"/>
                  <w:vAlign w:val="center"/>
                </w:tcPr>
                <w:p w14:paraId="6CABE116">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eastAsia="zh-CN"/>
                    </w:rPr>
                    <w:t>园区重点危险废水暂存区参照执行《危险废物贮存污染控制标准》</w:t>
                  </w:r>
                  <w:r>
                    <w:rPr>
                      <w:rFonts w:hint="eastAsia" w:cs="Times New Roman"/>
                      <w:b w:val="0"/>
                      <w:bCs w:val="0"/>
                      <w:i w:val="0"/>
                      <w:iCs w:val="0"/>
                      <w:color w:val="auto"/>
                      <w:kern w:val="0"/>
                      <w:sz w:val="21"/>
                      <w:szCs w:val="21"/>
                      <w:lang w:eastAsia="zh-CN"/>
                    </w:rPr>
                    <w:t>（</w:t>
                  </w:r>
                  <w:r>
                    <w:rPr>
                      <w:rFonts w:hint="default" w:ascii="Times New Roman" w:hAnsi="Times New Roman" w:eastAsia="宋体" w:cs="Times New Roman"/>
                      <w:b w:val="0"/>
                      <w:bCs w:val="0"/>
                      <w:i w:val="0"/>
                      <w:iCs w:val="0"/>
                      <w:color w:val="auto"/>
                      <w:kern w:val="0"/>
                      <w:sz w:val="21"/>
                      <w:szCs w:val="21"/>
                      <w:lang w:eastAsia="zh-CN"/>
                    </w:rPr>
                    <w:t>GB18597-2023</w:t>
                  </w:r>
                  <w:r>
                    <w:rPr>
                      <w:rFonts w:hint="eastAsia" w:cs="Times New Roman"/>
                      <w:b w:val="0"/>
                      <w:bCs w:val="0"/>
                      <w:i w:val="0"/>
                      <w:iCs w:val="0"/>
                      <w:color w:val="auto"/>
                      <w:kern w:val="0"/>
                      <w:sz w:val="21"/>
                      <w:szCs w:val="21"/>
                      <w:lang w:eastAsia="zh-CN"/>
                    </w:rPr>
                    <w:t>）</w:t>
                  </w:r>
                  <w:r>
                    <w:rPr>
                      <w:rFonts w:hint="default" w:ascii="Times New Roman" w:hAnsi="Times New Roman" w:eastAsia="宋体" w:cs="Times New Roman"/>
                      <w:b w:val="0"/>
                      <w:bCs w:val="0"/>
                      <w:i w:val="0"/>
                      <w:iCs w:val="0"/>
                      <w:color w:val="auto"/>
                      <w:kern w:val="0"/>
                      <w:sz w:val="21"/>
                      <w:szCs w:val="21"/>
                      <w:lang w:eastAsia="zh-CN"/>
                    </w:rPr>
                    <w:t>、危险化学品、油库等储罐区域参照执行《石油化工企业防渗技术规范》(GB/T50934-2013)等相关要求进行分析。没有国家标准或行业防渗技术规范的企业，参照执行《环境影响评价技术导则 地下水》 (HJ6102016) 中各防渗区要求。工业固废堆存按照《一般工业固体废物贮存和填埋污染控制标准》（GB18599-2020）要求选址及防渗设计。</w:t>
                  </w:r>
                </w:p>
                <w:p w14:paraId="2D1EAD2F">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①</w:t>
                  </w:r>
                  <w:r>
                    <w:rPr>
                      <w:rFonts w:hint="default" w:ascii="Times New Roman" w:hAnsi="Times New Roman" w:eastAsia="宋体" w:cs="Times New Roman"/>
                      <w:b w:val="0"/>
                      <w:bCs w:val="0"/>
                      <w:i w:val="0"/>
                      <w:iCs w:val="0"/>
                      <w:color w:val="auto"/>
                      <w:kern w:val="0"/>
                      <w:sz w:val="21"/>
                      <w:szCs w:val="21"/>
                      <w:lang w:eastAsia="zh-CN"/>
                    </w:rPr>
                    <w:t>杜绝高污染，高排水和淘汰落后工艺性质企业入园</w:t>
                  </w:r>
                  <w:r>
                    <w:rPr>
                      <w:rFonts w:hint="eastAsia" w:cs="Times New Roman"/>
                      <w:b w:val="0"/>
                      <w:bCs w:val="0"/>
                      <w:i w:val="0"/>
                      <w:iCs w:val="0"/>
                      <w:color w:val="auto"/>
                      <w:kern w:val="0"/>
                      <w:sz w:val="21"/>
                      <w:szCs w:val="21"/>
                      <w:lang w:eastAsia="zh-CN"/>
                    </w:rPr>
                    <w:t>。</w:t>
                  </w:r>
                </w:p>
                <w:p w14:paraId="52A74149">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②</w:t>
                  </w:r>
                  <w:r>
                    <w:rPr>
                      <w:rFonts w:hint="default" w:ascii="Times New Roman" w:hAnsi="Times New Roman" w:eastAsia="宋体" w:cs="Times New Roman"/>
                      <w:b w:val="0"/>
                      <w:bCs w:val="0"/>
                      <w:i w:val="0"/>
                      <w:iCs w:val="0"/>
                      <w:color w:val="auto"/>
                      <w:kern w:val="0"/>
                      <w:sz w:val="21"/>
                      <w:szCs w:val="21"/>
                      <w:lang w:eastAsia="zh-CN"/>
                    </w:rPr>
                    <w:t>严禁入驻企业抽取地下水作为生产、生活用水。</w:t>
                  </w:r>
                </w:p>
                <w:p w14:paraId="3EF7A8E0">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③</w:t>
                  </w:r>
                  <w:r>
                    <w:rPr>
                      <w:rFonts w:hint="default" w:ascii="Times New Roman" w:hAnsi="Times New Roman" w:eastAsia="宋体" w:cs="Times New Roman"/>
                      <w:b w:val="0"/>
                      <w:bCs w:val="0"/>
                      <w:i w:val="0"/>
                      <w:iCs w:val="0"/>
                      <w:color w:val="auto"/>
                      <w:kern w:val="0"/>
                      <w:sz w:val="21"/>
                      <w:szCs w:val="21"/>
                      <w:lang w:eastAsia="zh-CN"/>
                    </w:rPr>
                    <w:t>规范各入驻企业废水处理设施、生产车间产污工段的地面应为硬化防渗地面，厂内污水沟应有相应防渗措施。</w:t>
                  </w:r>
                </w:p>
                <w:p w14:paraId="6F80CDC8">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④</w:t>
                  </w:r>
                  <w:r>
                    <w:rPr>
                      <w:rFonts w:hint="default" w:ascii="Times New Roman" w:hAnsi="Times New Roman" w:eastAsia="宋体" w:cs="Times New Roman"/>
                      <w:b w:val="0"/>
                      <w:bCs w:val="0"/>
                      <w:i w:val="0"/>
                      <w:iCs w:val="0"/>
                      <w:color w:val="auto"/>
                      <w:kern w:val="0"/>
                      <w:sz w:val="21"/>
                      <w:szCs w:val="21"/>
                      <w:lang w:eastAsia="zh-CN"/>
                    </w:rPr>
                    <w:t>生活垃圾临时堆存点和厂内固废临时堆存点，必须具有防风、防雨、防渗措施，严禁露天乱堆放。堆存点应做到上有雨棚、底有混凝土层防渗，周边至少有1.5~2m高的挡墙和环形截雨沟。</w:t>
                  </w:r>
                </w:p>
                <w:p w14:paraId="568AF165">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⑤</w:t>
                  </w:r>
                  <w:r>
                    <w:rPr>
                      <w:rFonts w:hint="default" w:ascii="Times New Roman" w:hAnsi="Times New Roman" w:eastAsia="宋体" w:cs="Times New Roman"/>
                      <w:b w:val="0"/>
                      <w:bCs w:val="0"/>
                      <w:i w:val="0"/>
                      <w:iCs w:val="0"/>
                      <w:color w:val="auto"/>
                      <w:kern w:val="0"/>
                      <w:sz w:val="21"/>
                      <w:szCs w:val="21"/>
                      <w:lang w:eastAsia="zh-CN"/>
                    </w:rPr>
                    <w:t>浸出毒性是I类一般工业固废和危险固废则需严格按国家有关规定、规范处理处置，杜绝乱堆放或混堆现象。</w:t>
                  </w:r>
                </w:p>
                <w:p w14:paraId="1BAA7E57">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⑥</w:t>
                  </w:r>
                  <w:r>
                    <w:rPr>
                      <w:rFonts w:hint="default" w:ascii="Times New Roman" w:hAnsi="Times New Roman" w:eastAsia="宋体" w:cs="Times New Roman"/>
                      <w:b w:val="0"/>
                      <w:bCs w:val="0"/>
                      <w:i w:val="0"/>
                      <w:iCs w:val="0"/>
                      <w:color w:val="auto"/>
                      <w:kern w:val="0"/>
                      <w:sz w:val="21"/>
                      <w:szCs w:val="21"/>
                      <w:lang w:eastAsia="zh-CN"/>
                    </w:rPr>
                    <w:t>严禁入园企业向地下渗坑、岩溶洼地排水、落水洞排污。严禁入驻企业在园区内新建永久性固废处置场，危险废物委托有资质单位进行清运处置。</w:t>
                  </w:r>
                </w:p>
                <w:p w14:paraId="08EF56E7">
                  <w:pPr>
                    <w:pStyle w:val="19"/>
                    <w:keepNext w:val="0"/>
                    <w:keepLines w:val="0"/>
                    <w:pageBreakBefore w:val="0"/>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⑦</w:t>
                  </w:r>
                  <w:r>
                    <w:rPr>
                      <w:rFonts w:hint="default" w:ascii="Times New Roman" w:hAnsi="Times New Roman" w:eastAsia="宋体" w:cs="Times New Roman"/>
                      <w:b w:val="0"/>
                      <w:bCs w:val="0"/>
                      <w:i w:val="0"/>
                      <w:iCs w:val="0"/>
                      <w:color w:val="auto"/>
                      <w:kern w:val="0"/>
                      <w:sz w:val="21"/>
                      <w:szCs w:val="21"/>
                      <w:lang w:eastAsia="zh-CN"/>
                    </w:rPr>
                    <w:t>杜绝各企业生产废水、生活污水及废油、废酸、固体废弃物任意乱排放进入岩溶</w:t>
                  </w:r>
                  <w:r>
                    <w:rPr>
                      <w:rFonts w:hint="eastAsia" w:cs="Times New Roman"/>
                      <w:b w:val="0"/>
                      <w:bCs w:val="0"/>
                      <w:i w:val="0"/>
                      <w:iCs w:val="0"/>
                      <w:color w:val="auto"/>
                      <w:kern w:val="0"/>
                      <w:sz w:val="21"/>
                      <w:szCs w:val="21"/>
                      <w:lang w:eastAsia="zh-CN"/>
                    </w:rPr>
                    <w:t>（</w:t>
                  </w:r>
                  <w:r>
                    <w:rPr>
                      <w:rFonts w:hint="default" w:ascii="Times New Roman" w:hAnsi="Times New Roman" w:eastAsia="宋体" w:cs="Times New Roman"/>
                      <w:b w:val="0"/>
                      <w:bCs w:val="0"/>
                      <w:i w:val="0"/>
                      <w:iCs w:val="0"/>
                      <w:color w:val="auto"/>
                      <w:kern w:val="0"/>
                      <w:sz w:val="21"/>
                      <w:szCs w:val="21"/>
                      <w:lang w:eastAsia="zh-CN"/>
                    </w:rPr>
                    <w:t>洼地、落水洞</w:t>
                  </w:r>
                  <w:r>
                    <w:rPr>
                      <w:rFonts w:hint="eastAsia" w:cs="Times New Roman"/>
                      <w:b w:val="0"/>
                      <w:bCs w:val="0"/>
                      <w:i w:val="0"/>
                      <w:iCs w:val="0"/>
                      <w:color w:val="auto"/>
                      <w:kern w:val="0"/>
                      <w:sz w:val="21"/>
                      <w:szCs w:val="21"/>
                      <w:lang w:eastAsia="zh-CN"/>
                    </w:rPr>
                    <w:t>）</w:t>
                  </w:r>
                  <w:r>
                    <w:rPr>
                      <w:rFonts w:hint="default" w:ascii="Times New Roman" w:hAnsi="Times New Roman" w:eastAsia="宋体" w:cs="Times New Roman"/>
                      <w:b w:val="0"/>
                      <w:bCs w:val="0"/>
                      <w:i w:val="0"/>
                      <w:iCs w:val="0"/>
                      <w:color w:val="auto"/>
                      <w:kern w:val="0"/>
                      <w:sz w:val="21"/>
                      <w:szCs w:val="21"/>
                      <w:lang w:eastAsia="zh-CN"/>
                    </w:rPr>
                    <w:t>环境或农田、水体中，保护地下水环境免受污染。</w:t>
                  </w:r>
                </w:p>
                <w:p w14:paraId="768CFC3E">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val="en-US" w:eastAsia="zh-CN"/>
                    </w:rPr>
                    <w:t>⑧</w:t>
                  </w:r>
                  <w:r>
                    <w:rPr>
                      <w:rFonts w:hint="default" w:ascii="Times New Roman" w:hAnsi="Times New Roman" w:eastAsia="宋体" w:cs="Times New Roman"/>
                      <w:b w:val="0"/>
                      <w:bCs w:val="0"/>
                      <w:i w:val="0"/>
                      <w:iCs w:val="0"/>
                      <w:color w:val="auto"/>
                      <w:kern w:val="0"/>
                      <w:sz w:val="21"/>
                      <w:szCs w:val="21"/>
                      <w:lang w:eastAsia="zh-CN"/>
                    </w:rPr>
                    <w:t>工程建设前应进行厂区岩土工程地质详细勘察和进一步的详细水文地质勘察，查明厂区所在处及其附近的断裂构造详情、地下水位埋深及水位动态变化等情况，取得更加详细的工程地质及水文地质资料，为工程设计提供资料。</w:t>
                  </w:r>
                </w:p>
                <w:p w14:paraId="20E9CD69">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val="0"/>
                      <w:bCs w:val="0"/>
                      <w:i w:val="0"/>
                      <w:iCs w:val="0"/>
                      <w:color w:val="auto"/>
                      <w:kern w:val="0"/>
                      <w:sz w:val="21"/>
                      <w:szCs w:val="21"/>
                      <w:lang w:eastAsia="zh-CN"/>
                    </w:rPr>
                    <w:t>涉及重金属及危险化学品的企业在平面布局时需考虑场地地下水含水层分布情况，尽量使重大风险源、废水收集治理等可能出现渗漏风险的设施设置于泥岩隔水层之上。</w:t>
                  </w:r>
                </w:p>
                <w:p w14:paraId="50CD63C1">
                  <w:pPr>
                    <w:keepNext w:val="0"/>
                    <w:keepLines w:val="0"/>
                    <w:pageBreakBefore w:val="0"/>
                    <w:suppressLineNumbers w:val="0"/>
                    <w:kinsoku/>
                    <w:overflowPunct/>
                    <w:topLinePunct w:val="0"/>
                    <w:bidi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b w:val="0"/>
                      <w:bCs w:val="0"/>
                      <w:i w:val="0"/>
                      <w:iCs w:val="0"/>
                      <w:color w:val="auto"/>
                      <w:kern w:val="0"/>
                      <w:sz w:val="21"/>
                      <w:szCs w:val="21"/>
                      <w:lang w:val="en-US" w:eastAsia="zh-CN"/>
                    </w:rPr>
                    <w:t>⑨</w:t>
                  </w:r>
                  <w:r>
                    <w:rPr>
                      <w:rFonts w:hint="default" w:ascii="Times New Roman" w:hAnsi="Times New Roman" w:eastAsia="宋体" w:cs="Times New Roman"/>
                      <w:b w:val="0"/>
                      <w:bCs w:val="0"/>
                      <w:i w:val="0"/>
                      <w:iCs w:val="0"/>
                      <w:color w:val="auto"/>
                      <w:kern w:val="0"/>
                      <w:sz w:val="21"/>
                      <w:szCs w:val="21"/>
                      <w:lang w:eastAsia="zh-CN"/>
                    </w:rPr>
                    <w:t>企业场地、各生产车间及原料、废渣临时堆放场地、污水处理设施等区域按照国家标准或行业防渗技术规范、《环境影响评价技术导则 地下水环境》</w:t>
                  </w:r>
                  <w:r>
                    <w:rPr>
                      <w:rFonts w:hint="eastAsia" w:cs="Times New Roman"/>
                      <w:b w:val="0"/>
                      <w:bCs w:val="0"/>
                      <w:i w:val="0"/>
                      <w:iCs w:val="0"/>
                      <w:color w:val="auto"/>
                      <w:kern w:val="0"/>
                      <w:sz w:val="21"/>
                      <w:szCs w:val="21"/>
                      <w:lang w:eastAsia="zh-CN"/>
                    </w:rPr>
                    <w:t>（</w:t>
                  </w:r>
                  <w:r>
                    <w:rPr>
                      <w:rFonts w:hint="default" w:ascii="Times New Roman" w:hAnsi="Times New Roman" w:eastAsia="宋体" w:cs="Times New Roman"/>
                      <w:b w:val="0"/>
                      <w:bCs w:val="0"/>
                      <w:i w:val="0"/>
                      <w:iCs w:val="0"/>
                      <w:color w:val="auto"/>
                      <w:kern w:val="0"/>
                      <w:sz w:val="21"/>
                      <w:szCs w:val="21"/>
                      <w:lang w:eastAsia="zh-CN"/>
                    </w:rPr>
                    <w:t>HJ610-2016</w:t>
                  </w:r>
                  <w:r>
                    <w:rPr>
                      <w:rFonts w:hint="eastAsia" w:cs="Times New Roman"/>
                      <w:b w:val="0"/>
                      <w:bCs w:val="0"/>
                      <w:i w:val="0"/>
                      <w:iCs w:val="0"/>
                      <w:color w:val="auto"/>
                      <w:kern w:val="0"/>
                      <w:sz w:val="21"/>
                      <w:szCs w:val="21"/>
                      <w:lang w:eastAsia="zh-CN"/>
                    </w:rPr>
                    <w:t>）</w:t>
                  </w:r>
                  <w:r>
                    <w:rPr>
                      <w:rFonts w:hint="default" w:ascii="Times New Roman" w:hAnsi="Times New Roman" w:eastAsia="宋体" w:cs="Times New Roman"/>
                      <w:b w:val="0"/>
                      <w:bCs w:val="0"/>
                      <w:i w:val="0"/>
                      <w:iCs w:val="0"/>
                      <w:color w:val="auto"/>
                      <w:kern w:val="0"/>
                      <w:sz w:val="21"/>
                      <w:szCs w:val="21"/>
                      <w:lang w:eastAsia="zh-CN"/>
                    </w:rPr>
                    <w:t>中的防渗要求进行防渗设计，固废处置应符合相关法规和技术规范要求，渗滤液不得任意外排，避免渗滤液下渗污染地下水环境。</w:t>
                  </w:r>
                </w:p>
              </w:tc>
              <w:tc>
                <w:tcPr>
                  <w:tcW w:w="3001" w:type="dxa"/>
                  <w:noWrap w:val="0"/>
                  <w:vAlign w:val="center"/>
                </w:tcPr>
                <w:p w14:paraId="46A2ADE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本项目按照HJ610-2016开展分区防渗设计：危废间划分为重点防渗区</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lang w:val="en-US" w:eastAsia="zh-CN" w:bidi="ar"/>
                    </w:rPr>
                    <w:t>在现有</w:t>
                  </w:r>
                  <w:r>
                    <w:rPr>
                      <w:rFonts w:hint="eastAsia" w:ascii="Times New Roman" w:hAnsi="Times New Roman" w:eastAsia="宋体" w:cs="Times New Roman"/>
                      <w:color w:val="auto"/>
                      <w:kern w:val="0"/>
                      <w:sz w:val="21"/>
                      <w:szCs w:val="21"/>
                      <w:lang w:val="en-US" w:eastAsia="zh-CN" w:bidi="ar"/>
                    </w:rPr>
                    <w:t>混凝土浇筑</w:t>
                  </w:r>
                  <w:r>
                    <w:rPr>
                      <w:rFonts w:hint="default" w:ascii="Times New Roman" w:hAnsi="Times New Roman" w:eastAsia="宋体" w:cs="Times New Roman"/>
                      <w:color w:val="auto"/>
                      <w:kern w:val="0"/>
                      <w:sz w:val="21"/>
                      <w:szCs w:val="21"/>
                      <w:lang w:val="en-US" w:eastAsia="zh-CN" w:bidi="ar"/>
                    </w:rPr>
                    <w:t>、水泥硬化的基础上增加</w:t>
                  </w:r>
                  <w:r>
                    <w:rPr>
                      <w:rFonts w:hint="default" w:ascii="Times New Roman" w:hAnsi="Times New Roman" w:eastAsia="宋体" w:cs="Times New Roman"/>
                      <w:b w:val="0"/>
                      <w:bCs w:val="0"/>
                      <w:color w:val="auto"/>
                      <w:sz w:val="21"/>
                      <w:szCs w:val="21"/>
                      <w:lang w:val="en-US" w:eastAsia="zh-CN"/>
                    </w:rPr>
                    <w:t>2.0mmHDPE</w:t>
                  </w:r>
                  <w:r>
                    <w:rPr>
                      <w:rFonts w:hint="eastAsia" w:ascii="Times New Roman" w:hAnsi="Times New Roman" w:eastAsia="宋体" w:cs="Times New Roman"/>
                      <w:b w:val="0"/>
                      <w:bCs w:val="0"/>
                      <w:color w:val="auto"/>
                      <w:sz w:val="21"/>
                      <w:szCs w:val="21"/>
                      <w:lang w:val="en-US" w:eastAsia="zh-CN"/>
                    </w:rPr>
                    <w:t>防渗</w:t>
                  </w:r>
                  <w:r>
                    <w:rPr>
                      <w:rFonts w:hint="default" w:ascii="Times New Roman" w:hAnsi="Times New Roman" w:eastAsia="宋体" w:cs="Times New Roman"/>
                      <w:b w:val="0"/>
                      <w:bCs w:val="0"/>
                      <w:color w:val="auto"/>
                      <w:sz w:val="21"/>
                      <w:szCs w:val="21"/>
                      <w:lang w:val="en-US" w:eastAsia="zh-CN"/>
                    </w:rPr>
                    <w:t>膜+环氧树脂</w:t>
                  </w:r>
                  <w:r>
                    <w:rPr>
                      <w:rFonts w:hint="eastAsia" w:ascii="Times New Roman" w:hAnsi="Times New Roman" w:eastAsia="宋体" w:cs="Times New Roman"/>
                      <w:b w:val="0"/>
                      <w:bCs w:val="0"/>
                      <w:color w:val="auto"/>
                      <w:sz w:val="21"/>
                      <w:szCs w:val="21"/>
                      <w:lang w:val="en-US" w:eastAsia="zh-CN"/>
                    </w:rPr>
                    <w:t>防渗面层</w:t>
                  </w:r>
                  <w:r>
                    <w:rPr>
                      <w:rFonts w:hint="default" w:ascii="Times New Roman" w:hAnsi="Times New Roman" w:eastAsia="宋体" w:cs="Times New Roman"/>
                      <w:color w:val="auto"/>
                      <w:kern w:val="0"/>
                      <w:sz w:val="21"/>
                      <w:szCs w:val="21"/>
                      <w:lang w:val="en-US" w:eastAsia="zh-CN" w:bidi="ar"/>
                    </w:rPr>
                    <w:t>，使其达到渗透系数≤1×10</w:t>
                  </w:r>
                  <w:r>
                    <w:rPr>
                      <w:rFonts w:hint="default" w:ascii="Times New Roman" w:hAnsi="Times New Roman" w:eastAsia="宋体" w:cs="Times New Roman"/>
                      <w:color w:val="auto"/>
                      <w:kern w:val="0"/>
                      <w:sz w:val="21"/>
                      <w:szCs w:val="21"/>
                      <w:vertAlign w:val="superscript"/>
                      <w:lang w:val="en-US" w:eastAsia="zh-CN" w:bidi="ar"/>
                    </w:rPr>
                    <w:t>-10</w:t>
                  </w:r>
                  <w:r>
                    <w:rPr>
                      <w:rFonts w:hint="default" w:ascii="Times New Roman" w:hAnsi="Times New Roman" w:eastAsia="宋体" w:cs="Times New Roman"/>
                      <w:color w:val="auto"/>
                      <w:kern w:val="0"/>
                      <w:sz w:val="21"/>
                      <w:szCs w:val="21"/>
                      <w:lang w:val="en-US" w:eastAsia="zh-CN" w:bidi="ar"/>
                    </w:rPr>
                    <w:t>cm/s的防渗</w:t>
                  </w:r>
                  <w:r>
                    <w:rPr>
                      <w:rFonts w:hint="eastAsia" w:ascii="Times New Roman" w:cs="Times New Roman"/>
                      <w:color w:val="auto"/>
                      <w:kern w:val="0"/>
                      <w:sz w:val="21"/>
                      <w:szCs w:val="21"/>
                      <w:lang w:val="en-US" w:eastAsia="zh-CN" w:bidi="ar"/>
                    </w:rPr>
                    <w:t>要求</w:t>
                  </w:r>
                  <w:r>
                    <w:rPr>
                      <w:rFonts w:hint="default" w:ascii="Times New Roman" w:hAnsi="Times New Roman" w:eastAsia="宋体" w:cs="Times New Roman"/>
                      <w:color w:val="auto"/>
                      <w:sz w:val="21"/>
                      <w:szCs w:val="21"/>
                      <w:highlight w:val="none"/>
                      <w:lang w:val="en-US" w:eastAsia="zh-CN"/>
                    </w:rPr>
                    <w:t>；循环水池为一般防渗区</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lang w:val="en-US" w:eastAsia="zh-CN" w:bidi="ar"/>
                    </w:rPr>
                    <w:t>在现有</w:t>
                  </w:r>
                  <w:r>
                    <w:rPr>
                      <w:rFonts w:hint="eastAsia" w:ascii="Times New Roman" w:hAnsi="Times New Roman" w:eastAsia="宋体" w:cs="Times New Roman"/>
                      <w:color w:val="auto"/>
                      <w:kern w:val="0"/>
                      <w:sz w:val="21"/>
                      <w:szCs w:val="21"/>
                      <w:lang w:val="en-US" w:eastAsia="zh-CN" w:bidi="ar"/>
                    </w:rPr>
                    <w:t>混凝土浇筑</w:t>
                  </w:r>
                  <w:r>
                    <w:rPr>
                      <w:rFonts w:hint="default" w:ascii="Times New Roman" w:hAnsi="Times New Roman" w:eastAsia="宋体" w:cs="Times New Roman"/>
                      <w:color w:val="auto"/>
                      <w:kern w:val="0"/>
                      <w:sz w:val="21"/>
                      <w:szCs w:val="21"/>
                      <w:lang w:val="en-US" w:eastAsia="zh-CN" w:bidi="ar"/>
                    </w:rPr>
                    <w:t>、水泥硬化的基础上增加</w:t>
                  </w:r>
                  <w:r>
                    <w:rPr>
                      <w:rFonts w:hint="default" w:ascii="Times New Roman" w:hAnsi="Times New Roman" w:eastAsia="宋体" w:cs="Times New Roman"/>
                      <w:b w:val="0"/>
                      <w:bCs w:val="0"/>
                      <w:color w:val="auto"/>
                      <w:sz w:val="21"/>
                      <w:szCs w:val="21"/>
                      <w:lang w:val="en-US" w:eastAsia="zh-CN"/>
                    </w:rPr>
                    <w:t>2.0mmHDPE</w:t>
                  </w:r>
                  <w:r>
                    <w:rPr>
                      <w:rFonts w:hint="eastAsia" w:ascii="Times New Roman" w:hAnsi="Times New Roman" w:eastAsia="宋体" w:cs="Times New Roman"/>
                      <w:b w:val="0"/>
                      <w:bCs w:val="0"/>
                      <w:color w:val="auto"/>
                      <w:sz w:val="21"/>
                      <w:szCs w:val="21"/>
                      <w:lang w:val="en-US" w:eastAsia="zh-CN"/>
                    </w:rPr>
                    <w:t>防渗</w:t>
                  </w:r>
                  <w:r>
                    <w:rPr>
                      <w:rFonts w:hint="default" w:ascii="Times New Roman" w:hAnsi="Times New Roman" w:eastAsia="宋体" w:cs="Times New Roman"/>
                      <w:b w:val="0"/>
                      <w:bCs w:val="0"/>
                      <w:color w:val="auto"/>
                      <w:sz w:val="21"/>
                      <w:szCs w:val="21"/>
                      <w:lang w:val="en-US" w:eastAsia="zh-CN"/>
                    </w:rPr>
                    <w:t>膜</w:t>
                  </w:r>
                  <w:r>
                    <w:rPr>
                      <w:rFonts w:hint="eastAsia" w:ascii="Times New Roman" w:hAnsi="Times New Roman" w:eastAsia="宋体" w:cs="Times New Roman"/>
                      <w:b w:val="0"/>
                      <w:bCs w:val="0"/>
                      <w:color w:val="auto"/>
                      <w:sz w:val="21"/>
                      <w:szCs w:val="21"/>
                      <w:lang w:val="en-US" w:eastAsia="zh-CN"/>
                    </w:rPr>
                    <w:t>，使其达到渗透系数</w:t>
                  </w:r>
                  <w:r>
                    <w:rPr>
                      <w:rFonts w:hint="default" w:ascii="Times New Roman" w:hAnsi="Times New Roman" w:eastAsia="宋体" w:cs="Times New Roman"/>
                      <w:b w:val="0"/>
                      <w:bCs w:val="0"/>
                      <w:color w:val="auto"/>
                      <w:sz w:val="21"/>
                      <w:szCs w:val="21"/>
                      <w:lang w:val="en-US" w:eastAsia="zh-CN"/>
                    </w:rPr>
                    <w:t>≤1.0×10</w:t>
                  </w:r>
                  <w:r>
                    <w:rPr>
                      <w:rFonts w:hint="default" w:ascii="Times New Roman" w:hAnsi="Times New Roman" w:eastAsia="宋体" w:cs="Times New Roman"/>
                      <w:b w:val="0"/>
                      <w:bCs w:val="0"/>
                      <w:color w:val="auto"/>
                      <w:sz w:val="21"/>
                      <w:szCs w:val="21"/>
                      <w:vertAlign w:val="superscript"/>
                      <w:lang w:val="en-US" w:eastAsia="zh-CN"/>
                    </w:rPr>
                    <w:t>-7</w:t>
                  </w:r>
                  <w:r>
                    <w:rPr>
                      <w:rFonts w:hint="default" w:ascii="Times New Roman" w:hAnsi="Times New Roman" w:eastAsia="宋体" w:cs="Times New Roman"/>
                      <w:b w:val="0"/>
                      <w:bCs w:val="0"/>
                      <w:color w:val="auto"/>
                      <w:sz w:val="21"/>
                      <w:szCs w:val="21"/>
                      <w:lang w:val="en-US" w:eastAsia="zh-CN"/>
                    </w:rPr>
                    <w:t>cm/s</w:t>
                  </w:r>
                  <w:r>
                    <w:rPr>
                      <w:rFonts w:hint="default" w:ascii="Times New Roman" w:hAnsi="Times New Roman" w:eastAsia="宋体" w:cs="Times New Roman"/>
                      <w:color w:val="auto"/>
                      <w:kern w:val="0"/>
                      <w:sz w:val="21"/>
                      <w:szCs w:val="21"/>
                      <w:lang w:val="en-US" w:eastAsia="zh-CN" w:bidi="ar"/>
                    </w:rPr>
                    <w:t>的防渗</w:t>
                  </w:r>
                  <w:r>
                    <w:rPr>
                      <w:rFonts w:hint="eastAsia" w:ascii="Times New Roman" w:cs="Times New Roman"/>
                      <w:color w:val="auto"/>
                      <w:kern w:val="0"/>
                      <w:sz w:val="21"/>
                      <w:szCs w:val="21"/>
                      <w:lang w:val="en-US" w:eastAsia="zh-CN" w:bidi="ar"/>
                    </w:rPr>
                    <w:t>要求</w:t>
                  </w:r>
                  <w:r>
                    <w:rPr>
                      <w:rFonts w:hint="default" w:ascii="Times New Roman" w:hAnsi="Times New Roman" w:eastAsia="宋体" w:cs="Times New Roman"/>
                      <w:color w:val="auto"/>
                      <w:sz w:val="21"/>
                      <w:szCs w:val="21"/>
                      <w:highlight w:val="none"/>
                      <w:lang w:val="en-US" w:eastAsia="zh-CN"/>
                    </w:rPr>
                    <w:t>；生产厂房划分为简单防渗区</w:t>
                  </w:r>
                  <w:r>
                    <w:rPr>
                      <w:rFonts w:hint="eastAsia" w:ascii="Times New Roman" w:cs="Times New Roman"/>
                      <w:color w:val="auto"/>
                      <w:sz w:val="21"/>
                      <w:szCs w:val="21"/>
                      <w:highlight w:val="none"/>
                      <w:lang w:val="en-US" w:eastAsia="zh-CN"/>
                    </w:rPr>
                    <w:t>，根据现场踏勘结果，厂区现状已进行混</w:t>
                  </w:r>
                  <w:r>
                    <w:rPr>
                      <w:rFonts w:hint="default" w:ascii="Times New Roman" w:hAnsi="Times New Roman" w:eastAsia="宋体" w:cs="Times New Roman"/>
                      <w:color w:val="auto"/>
                      <w:sz w:val="21"/>
                      <w:szCs w:val="21"/>
                      <w:highlight w:val="none"/>
                      <w:lang w:val="en-US" w:eastAsia="zh-CN"/>
                    </w:rPr>
                    <w:t>凝土硬化，无明显破损、裂缝，可满足简单防渗要求。</w:t>
                  </w:r>
                </w:p>
                <w:p w14:paraId="5C9EF878">
                  <w:pPr>
                    <w:pStyle w:val="4"/>
                    <w:pageBreakBefore w:val="0"/>
                    <w:widowControl w:val="0"/>
                    <w:numPr>
                      <w:ilvl w:val="0"/>
                      <w:numId w:val="0"/>
                    </w:numPr>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①</w:t>
                  </w:r>
                  <w:r>
                    <w:rPr>
                      <w:rFonts w:hint="default" w:ascii="Times New Roman" w:hAnsi="Times New Roman" w:eastAsia="宋体" w:cs="Times New Roman"/>
                      <w:color w:val="auto"/>
                      <w:sz w:val="21"/>
                      <w:szCs w:val="21"/>
                      <w:lang w:val="en-US" w:eastAsia="zh-CN"/>
                    </w:rPr>
                    <w:t>本项目为塑料制品生产项目，不属于高污染、高排水企业；采用成熟注塑工艺，不属于国家淘汰落后工艺，满足园区准入要求。</w:t>
                  </w:r>
                </w:p>
                <w:p w14:paraId="6483714E">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②项目生产用水、生活用水均由园区市政供水管网供给，不开采、抽取地下水作为生产及生活水源。</w:t>
                  </w:r>
                </w:p>
                <w:p w14:paraId="00033AAA">
                  <w:pPr>
                    <w:pStyle w:val="4"/>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③项目生产厂房地面</w:t>
                  </w:r>
                  <w:r>
                    <w:rPr>
                      <w:rFonts w:hint="eastAsia" w:ascii="Times New Roman" w:hAnsi="Times New Roman" w:eastAsia="宋体" w:cs="Times New Roman"/>
                      <w:color w:val="auto"/>
                      <w:sz w:val="21"/>
                      <w:szCs w:val="21"/>
                      <w:lang w:val="en-US" w:eastAsia="zh-CN"/>
                    </w:rPr>
                    <w:t>已</w:t>
                  </w:r>
                  <w:r>
                    <w:rPr>
                      <w:rFonts w:hint="default" w:ascii="Times New Roman" w:hAnsi="Times New Roman" w:eastAsia="宋体" w:cs="Times New Roman"/>
                      <w:color w:val="auto"/>
                      <w:sz w:val="21"/>
                      <w:szCs w:val="21"/>
                      <w:lang w:val="en-US" w:eastAsia="zh-CN"/>
                    </w:rPr>
                    <w:t>全部硬化；循环水池（一般防渗区）</w:t>
                  </w:r>
                  <w:r>
                    <w:rPr>
                      <w:rFonts w:hint="eastAsia" w:ascii="Times New Roman" w:hAnsi="Times New Roman" w:eastAsia="宋体" w:cs="Times New Roman"/>
                      <w:color w:val="auto"/>
                      <w:sz w:val="21"/>
                      <w:szCs w:val="21"/>
                      <w:lang w:val="en-US" w:eastAsia="zh-CN"/>
                    </w:rPr>
                    <w:t>要求在现有</w:t>
                  </w:r>
                  <w:r>
                    <w:rPr>
                      <w:rFonts w:hint="default" w:ascii="Times New Roman" w:hAnsi="Times New Roman" w:eastAsia="宋体" w:cs="Times New Roman"/>
                      <w:color w:val="auto"/>
                      <w:kern w:val="0"/>
                      <w:sz w:val="21"/>
                      <w:szCs w:val="21"/>
                      <w:lang w:val="en-US" w:eastAsia="zh-CN" w:bidi="ar"/>
                    </w:rPr>
                    <w:t>硬化的基础上增加</w:t>
                  </w:r>
                  <w:r>
                    <w:rPr>
                      <w:rFonts w:hint="default" w:ascii="Times New Roman" w:hAnsi="Times New Roman" w:eastAsia="宋体" w:cs="Times New Roman"/>
                      <w:b w:val="0"/>
                      <w:bCs w:val="0"/>
                      <w:color w:val="auto"/>
                      <w:sz w:val="21"/>
                      <w:szCs w:val="21"/>
                      <w:lang w:val="en-US" w:eastAsia="zh-CN"/>
                    </w:rPr>
                    <w:t>2.0mmHDPE膜</w:t>
                  </w:r>
                  <w:r>
                    <w:rPr>
                      <w:rFonts w:hint="eastAsia" w:ascii="Times New Roman" w:hAnsi="Times New Roman" w:eastAsia="宋体" w:cs="Times New Roman"/>
                      <w:color w:val="auto"/>
                      <w:sz w:val="21"/>
                      <w:szCs w:val="21"/>
                      <w:lang w:val="en-US" w:eastAsia="zh-CN"/>
                    </w:rPr>
                    <w:t>进行</w:t>
                  </w:r>
                  <w:r>
                    <w:rPr>
                      <w:rFonts w:hint="default" w:ascii="Times New Roman" w:hAnsi="Times New Roman" w:eastAsia="宋体" w:cs="Times New Roman"/>
                      <w:color w:val="auto"/>
                      <w:sz w:val="21"/>
                      <w:szCs w:val="21"/>
                      <w:lang w:val="en-US" w:eastAsia="zh-CN"/>
                    </w:rPr>
                    <w:t>防渗处理，防止污水下渗。</w:t>
                  </w:r>
                </w:p>
                <w:p w14:paraId="6DF49031">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④</w:t>
                  </w:r>
                  <w:r>
                    <w:rPr>
                      <w:rFonts w:hint="default" w:ascii="Times New Roman" w:hAnsi="Times New Roman" w:eastAsia="宋体" w:cs="Times New Roman"/>
                      <w:color w:val="auto"/>
                      <w:kern w:val="0"/>
                      <w:sz w:val="21"/>
                      <w:szCs w:val="21"/>
                      <w:lang w:val="en-US" w:eastAsia="zh-CN" w:bidi="ar"/>
                    </w:rPr>
                    <w:t>厂区</w:t>
                  </w:r>
                  <w:r>
                    <w:rPr>
                      <w:rFonts w:hint="eastAsia" w:cs="Times New Roman"/>
                      <w:color w:val="auto"/>
                      <w:kern w:val="0"/>
                      <w:sz w:val="21"/>
                      <w:szCs w:val="21"/>
                      <w:lang w:val="en-US" w:eastAsia="zh-CN" w:bidi="ar"/>
                    </w:rPr>
                    <w:t>内</w:t>
                  </w:r>
                  <w:r>
                    <w:rPr>
                      <w:rFonts w:hint="default" w:ascii="Times New Roman" w:hAnsi="Times New Roman" w:eastAsia="宋体" w:cs="Times New Roman"/>
                      <w:color w:val="auto"/>
                      <w:kern w:val="0"/>
                      <w:sz w:val="21"/>
                      <w:szCs w:val="21"/>
                      <w:lang w:val="en-US" w:eastAsia="zh-CN" w:bidi="ar"/>
                    </w:rPr>
                    <w:t>设置若干个带盖的生活垃圾收集桶</w:t>
                  </w:r>
                  <w:r>
                    <w:rPr>
                      <w:rFonts w:hint="eastAsia" w:cs="Times New Roman"/>
                      <w:color w:val="auto"/>
                      <w:kern w:val="0"/>
                      <w:sz w:val="21"/>
                      <w:szCs w:val="21"/>
                      <w:lang w:val="en-US" w:eastAsia="zh-CN" w:bidi="ar"/>
                    </w:rPr>
                    <w:t>进行收集项目产生的生活垃圾</w:t>
                  </w:r>
                  <w:r>
                    <w:rPr>
                      <w:rFonts w:hint="eastAsia" w:ascii="Times New Roman" w:hAnsi="Times New Roman" w:eastAsia="宋体" w:cs="Times New Roman"/>
                      <w:color w:val="auto"/>
                      <w:sz w:val="21"/>
                      <w:szCs w:val="21"/>
                      <w:lang w:val="en-US" w:eastAsia="zh-CN"/>
                    </w:rPr>
                    <w:t>，满足防风防雨防渗要求。</w:t>
                  </w:r>
                </w:p>
                <w:p w14:paraId="5099B0B6">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⑤项目危废（</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eastAsia" w:ascii="Times New Roman" w:hAnsi="Times New Roman" w:eastAsia="宋体" w:cs="Times New Roman"/>
                      <w:color w:val="auto"/>
                      <w:sz w:val="21"/>
                      <w:szCs w:val="21"/>
                      <w:lang w:val="en-US" w:eastAsia="zh-CN"/>
                    </w:rPr>
                    <w:t>）分区存放于</w:t>
                  </w:r>
                  <w:r>
                    <w:rPr>
                      <w:rFonts w:hint="eastAsia" w:cs="Times New Roman"/>
                      <w:color w:val="auto"/>
                      <w:sz w:val="21"/>
                      <w:szCs w:val="21"/>
                      <w:lang w:val="en-US" w:eastAsia="zh-CN"/>
                    </w:rPr>
                    <w:t>危废贮存库</w:t>
                  </w:r>
                  <w:r>
                    <w:rPr>
                      <w:rFonts w:hint="eastAsia" w:ascii="Times New Roman" w:hAnsi="Times New Roman" w:eastAsia="宋体" w:cs="Times New Roman"/>
                      <w:color w:val="auto"/>
                      <w:sz w:val="21"/>
                      <w:szCs w:val="21"/>
                      <w:lang w:val="en-US" w:eastAsia="zh-CN"/>
                    </w:rPr>
                    <w:t>内，然后定期委托有资质单位清运处置；包装固废及不合格产品分区存放于厂房内，定期外售及破碎；危废与一般固废分开堆放，不存在混堆、乱堆情况。</w:t>
                  </w:r>
                </w:p>
                <w:p w14:paraId="40D1373C">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⑥项目不设置渗坑、不向岩溶洼地、落水洞排污；不在厂区内建设永久性固废处置场；危险废物全部交由有</w:t>
                  </w:r>
                  <w:r>
                    <w:rPr>
                      <w:rFonts w:hint="eastAsia" w:ascii="Times New Roman" w:hAnsi="Times New Roman" w:eastAsia="宋体" w:cs="Times New Roman"/>
                      <w:color w:val="auto"/>
                      <w:sz w:val="21"/>
                      <w:szCs w:val="21"/>
                      <w:highlight w:val="none"/>
                      <w:lang w:val="en-US" w:eastAsia="zh-CN"/>
                    </w:rPr>
                    <w:t>资质单位清</w:t>
                  </w:r>
                  <w:r>
                    <w:rPr>
                      <w:rFonts w:hint="default" w:ascii="Times New Roman" w:hAnsi="Times New Roman" w:eastAsia="宋体" w:cs="Times New Roman"/>
                      <w:color w:val="auto"/>
                      <w:sz w:val="21"/>
                      <w:szCs w:val="21"/>
                      <w:highlight w:val="none"/>
                      <w:lang w:val="en-US" w:eastAsia="zh-CN"/>
                    </w:rPr>
                    <w:t>运处置。</w:t>
                  </w:r>
                </w:p>
                <w:p w14:paraId="58BF2E65">
                  <w:pPr>
                    <w:keepNext w:val="0"/>
                    <w:keepLines w:val="0"/>
                    <w:widowControl/>
                    <w:suppressLineNumbers w:val="0"/>
                    <w:spacing w:before="0" w:beforeAutospacing="0" w:after="0" w:afterAutospacing="0"/>
                    <w:ind w:left="0" w:right="0"/>
                    <w:jc w:val="both"/>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⑦项目注塑</w:t>
                  </w:r>
                  <w:r>
                    <w:rPr>
                      <w:rFonts w:hint="eastAsia" w:cs="Times New Roman"/>
                      <w:color w:val="auto"/>
                      <w:sz w:val="21"/>
                      <w:szCs w:val="21"/>
                      <w:highlight w:val="none"/>
                      <w:lang w:val="en-US" w:eastAsia="zh-CN"/>
                    </w:rPr>
                    <w:t>间接</w:t>
                  </w:r>
                  <w:r>
                    <w:rPr>
                      <w:rFonts w:hint="default" w:ascii="Times New Roman" w:hAnsi="Times New Roman" w:eastAsia="宋体" w:cs="Times New Roman"/>
                      <w:color w:val="auto"/>
                      <w:sz w:val="21"/>
                      <w:szCs w:val="21"/>
                      <w:highlight w:val="none"/>
                      <w:lang w:val="en-US" w:eastAsia="zh-CN"/>
                    </w:rPr>
                    <w:t>冷却</w:t>
                  </w:r>
                  <w:r>
                    <w:rPr>
                      <w:rFonts w:hint="eastAsia" w:cs="Times New Roman"/>
                      <w:color w:val="auto"/>
                      <w:sz w:val="21"/>
                      <w:szCs w:val="21"/>
                      <w:highlight w:val="none"/>
                      <w:lang w:val="en-US" w:eastAsia="zh-CN"/>
                    </w:rPr>
                    <w:t>废</w:t>
                  </w:r>
                  <w:r>
                    <w:rPr>
                      <w:rFonts w:hint="default" w:ascii="Times New Roman" w:hAnsi="Times New Roman" w:eastAsia="宋体" w:cs="Times New Roman"/>
                      <w:color w:val="auto"/>
                      <w:sz w:val="21"/>
                      <w:szCs w:val="21"/>
                      <w:highlight w:val="none"/>
                      <w:lang w:val="en-US" w:eastAsia="zh-CN"/>
                    </w:rPr>
                    <w:t>水</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生活污水依托</w:t>
                  </w:r>
                  <w:r>
                    <w:rPr>
                      <w:rFonts w:hint="default" w:ascii="Times New Roman" w:hAnsi="Times New Roman" w:eastAsia="宋体" w:cs="Times New Roman"/>
                      <w:caps w:val="0"/>
                      <w:smallCaps w:val="0"/>
                      <w:color w:val="auto"/>
                      <w:kern w:val="2"/>
                      <w:sz w:val="21"/>
                      <w:szCs w:val="21"/>
                      <w:highlight w:val="none"/>
                      <w:lang w:val="en-US" w:eastAsia="zh-CN" w:bidi="ar-SA"/>
                    </w:rPr>
                    <w:t>云南鹏达冠得有限公司</w:t>
                  </w:r>
                  <w:r>
                    <w:rPr>
                      <w:rFonts w:hint="default" w:ascii="Times New Roman" w:hAnsi="Times New Roman" w:eastAsia="宋体" w:cs="Times New Roman"/>
                      <w:color w:val="auto"/>
                      <w:sz w:val="21"/>
                      <w:szCs w:val="21"/>
                      <w:highlight w:val="none"/>
                      <w:lang w:val="en-US" w:eastAsia="zh-CN"/>
                    </w:rPr>
                    <w:t>已建污水处理系统</w:t>
                  </w:r>
                  <w:r>
                    <w:rPr>
                      <w:rFonts w:hint="default" w:ascii="Times New Roman" w:hAnsi="Times New Roman" w:eastAsia="宋体" w:cs="Times New Roman"/>
                      <w:color w:val="auto"/>
                      <w:kern w:val="0"/>
                      <w:sz w:val="21"/>
                      <w:szCs w:val="21"/>
                      <w:highlight w:val="none"/>
                      <w:lang w:val="en-US" w:eastAsia="zh-CN" w:bidi="ar"/>
                    </w:rPr>
                    <w:t>处理达到</w:t>
                  </w:r>
                  <w:r>
                    <w:rPr>
                      <w:rFonts w:hint="default" w:ascii="Times New Roman" w:hAnsi="Times New Roman" w:eastAsia="瀹嬩綋" w:cs="Times New Roman"/>
                      <w:color w:val="auto"/>
                      <w:kern w:val="0"/>
                      <w:sz w:val="21"/>
                      <w:szCs w:val="21"/>
                      <w:highlight w:val="none"/>
                      <w:lang w:val="en-US" w:eastAsia="zh-CN" w:bidi="ar"/>
                    </w:rPr>
                    <w:t>《城市污水再生利用 城市杂用水水质》（</w:t>
                  </w:r>
                  <w:r>
                    <w:rPr>
                      <w:rFonts w:hint="default" w:ascii="Times New Roman" w:hAnsi="Times New Roman" w:eastAsia="宋体" w:cs="Times New Roman"/>
                      <w:color w:val="auto"/>
                      <w:kern w:val="0"/>
                      <w:sz w:val="21"/>
                      <w:szCs w:val="21"/>
                      <w:highlight w:val="none"/>
                      <w:lang w:val="en-US" w:eastAsia="zh-CN" w:bidi="ar"/>
                    </w:rPr>
                    <w:t>GB/T18920-2020</w:t>
                  </w:r>
                  <w:r>
                    <w:rPr>
                      <w:rFonts w:hint="default" w:ascii="Times New Roman" w:hAnsi="Times New Roman" w:eastAsia="瀹嬩綋" w:cs="Times New Roman"/>
                      <w:color w:val="auto"/>
                      <w:kern w:val="0"/>
                      <w:sz w:val="21"/>
                      <w:szCs w:val="21"/>
                      <w:highlight w:val="none"/>
                      <w:lang w:val="en-US" w:eastAsia="zh-CN" w:bidi="ar"/>
                    </w:rPr>
                    <w:t>）标准后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default" w:ascii="Times New Roman" w:hAnsi="Times New Roman" w:eastAsia="宋体" w:cs="Times New Roman"/>
                      <w:color w:val="auto"/>
                      <w:sz w:val="21"/>
                      <w:szCs w:val="21"/>
                      <w:highlight w:val="none"/>
                      <w:lang w:val="en-US" w:eastAsia="zh-CN"/>
                    </w:rPr>
                    <w:t>；各类固废分类收集，规范暂存、合规处置，不会进入岩溶</w:t>
                  </w:r>
                  <w:r>
                    <w:rPr>
                      <w:rFonts w:hint="eastAsia" w:ascii="Times New Roman" w:hAnsi="Times New Roman" w:eastAsia="宋体" w:cs="Times New Roman"/>
                      <w:color w:val="auto"/>
                      <w:sz w:val="21"/>
                      <w:szCs w:val="21"/>
                      <w:highlight w:val="none"/>
                      <w:lang w:val="en-US" w:eastAsia="zh-CN"/>
                    </w:rPr>
                    <w:t>洼地、农田及水体，保护地下水。</w:t>
                  </w:r>
                </w:p>
                <w:p w14:paraId="6FEDA274">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⑧项目</w:t>
                  </w:r>
                  <w:r>
                    <w:rPr>
                      <w:rFonts w:hint="eastAsia" w:cs="Times New Roman"/>
                      <w:color w:val="auto"/>
                      <w:sz w:val="21"/>
                      <w:szCs w:val="21"/>
                      <w:highlight w:val="none"/>
                      <w:lang w:val="en-US" w:eastAsia="zh-CN"/>
                    </w:rPr>
                    <w:t>在已建厂房上进行建设，只涉及平面布置及设备安装，不涉及土建工程，不用</w:t>
                  </w:r>
                  <w:r>
                    <w:rPr>
                      <w:rFonts w:hint="eastAsia" w:ascii="Times New Roman" w:hAnsi="Times New Roman" w:eastAsia="宋体" w:cs="Times New Roman"/>
                      <w:color w:val="auto"/>
                      <w:sz w:val="21"/>
                      <w:szCs w:val="21"/>
                      <w:highlight w:val="none"/>
                      <w:lang w:val="en-US" w:eastAsia="zh-CN"/>
                    </w:rPr>
                    <w:t>开展场地岩土工程勘察；本项目不涉及重金属，重大渗漏风险设施（</w:t>
                  </w:r>
                  <w:r>
                    <w:rPr>
                      <w:rFonts w:hint="eastAsia" w:cs="Times New Roman"/>
                      <w:color w:val="auto"/>
                      <w:sz w:val="21"/>
                      <w:szCs w:val="21"/>
                      <w:highlight w:val="none"/>
                      <w:lang w:val="en-US" w:eastAsia="zh-CN"/>
                    </w:rPr>
                    <w:t>危废贮存库</w:t>
                  </w:r>
                  <w:r>
                    <w:rPr>
                      <w:rFonts w:hint="eastAsia" w:ascii="Times New Roman" w:hAnsi="Times New Roman" w:eastAsia="宋体" w:cs="Times New Roman"/>
                      <w:color w:val="auto"/>
                      <w:sz w:val="21"/>
                      <w:szCs w:val="21"/>
                      <w:highlight w:val="none"/>
                      <w:lang w:val="en-US" w:eastAsia="zh-CN"/>
                    </w:rPr>
                    <w:t>、循环水池）布置于相对隔水层之上，降低地下水污染风险。</w:t>
                  </w:r>
                </w:p>
                <w:p w14:paraId="1E45FE95">
                  <w:pPr>
                    <w:keepNext w:val="0"/>
                    <w:keepLines w:val="0"/>
                    <w:suppressLineNumbers w:val="0"/>
                    <w:spacing w:before="0" w:beforeAutospacing="0" w:after="0" w:afterAutospacing="0"/>
                    <w:ind w:left="0" w:right="0"/>
                    <w:rPr>
                      <w:rFonts w:hint="default"/>
                      <w:color w:val="auto"/>
                      <w:lang w:val="en-US" w:eastAsia="zh-CN"/>
                    </w:rPr>
                  </w:pPr>
                  <w:r>
                    <w:rPr>
                      <w:rFonts w:hint="eastAsia" w:ascii="Times New Roman" w:hAnsi="Times New Roman" w:eastAsia="宋体" w:cs="Times New Roman"/>
                      <w:color w:val="auto"/>
                      <w:sz w:val="21"/>
                      <w:szCs w:val="21"/>
                      <w:highlight w:val="none"/>
                      <w:lang w:val="en-US" w:eastAsia="zh-CN"/>
                    </w:rPr>
                    <w:t xml:space="preserve">⑨项目依据HJ610-2016实施分区防渗：危废间（重点防渗区）、循环水池（一般防渗区）、生产厂房（简单防渗区）；固废暂存区配套防渗及截排水措施，防止渗滤液下渗污染地下水。 </w:t>
                  </w:r>
                </w:p>
              </w:tc>
              <w:tc>
                <w:tcPr>
                  <w:tcW w:w="664" w:type="dxa"/>
                  <w:noWrap w:val="0"/>
                  <w:vAlign w:val="center"/>
                </w:tcPr>
                <w:p w14:paraId="4E95FCB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E4E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716727F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土壤环境影响</w:t>
                  </w:r>
                  <w:r>
                    <w:rPr>
                      <w:rFonts w:hint="default" w:ascii="Times New Roman" w:hAnsi="Times New Roman" w:eastAsia="宋体" w:cs="Times New Roman"/>
                      <w:color w:val="auto"/>
                      <w:sz w:val="21"/>
                      <w:szCs w:val="21"/>
                      <w:highlight w:val="none"/>
                      <w:lang w:val="zh-CN"/>
                    </w:rPr>
                    <w:t>减缓措施</w:t>
                  </w:r>
                </w:p>
              </w:tc>
              <w:tc>
                <w:tcPr>
                  <w:tcW w:w="3563" w:type="dxa"/>
                  <w:noWrap w:val="0"/>
                  <w:vAlign w:val="center"/>
                </w:tcPr>
                <w:p w14:paraId="2F401E98">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①源头控制措施：选用合格的生产原料，从源头上控制污染物的产生。</w:t>
                  </w:r>
                </w:p>
                <w:p w14:paraId="70712A80">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②末端控制措施：废气经处理后外排，减少废气中的污染物排放。</w:t>
                  </w:r>
                </w:p>
                <w:p w14:paraId="2B41815E">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③污染监控体系：实施覆盖生产区的土壤污染监控系统，及时发现污染、及时控制。</w:t>
                  </w:r>
                </w:p>
                <w:p w14:paraId="3ACF1CCD">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④应急响应措施：一旦发现污染事故，立即启动应急预案、采取应急措施控制土壤，并使污染得到治理。</w:t>
                  </w:r>
                </w:p>
                <w:p w14:paraId="43D4D595">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⑤绿化措施：合理利用项目区的空余空间，加强项目区的绿化。</w:t>
                  </w:r>
                </w:p>
                <w:p w14:paraId="014D968D">
                  <w:pPr>
                    <w:pStyle w:val="20"/>
                    <w:keepNext w:val="0"/>
                    <w:keepLines w:val="0"/>
                    <w:pageBreakBefore w:val="0"/>
                    <w:widowControl/>
                    <w:suppressLineNumbers w:val="0"/>
                    <w:kinsoku/>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i w:val="0"/>
                      <w:iCs w:val="0"/>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⑥加强对厂区周围土壤环境的定期监测，建立土壤环境质量动态监测系统，及时反馈污染控制信息。</w:t>
                  </w:r>
                </w:p>
                <w:p w14:paraId="044FAE5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 w:val="0"/>
                      <w:bCs w:val="0"/>
                      <w:i w:val="0"/>
                      <w:iCs w:val="0"/>
                      <w:color w:val="auto"/>
                      <w:kern w:val="0"/>
                      <w:sz w:val="21"/>
                      <w:szCs w:val="21"/>
                      <w:lang w:val="en-US" w:eastAsia="zh-CN"/>
                    </w:rPr>
                    <w:t>⑦严格固体废物运输管理，避免在运输过程中的散落。一旦发生散落事件，及时清理收集，防止进入农田。</w:t>
                  </w:r>
                </w:p>
              </w:tc>
              <w:tc>
                <w:tcPr>
                  <w:tcW w:w="3001" w:type="dxa"/>
                  <w:noWrap w:val="0"/>
                  <w:vAlign w:val="center"/>
                </w:tcPr>
                <w:p w14:paraId="32B5D85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①②</w:t>
                  </w:r>
                  <w:r>
                    <w:rPr>
                      <w:rFonts w:hint="default" w:ascii="Times New Roman" w:hAnsi="Times New Roman" w:eastAsia="宋体" w:cs="Times New Roman"/>
                      <w:color w:val="auto"/>
                      <w:sz w:val="21"/>
                      <w:szCs w:val="21"/>
                      <w:highlight w:val="none"/>
                      <w:lang w:val="en-US" w:eastAsia="zh-CN"/>
                    </w:rPr>
                    <w:t>本项目使用全新的聚丙烯树脂颗粒作为生产原料，废气均经过有效的治理措施处理后达标排放；</w:t>
                  </w:r>
                </w:p>
                <w:p w14:paraId="7DACA66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③⑥</w:t>
                  </w: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进行分区防渗，即</w:t>
                  </w:r>
                  <w:r>
                    <w:rPr>
                      <w:rFonts w:hint="eastAsia" w:cs="Times New Roman"/>
                      <w:color w:val="auto"/>
                      <w:szCs w:val="21"/>
                      <w:lang w:eastAsia="zh-CN"/>
                    </w:rPr>
                    <w:t>危废贮存库</w:t>
                  </w:r>
                  <w:r>
                    <w:rPr>
                      <w:rFonts w:hint="default" w:ascii="Times New Roman" w:hAnsi="Times New Roman" w:eastAsia="宋体" w:cs="Times New Roman"/>
                      <w:color w:val="auto"/>
                      <w:szCs w:val="21"/>
                      <w:lang w:val="en-US" w:eastAsia="zh-CN"/>
                    </w:rPr>
                    <w:t>进行重点防渗，</w:t>
                  </w:r>
                  <w:r>
                    <w:rPr>
                      <w:rFonts w:hint="default" w:ascii="Times New Roman" w:hAnsi="Times New Roman" w:eastAsia="宋体" w:cs="Times New Roman"/>
                      <w:b w:val="0"/>
                      <w:bCs w:val="0"/>
                      <w:color w:val="auto"/>
                      <w:sz w:val="21"/>
                      <w:szCs w:val="21"/>
                      <w:lang w:val="en-US" w:eastAsia="zh-CN"/>
                    </w:rPr>
                    <w:t>循环水池</w:t>
                  </w:r>
                  <w:r>
                    <w:rPr>
                      <w:rFonts w:hint="default" w:ascii="Times New Roman" w:hAnsi="Times New Roman" w:eastAsia="宋体" w:cs="Times New Roman"/>
                      <w:color w:val="auto"/>
                      <w:lang w:val="en-US" w:eastAsia="zh-CN"/>
                    </w:rPr>
                    <w:t>进行一般防渗；</w:t>
                  </w:r>
                  <w:r>
                    <w:rPr>
                      <w:rFonts w:hint="default" w:ascii="Times New Roman" w:hAnsi="Times New Roman" w:eastAsia="宋体" w:cs="Times New Roman"/>
                      <w:b w:val="0"/>
                      <w:bCs w:val="0"/>
                      <w:color w:val="auto"/>
                      <w:sz w:val="21"/>
                      <w:szCs w:val="21"/>
                      <w:lang w:val="en-US" w:eastAsia="zh-CN"/>
                    </w:rPr>
                    <w:t>生产厂房地面</w:t>
                  </w:r>
                  <w:r>
                    <w:rPr>
                      <w:rFonts w:hint="default" w:ascii="Times New Roman" w:hAnsi="Times New Roman" w:eastAsia="宋体" w:cs="Times New Roman"/>
                      <w:b w:val="0"/>
                      <w:bCs w:val="0"/>
                      <w:color w:val="auto"/>
                      <w:sz w:val="21"/>
                      <w:szCs w:val="21"/>
                      <w:highlight w:val="none"/>
                      <w:lang w:val="zh-CN"/>
                    </w:rPr>
                    <w:t>进行一般</w:t>
                  </w:r>
                  <w:r>
                    <w:rPr>
                      <w:rFonts w:hint="default" w:ascii="Times New Roman" w:hAnsi="Times New Roman" w:eastAsia="宋体" w:cs="Times New Roman"/>
                      <w:b w:val="0"/>
                      <w:bCs w:val="0"/>
                      <w:color w:val="auto"/>
                      <w:sz w:val="21"/>
                      <w:szCs w:val="21"/>
                      <w:highlight w:val="none"/>
                      <w:lang w:val="en-US" w:eastAsia="zh-CN"/>
                    </w:rPr>
                    <w:t>硬化处理</w:t>
                  </w:r>
                  <w:r>
                    <w:rPr>
                      <w:rFonts w:hint="eastAsia" w:cs="Times New Roman"/>
                      <w:b w:val="0"/>
                      <w:bCs w:val="0"/>
                      <w:color w:val="auto"/>
                      <w:sz w:val="21"/>
                      <w:szCs w:val="21"/>
                      <w:highlight w:val="none"/>
                      <w:lang w:val="en-US" w:eastAsia="zh-CN"/>
                    </w:rPr>
                    <w:t>；</w:t>
                  </w:r>
                </w:p>
                <w:p w14:paraId="5C06CBF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④</w:t>
                  </w:r>
                  <w:r>
                    <w:rPr>
                      <w:rFonts w:hint="default" w:ascii="Times New Roman" w:hAnsi="Times New Roman" w:eastAsia="宋体" w:cs="Times New Roman"/>
                      <w:color w:val="auto"/>
                      <w:sz w:val="21"/>
                      <w:szCs w:val="21"/>
                    </w:rPr>
                    <w:t>编制突发环境事件应急预案</w:t>
                  </w:r>
                  <w:r>
                    <w:rPr>
                      <w:rFonts w:hint="eastAsia" w:cs="Times New Roman"/>
                      <w:color w:val="auto"/>
                      <w:sz w:val="21"/>
                      <w:szCs w:val="21"/>
                      <w:lang w:eastAsia="zh-CN"/>
                    </w:rPr>
                    <w:t>，</w:t>
                  </w:r>
                  <w:r>
                    <w:rPr>
                      <w:rFonts w:hint="eastAsia" w:cs="Times New Roman"/>
                      <w:color w:val="auto"/>
                      <w:sz w:val="21"/>
                      <w:szCs w:val="21"/>
                      <w:lang w:val="en-US" w:eastAsia="zh-CN"/>
                    </w:rPr>
                    <w:t>提出突发环境事件应急响应措施；</w:t>
                  </w:r>
                </w:p>
                <w:p w14:paraId="11F17F6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⑤</w:t>
                  </w:r>
                  <w:r>
                    <w:rPr>
                      <w:rFonts w:hint="eastAsia" w:cs="Times New Roman"/>
                      <w:color w:val="auto"/>
                      <w:sz w:val="21"/>
                      <w:szCs w:val="21"/>
                      <w:highlight w:val="none"/>
                      <w:lang w:val="en-US" w:eastAsia="zh-CN"/>
                    </w:rPr>
                    <w:t>租用</w:t>
                  </w:r>
                  <w:r>
                    <w:rPr>
                      <w:rFonts w:hint="default" w:ascii="Times New Roman" w:hAnsi="Times New Roman" w:eastAsia="宋体" w:cs="Times New Roman"/>
                      <w:color w:val="auto"/>
                      <w:sz w:val="21"/>
                      <w:szCs w:val="21"/>
                      <w:highlight w:val="none"/>
                      <w:lang w:val="en-US" w:eastAsia="zh-CN"/>
                    </w:rPr>
                    <w:t>项目</w:t>
                  </w:r>
                  <w:r>
                    <w:rPr>
                      <w:rFonts w:hint="eastAsia" w:cs="Times New Roman"/>
                      <w:color w:val="auto"/>
                      <w:sz w:val="21"/>
                      <w:szCs w:val="21"/>
                      <w:highlight w:val="none"/>
                      <w:lang w:val="en-US" w:eastAsia="zh-CN"/>
                    </w:rPr>
                    <w:t>厂房四周</w:t>
                  </w:r>
                  <w:r>
                    <w:rPr>
                      <w:rFonts w:hint="default" w:ascii="Times New Roman" w:hAnsi="Times New Roman" w:eastAsia="宋体" w:cs="Times New Roman"/>
                      <w:color w:val="auto"/>
                      <w:sz w:val="21"/>
                      <w:szCs w:val="21"/>
                      <w:highlight w:val="none"/>
                      <w:lang w:val="en-US" w:eastAsia="zh-CN"/>
                    </w:rPr>
                    <w:t>分布一定面积的绿化</w:t>
                  </w:r>
                  <w:r>
                    <w:rPr>
                      <w:rFonts w:hint="eastAsia" w:cs="Times New Roman"/>
                      <w:b w:val="0"/>
                      <w:bCs w:val="0"/>
                      <w:color w:val="auto"/>
                      <w:sz w:val="21"/>
                      <w:szCs w:val="21"/>
                      <w:highlight w:val="none"/>
                      <w:lang w:val="en-US" w:eastAsia="zh-CN"/>
                    </w:rPr>
                    <w:t>；</w:t>
                  </w:r>
                </w:p>
                <w:p w14:paraId="5FD1821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b w:val="0"/>
                      <w:bCs w:val="0"/>
                      <w:color w:val="auto"/>
                      <w:sz w:val="21"/>
                      <w:szCs w:val="21"/>
                      <w:highlight w:val="none"/>
                      <w:lang w:val="en-US" w:eastAsia="zh-CN"/>
                    </w:rPr>
                    <w:t>⑦项目建成运营过程后</w:t>
                  </w:r>
                  <w:r>
                    <w:rPr>
                      <w:rFonts w:hint="default" w:ascii="Times New Roman" w:hAnsi="Times New Roman" w:eastAsia="宋体" w:cs="Times New Roman"/>
                      <w:b w:val="0"/>
                      <w:bCs w:val="0"/>
                      <w:i w:val="0"/>
                      <w:iCs w:val="0"/>
                      <w:color w:val="auto"/>
                      <w:kern w:val="0"/>
                      <w:sz w:val="21"/>
                      <w:szCs w:val="21"/>
                      <w:lang w:val="en-US" w:eastAsia="zh-CN"/>
                    </w:rPr>
                    <w:t>严格</w:t>
                  </w:r>
                  <w:r>
                    <w:rPr>
                      <w:rFonts w:hint="eastAsia" w:ascii="Times New Roman" w:hAnsi="Times New Roman" w:eastAsia="宋体" w:cs="Times New Roman"/>
                      <w:b w:val="0"/>
                      <w:bCs w:val="0"/>
                      <w:i w:val="0"/>
                      <w:iCs w:val="0"/>
                      <w:color w:val="auto"/>
                      <w:kern w:val="0"/>
                      <w:sz w:val="21"/>
                      <w:szCs w:val="21"/>
                      <w:lang w:val="en-US" w:eastAsia="zh-CN"/>
                    </w:rPr>
                    <w:t>执行</w:t>
                  </w:r>
                  <w:r>
                    <w:rPr>
                      <w:rFonts w:hint="default" w:ascii="Times New Roman" w:hAnsi="Times New Roman" w:eastAsia="宋体" w:cs="Times New Roman"/>
                      <w:b w:val="0"/>
                      <w:bCs w:val="0"/>
                      <w:color w:val="auto"/>
                      <w:sz w:val="21"/>
                      <w:szCs w:val="21"/>
                      <w:lang w:val="en-US" w:eastAsia="zh-CN"/>
                    </w:rPr>
                    <w:t>固废</w:t>
                  </w:r>
                  <w:r>
                    <w:rPr>
                      <w:rFonts w:hint="default" w:ascii="Times New Roman" w:hAnsi="Times New Roman" w:eastAsia="宋体" w:cs="Times New Roman"/>
                      <w:b w:val="0"/>
                      <w:bCs w:val="0"/>
                      <w:color w:val="auto"/>
                      <w:sz w:val="21"/>
                      <w:szCs w:val="21"/>
                    </w:rPr>
                    <w:t>环境管理要求</w:t>
                  </w:r>
                  <w:r>
                    <w:rPr>
                      <w:rFonts w:hint="eastAsia" w:cs="Times New Roman"/>
                      <w:b w:val="0"/>
                      <w:bCs w:val="0"/>
                      <w:color w:val="auto"/>
                      <w:sz w:val="21"/>
                      <w:szCs w:val="21"/>
                      <w:lang w:eastAsia="zh-CN"/>
                    </w:rPr>
                    <w:t>，</w:t>
                  </w:r>
                  <w:r>
                    <w:rPr>
                      <w:rFonts w:hint="default" w:ascii="Times New Roman" w:hAnsi="Times New Roman" w:eastAsia="宋体" w:cs="Times New Roman"/>
                      <w:b w:val="0"/>
                      <w:bCs w:val="0"/>
                      <w:i w:val="0"/>
                      <w:iCs w:val="0"/>
                      <w:color w:val="auto"/>
                      <w:kern w:val="0"/>
                      <w:sz w:val="21"/>
                      <w:szCs w:val="21"/>
                      <w:lang w:val="en-US" w:eastAsia="zh-CN"/>
                    </w:rPr>
                    <w:t>避免在运输过程中的散落</w:t>
                  </w:r>
                  <w:r>
                    <w:rPr>
                      <w:rFonts w:hint="eastAsia" w:ascii="Times New Roman" w:hAnsi="Times New Roman" w:eastAsia="宋体" w:cs="Times New Roman"/>
                      <w:b w:val="0"/>
                      <w:bCs w:val="0"/>
                      <w:i w:val="0"/>
                      <w:iCs w:val="0"/>
                      <w:color w:val="auto"/>
                      <w:kern w:val="0"/>
                      <w:sz w:val="21"/>
                      <w:szCs w:val="21"/>
                      <w:lang w:val="en-US" w:eastAsia="zh-CN"/>
                    </w:rPr>
                    <w:t>。</w:t>
                  </w:r>
                </w:p>
              </w:tc>
              <w:tc>
                <w:tcPr>
                  <w:tcW w:w="664" w:type="dxa"/>
                  <w:noWrap w:val="0"/>
                  <w:vAlign w:val="center"/>
                </w:tcPr>
                <w:p w14:paraId="391886B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9E2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2ECF4B5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噪声影响减缓措施</w:t>
                  </w:r>
                </w:p>
              </w:tc>
              <w:tc>
                <w:tcPr>
                  <w:tcW w:w="3563" w:type="dxa"/>
                  <w:noWrap w:val="0"/>
                  <w:vAlign w:val="center"/>
                </w:tcPr>
                <w:p w14:paraId="653EAE83">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①</w:t>
                  </w:r>
                  <w:r>
                    <w:rPr>
                      <w:rFonts w:hint="default" w:ascii="Times New Roman" w:hAnsi="Times New Roman" w:eastAsia="宋体" w:cs="Times New Roman"/>
                      <w:color w:val="auto"/>
                      <w:kern w:val="0"/>
                      <w:sz w:val="21"/>
                      <w:szCs w:val="21"/>
                    </w:rPr>
                    <w:t>根据规划实施后对声环境的影响分析，本评价提出规划区应合理布局各企业位置，要将工业用地、公共设施用地等噪声污染较高的用地与住宅等需要安静的用地分隔开来，居住区应尽</w:t>
                  </w:r>
                  <w:r>
                    <w:rPr>
                      <w:rFonts w:hint="default" w:ascii="Times New Roman" w:hAnsi="Times New Roman" w:eastAsia="宋体" w:cs="Times New Roman"/>
                      <w:color w:val="auto"/>
                      <w:kern w:val="0"/>
                      <w:sz w:val="21"/>
                      <w:szCs w:val="21"/>
                      <w:lang w:eastAsia="zh-CN"/>
                    </w:rPr>
                    <w:t>量</w:t>
                  </w:r>
                  <w:r>
                    <w:rPr>
                      <w:rFonts w:hint="default" w:ascii="Times New Roman" w:hAnsi="Times New Roman" w:eastAsia="宋体" w:cs="Times New Roman"/>
                      <w:color w:val="auto"/>
                      <w:kern w:val="0"/>
                      <w:sz w:val="21"/>
                      <w:szCs w:val="21"/>
                    </w:rPr>
                    <w:t>离开交通干线40m以上，将仓储用地放于交通干道两侧，入园企业也要注意将生产区与办公区分离开来</w:t>
                  </w:r>
                  <w:r>
                    <w:rPr>
                      <w:rFonts w:hint="default" w:ascii="Times New Roman" w:hAnsi="Times New Roman" w:eastAsia="宋体" w:cs="Times New Roman"/>
                      <w:color w:val="auto"/>
                      <w:kern w:val="0"/>
                      <w:sz w:val="21"/>
                      <w:szCs w:val="21"/>
                      <w:lang w:eastAsia="zh-CN"/>
                    </w:rPr>
                    <w:t>；</w:t>
                  </w:r>
                </w:p>
                <w:p w14:paraId="72CA0419">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②道路建设设计应预留绿化带，加强园区道路修缮工作以及交通管理；</w:t>
                  </w:r>
                </w:p>
                <w:p w14:paraId="4AE72F3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kern w:val="0"/>
                      <w:sz w:val="21"/>
                      <w:szCs w:val="21"/>
                      <w:lang w:val="en-US" w:eastAsia="zh-CN"/>
                    </w:rPr>
                    <w:t>③入园企业如果使用一些高噪声设备如风机、空压机、冷却塔、发电机等，应做好消音降噪措施，建设过程中一定要对高噪声设备实行“同时设计、同时施工、同时验收”的原则，杜绝先污染后治理的现象出现</w:t>
                  </w:r>
                  <w:r>
                    <w:rPr>
                      <w:rFonts w:hint="default" w:ascii="Times New Roman" w:hAnsi="Times New Roman" w:eastAsia="宋体" w:cs="Times New Roman"/>
                      <w:color w:val="auto"/>
                      <w:kern w:val="0"/>
                      <w:sz w:val="21"/>
                      <w:szCs w:val="21"/>
                    </w:rPr>
                    <w:t>。</w:t>
                  </w:r>
                </w:p>
              </w:tc>
              <w:tc>
                <w:tcPr>
                  <w:tcW w:w="3001" w:type="dxa"/>
                  <w:noWrap w:val="0"/>
                  <w:vAlign w:val="center"/>
                </w:tcPr>
                <w:p w14:paraId="175AFCD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①</w:t>
                  </w:r>
                  <w:r>
                    <w:rPr>
                      <w:rFonts w:hint="default" w:ascii="Times New Roman" w:hAnsi="Times New Roman" w:eastAsia="宋体" w:cs="Times New Roman"/>
                      <w:color w:val="auto"/>
                      <w:sz w:val="21"/>
                      <w:szCs w:val="21"/>
                      <w:highlight w:val="none"/>
                    </w:rPr>
                    <w:t>项目周边</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0m范围</w:t>
                  </w:r>
                  <w:r>
                    <w:rPr>
                      <w:rFonts w:hint="default" w:ascii="Times New Roman" w:hAnsi="Times New Roman" w:eastAsia="宋体" w:cs="Times New Roman"/>
                      <w:color w:val="auto"/>
                      <w:sz w:val="21"/>
                      <w:szCs w:val="21"/>
                      <w:highlight w:val="none"/>
                      <w:lang w:eastAsia="zh-CN"/>
                    </w:rPr>
                    <w:t>内</w:t>
                  </w:r>
                  <w:r>
                    <w:rPr>
                      <w:rFonts w:hint="eastAsia" w:ascii="Times New Roman" w:hAnsi="Times New Roman" w:eastAsia="宋体" w:cs="Times New Roman"/>
                      <w:color w:val="auto"/>
                      <w:sz w:val="21"/>
                      <w:szCs w:val="21"/>
                      <w:highlight w:val="none"/>
                      <w:lang w:val="en-US" w:eastAsia="zh-CN"/>
                    </w:rPr>
                    <w:t>不</w:t>
                  </w:r>
                  <w:r>
                    <w:rPr>
                      <w:rFonts w:hint="default" w:ascii="Times New Roman" w:hAnsi="Times New Roman" w:eastAsia="宋体" w:cs="Times New Roman"/>
                      <w:color w:val="auto"/>
                      <w:sz w:val="21"/>
                      <w:szCs w:val="21"/>
                      <w:highlight w:val="none"/>
                      <w:lang w:eastAsia="zh-CN"/>
                    </w:rPr>
                    <w:t>存在</w:t>
                  </w:r>
                  <w:r>
                    <w:rPr>
                      <w:rFonts w:hint="default" w:ascii="Times New Roman" w:hAnsi="Times New Roman" w:eastAsia="宋体" w:cs="Times New Roman"/>
                      <w:color w:val="auto"/>
                      <w:sz w:val="21"/>
                      <w:szCs w:val="21"/>
                      <w:highlight w:val="none"/>
                    </w:rPr>
                    <w:t>声环境敏感目标</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w:t>
                  </w: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所有设备均设置于厂房内部，高噪声设备安装消声、</w:t>
                  </w:r>
                  <w:r>
                    <w:rPr>
                      <w:rFonts w:hint="eastAsia" w:cs="Times New Roman"/>
                      <w:color w:val="auto"/>
                      <w:sz w:val="21"/>
                      <w:szCs w:val="21"/>
                      <w:highlight w:val="none"/>
                      <w:lang w:val="en-US" w:eastAsia="zh-CN"/>
                    </w:rPr>
                    <w:t>减振</w:t>
                  </w:r>
                  <w:r>
                    <w:rPr>
                      <w:rFonts w:hint="default" w:ascii="Times New Roman" w:hAnsi="Times New Roman" w:eastAsia="宋体" w:cs="Times New Roman"/>
                      <w:color w:val="auto"/>
                      <w:sz w:val="21"/>
                      <w:szCs w:val="21"/>
                      <w:highlight w:val="none"/>
                      <w:lang w:val="en-US" w:eastAsia="zh-CN"/>
                    </w:rPr>
                    <w:t>装置</w:t>
                  </w:r>
                  <w:r>
                    <w:rPr>
                      <w:rFonts w:hint="default" w:ascii="Times New Roman" w:hAnsi="Times New Roman" w:eastAsia="宋体" w:cs="Times New Roman"/>
                      <w:color w:val="auto"/>
                      <w:sz w:val="21"/>
                      <w:szCs w:val="21"/>
                      <w:highlight w:val="none"/>
                    </w:rPr>
                    <w:t>。根据预测结果，在采取噪声防治措施后，</w:t>
                  </w:r>
                  <w:r>
                    <w:rPr>
                      <w:rFonts w:hint="default" w:ascii="Times New Roman" w:hAnsi="Times New Roman" w:eastAsia="宋体" w:cs="Times New Roman"/>
                      <w:color w:val="auto"/>
                      <w:sz w:val="21"/>
                      <w:szCs w:val="21"/>
                      <w:highlight w:val="none"/>
                      <w:lang w:val="en-US" w:eastAsia="zh-CN"/>
                    </w:rPr>
                    <w:t>项目厂界</w:t>
                  </w:r>
                  <w:r>
                    <w:rPr>
                      <w:rFonts w:hint="default" w:ascii="Times New Roman" w:hAnsi="Times New Roman" w:eastAsia="宋体" w:cs="Times New Roman"/>
                      <w:color w:val="auto"/>
                      <w:sz w:val="21"/>
                      <w:szCs w:val="21"/>
                      <w:highlight w:val="none"/>
                    </w:rPr>
                    <w:t>噪声</w:t>
                  </w:r>
                  <w:r>
                    <w:rPr>
                      <w:rFonts w:hint="default" w:ascii="Times New Roman" w:hAnsi="Times New Roman" w:eastAsia="宋体" w:cs="Times New Roman"/>
                      <w:color w:val="auto"/>
                      <w:sz w:val="21"/>
                      <w:szCs w:val="21"/>
                      <w:highlight w:val="none"/>
                      <w:lang w:val="en-US" w:eastAsia="zh-CN"/>
                    </w:rPr>
                    <w:t>满足</w:t>
                  </w:r>
                  <w:r>
                    <w:rPr>
                      <w:rFonts w:hint="default" w:ascii="Times New Roman" w:hAnsi="Times New Roman" w:eastAsia="宋体" w:cs="Times New Roman"/>
                      <w:color w:val="auto"/>
                      <w:sz w:val="21"/>
                      <w:szCs w:val="21"/>
                      <w:highlight w:val="none"/>
                    </w:rPr>
                    <w:t>《工业企业厂界环境噪声排放标准》（GB12348-2008）</w:t>
                  </w:r>
                  <w:r>
                    <w:rPr>
                      <w:rFonts w:hint="default" w:ascii="Times New Roman" w:hAnsi="Times New Roman" w:eastAsia="宋体" w:cs="Times New Roman"/>
                      <w:color w:val="auto"/>
                      <w:sz w:val="21"/>
                      <w:szCs w:val="21"/>
                      <w:highlight w:val="none"/>
                      <w:lang w:val="en-US" w:eastAsia="zh-CN"/>
                    </w:rPr>
                    <w:t>中3</w:t>
                  </w:r>
                  <w:r>
                    <w:rPr>
                      <w:rFonts w:hint="default" w:ascii="Times New Roman" w:hAnsi="Times New Roman" w:eastAsia="宋体" w:cs="Times New Roman"/>
                      <w:color w:val="auto"/>
                      <w:sz w:val="21"/>
                      <w:szCs w:val="21"/>
                      <w:highlight w:val="none"/>
                    </w:rPr>
                    <w:t>类</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4类</w:t>
                  </w:r>
                  <w:r>
                    <w:rPr>
                      <w:rFonts w:hint="default" w:ascii="Times New Roman" w:hAnsi="Times New Roman" w:eastAsia="宋体" w:cs="Times New Roman"/>
                      <w:color w:val="auto"/>
                      <w:sz w:val="21"/>
                      <w:szCs w:val="21"/>
                      <w:highlight w:val="none"/>
                    </w:rPr>
                    <w:t>标准。不会降低区域声环境质量现状。</w:t>
                  </w:r>
                </w:p>
                <w:p w14:paraId="4788A5B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②租用</w:t>
                  </w:r>
                  <w:r>
                    <w:rPr>
                      <w:rFonts w:hint="default" w:ascii="Times New Roman" w:hAnsi="Times New Roman" w:eastAsia="宋体" w:cs="Times New Roman"/>
                      <w:color w:val="auto"/>
                      <w:sz w:val="21"/>
                      <w:szCs w:val="21"/>
                      <w:highlight w:val="none"/>
                      <w:lang w:val="en-US" w:eastAsia="zh-CN"/>
                    </w:rPr>
                    <w:t>项目</w:t>
                  </w:r>
                  <w:r>
                    <w:rPr>
                      <w:rFonts w:hint="eastAsia" w:cs="Times New Roman"/>
                      <w:color w:val="auto"/>
                      <w:sz w:val="21"/>
                      <w:szCs w:val="21"/>
                      <w:highlight w:val="none"/>
                      <w:lang w:val="en-US" w:eastAsia="zh-CN"/>
                    </w:rPr>
                    <w:t>厂房四周</w:t>
                  </w:r>
                  <w:r>
                    <w:rPr>
                      <w:rFonts w:hint="default" w:ascii="Times New Roman" w:hAnsi="Times New Roman" w:eastAsia="宋体" w:cs="Times New Roman"/>
                      <w:color w:val="auto"/>
                      <w:sz w:val="21"/>
                      <w:szCs w:val="21"/>
                      <w:highlight w:val="none"/>
                      <w:lang w:val="en-US" w:eastAsia="zh-CN"/>
                    </w:rPr>
                    <w:t>分布一定面积的绿化</w:t>
                  </w:r>
                  <w:r>
                    <w:rPr>
                      <w:rFonts w:hint="eastAsia" w:cs="Times New Roman"/>
                      <w:color w:val="auto"/>
                      <w:sz w:val="21"/>
                      <w:szCs w:val="21"/>
                      <w:highlight w:val="none"/>
                      <w:lang w:val="en-US" w:eastAsia="zh-CN"/>
                    </w:rPr>
                    <w:t>。</w:t>
                  </w:r>
                </w:p>
                <w:p w14:paraId="2FB56C3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③</w:t>
                  </w:r>
                  <w:r>
                    <w:rPr>
                      <w:rFonts w:hint="default" w:ascii="Times New Roman" w:hAnsi="Times New Roman" w:eastAsia="宋体" w:cs="Times New Roman"/>
                      <w:color w:val="auto"/>
                      <w:sz w:val="21"/>
                      <w:szCs w:val="21"/>
                      <w:highlight w:val="none"/>
                      <w:lang w:val="en-US" w:eastAsia="zh-CN"/>
                    </w:rPr>
                    <w:t>拌料机</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上料机</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注塑机、破碎机</w:t>
                  </w:r>
                  <w:r>
                    <w:rPr>
                      <w:rFonts w:hint="default" w:ascii="Times New Roman" w:hAnsi="Times New Roman" w:eastAsia="宋体" w:cs="Times New Roman"/>
                      <w:color w:val="auto"/>
                      <w:kern w:val="0"/>
                      <w:sz w:val="21"/>
                      <w:szCs w:val="21"/>
                      <w:lang w:val="en-US" w:eastAsia="zh-CN"/>
                    </w:rPr>
                    <w:t>等</w:t>
                  </w:r>
                  <w:r>
                    <w:rPr>
                      <w:rFonts w:hint="eastAsia" w:ascii="Times New Roman" w:hAnsi="Times New Roman" w:eastAsia="宋体" w:cs="Times New Roman"/>
                      <w:color w:val="auto"/>
                      <w:kern w:val="0"/>
                      <w:sz w:val="21"/>
                      <w:szCs w:val="21"/>
                      <w:lang w:val="en-US" w:eastAsia="zh-CN"/>
                    </w:rPr>
                    <w:t>高噪声设备</w:t>
                  </w:r>
                  <w:r>
                    <w:rPr>
                      <w:rFonts w:hint="default" w:ascii="Times New Roman" w:hAnsi="Times New Roman" w:eastAsia="宋体" w:cs="Times New Roman"/>
                      <w:color w:val="auto"/>
                      <w:kern w:val="0"/>
                      <w:sz w:val="21"/>
                      <w:szCs w:val="21"/>
                      <w:lang w:val="en-US" w:eastAsia="zh-CN"/>
                    </w:rPr>
                    <w:t>建设过程中实行</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同时设计、同时施工、同时验收</w:t>
                  </w:r>
                  <w:r>
                    <w:rPr>
                      <w:rFonts w:hint="eastAsia" w:cs="Times New Roman"/>
                      <w:color w:val="auto"/>
                      <w:kern w:val="0"/>
                      <w:sz w:val="21"/>
                      <w:szCs w:val="21"/>
                      <w:lang w:val="en-US" w:eastAsia="zh-CN"/>
                    </w:rPr>
                    <w:t>”</w:t>
                  </w:r>
                  <w:r>
                    <w:rPr>
                      <w:rFonts w:hint="eastAsia" w:ascii="Times New Roman" w:hAnsi="Times New Roman" w:eastAsia="宋体" w:cs="Times New Roman"/>
                      <w:color w:val="auto"/>
                      <w:kern w:val="0"/>
                      <w:sz w:val="21"/>
                      <w:szCs w:val="21"/>
                      <w:lang w:val="en-US" w:eastAsia="zh-CN"/>
                    </w:rPr>
                    <w:t>。</w:t>
                  </w:r>
                </w:p>
              </w:tc>
              <w:tc>
                <w:tcPr>
                  <w:tcW w:w="664" w:type="dxa"/>
                  <w:noWrap w:val="0"/>
                  <w:vAlign w:val="center"/>
                </w:tcPr>
                <w:p w14:paraId="5384B61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290C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4FBFA02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固体废物污染防治措施</w:t>
                  </w:r>
                </w:p>
              </w:tc>
              <w:tc>
                <w:tcPr>
                  <w:tcW w:w="3563" w:type="dxa"/>
                  <w:noWrap w:val="0"/>
                  <w:vAlign w:val="center"/>
                </w:tcPr>
                <w:p w14:paraId="144090D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①</w:t>
                  </w:r>
                  <w:r>
                    <w:rPr>
                      <w:rFonts w:hint="default" w:ascii="Times New Roman" w:hAnsi="Times New Roman" w:eastAsia="宋体" w:cs="Times New Roman"/>
                      <w:color w:val="auto"/>
                      <w:kern w:val="0"/>
                      <w:sz w:val="21"/>
                      <w:szCs w:val="21"/>
                    </w:rPr>
                    <w:t>园区不统一设置渣场，现有企业及未来入驻企业，禁止在园区内新建永久性固废处置渣场。临时渣场建设应严格按照《一般工业固体废物贮存和填埋污染控制标准》</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GB18599-2020</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的相关规定进行设置，充分采取防渗，防雨淋等措施</w:t>
                  </w:r>
                  <w:r>
                    <w:rPr>
                      <w:rFonts w:hint="default" w:ascii="Times New Roman" w:hAnsi="Times New Roman" w:eastAsia="宋体" w:cs="Times New Roman"/>
                      <w:color w:val="auto"/>
                      <w:kern w:val="0"/>
                      <w:sz w:val="21"/>
                      <w:szCs w:val="21"/>
                      <w:lang w:eastAsia="zh-CN"/>
                    </w:rPr>
                    <w:t>；</w:t>
                  </w:r>
                </w:p>
                <w:p w14:paraId="77CFD3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②</w:t>
                  </w:r>
                  <w:r>
                    <w:rPr>
                      <w:rFonts w:hint="default" w:ascii="Times New Roman" w:hAnsi="Times New Roman" w:eastAsia="宋体" w:cs="Times New Roman"/>
                      <w:color w:val="auto"/>
                      <w:kern w:val="0"/>
                      <w:sz w:val="21"/>
                      <w:szCs w:val="21"/>
                    </w:rPr>
                    <w:t>对工业固体废物中可以回收利用的进行充分综合利用，立足于在园区内加以消化。园区应加强工业固废管理，按“谁产生、谁负责”原则，要求园区企业对产生固体废物进行处置、储存，应将固体废物的性质、产生量、处置去向等向环保主管部门进行申报登记，严禁随意倾倒。调整产业结构，减少高资源消耗、高能耗企业，减少固废的产生。从清洁生产、循环经济角度控制工业固体废物产生量，引导企业系统内部减量化和循环利用，降低单位产品固体废物产量。提高综合利用率，加大工业固体废物综合利用技术的开发力度，促进固体废物重新进入生产循环系统，实现固体废物的回收、循环、利用及资源。</w:t>
                  </w:r>
                </w:p>
                <w:p w14:paraId="047ECF7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③</w:t>
                  </w:r>
                  <w:r>
                    <w:rPr>
                      <w:rFonts w:hint="default" w:ascii="Times New Roman" w:hAnsi="Times New Roman" w:eastAsia="宋体" w:cs="Times New Roman"/>
                      <w:color w:val="auto"/>
                      <w:kern w:val="0"/>
                      <w:sz w:val="21"/>
                      <w:szCs w:val="21"/>
                    </w:rPr>
                    <w:t>对于危险固废，需要按《危险废物贮存污染控制标准》</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GB18597</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rPr>
                    <w:t>2023</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的要求进行贮存，委托危险废物中心处理</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目前不能处置的废物，应在项目内妥善贮存。</w:t>
                  </w:r>
                  <w:r>
                    <w:rPr>
                      <w:rFonts w:hint="default" w:ascii="Times New Roman" w:hAnsi="Times New Roman" w:eastAsia="宋体" w:cs="Times New Roman"/>
                      <w:color w:val="auto"/>
                      <w:kern w:val="0"/>
                      <w:sz w:val="21"/>
                      <w:szCs w:val="21"/>
                      <w:lang w:val="en-US" w:eastAsia="zh-CN"/>
                    </w:rPr>
                    <w:t>严</w:t>
                  </w:r>
                  <w:r>
                    <w:rPr>
                      <w:rFonts w:hint="default" w:ascii="Times New Roman" w:hAnsi="Times New Roman" w:eastAsia="宋体" w:cs="Times New Roman"/>
                      <w:color w:val="auto"/>
                      <w:kern w:val="0"/>
                      <w:sz w:val="21"/>
                      <w:szCs w:val="21"/>
                    </w:rPr>
                    <w:t>格按照《中华人民共和国固体废物污染环境防治法》对危险废物污染环境污染防治的特别规定，做好危险废物的申报登记、处置和管理。强化危险废物管理。</w:t>
                  </w:r>
                </w:p>
                <w:p w14:paraId="3E9010D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④</w:t>
                  </w:r>
                  <w:r>
                    <w:rPr>
                      <w:rFonts w:hint="default" w:ascii="Times New Roman" w:hAnsi="Times New Roman" w:eastAsia="宋体" w:cs="Times New Roman"/>
                      <w:color w:val="auto"/>
                      <w:kern w:val="0"/>
                      <w:sz w:val="21"/>
                      <w:szCs w:val="21"/>
                    </w:rPr>
                    <w:t>规划区产生的生活垃圾则委托环卫部门统一收集并运至城市生活垃圾卫生填埋场进行处置</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制定地方商品进入和消费的指导性政策，限制过度包装商品的进入，建立消费品包装物回收体系，逐步取缔一次性餐具类商品的销售和使用。鼓励净菜类产业和相关服务体系的发展，减少厨房残余垃圾产生量</w:t>
                  </w:r>
                  <w:r>
                    <w:rPr>
                      <w:rFonts w:hint="default" w:ascii="Times New Roman" w:hAnsi="Times New Roman" w:eastAsia="宋体" w:cs="Times New Roman"/>
                      <w:color w:val="auto"/>
                      <w:kern w:val="0"/>
                      <w:sz w:val="21"/>
                      <w:szCs w:val="21"/>
                      <w:lang w:eastAsia="zh-CN"/>
                    </w:rPr>
                    <w:t>；</w:t>
                  </w:r>
                </w:p>
                <w:p w14:paraId="6C882B6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kern w:val="0"/>
                      <w:sz w:val="21"/>
                      <w:szCs w:val="21"/>
                      <w:lang w:val="en-US" w:eastAsia="zh-CN"/>
                    </w:rPr>
                    <w:t>⑤</w:t>
                  </w:r>
                  <w:r>
                    <w:rPr>
                      <w:rFonts w:hint="default" w:ascii="Times New Roman" w:hAnsi="Times New Roman" w:eastAsia="宋体" w:cs="Times New Roman"/>
                      <w:color w:val="auto"/>
                      <w:kern w:val="0"/>
                      <w:sz w:val="21"/>
                      <w:szCs w:val="21"/>
                    </w:rPr>
                    <w:t>工程开挖土石方、建筑垃圾和施工人员生活垃圾要及时清运，以免给周围环境带来影响。</w:t>
                  </w:r>
                </w:p>
              </w:tc>
              <w:tc>
                <w:tcPr>
                  <w:tcW w:w="3001" w:type="dxa"/>
                  <w:noWrap w:val="0"/>
                  <w:vAlign w:val="center"/>
                </w:tcPr>
                <w:p w14:paraId="0D44260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①本项目区不新建永久性固废处置渣场。</w:t>
                  </w:r>
                </w:p>
                <w:p w14:paraId="2C818DC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②本项目生产产生边角料、不合格塑料筐破碎后回用于生产，实现企业内部循环利用；废包装材料等一般固废外售回收单位综合利用。项目遵循“谁产生、谁负责”，固废产生种类、产生量、处置去向按要求向生态环境部门申报登记，严禁随意倾倒。项目属于轻工注塑行业，资源消耗低，通过内部回用实现固废减量化，固废综合利用率100%。</w:t>
                  </w:r>
                </w:p>
                <w:p w14:paraId="0652AC5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③项目产生的危险废物包括</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eastAsia" w:cs="Times New Roman"/>
                      <w:color w:val="auto"/>
                      <w:sz w:val="21"/>
                      <w:szCs w:val="21"/>
                      <w:highlight w:val="none"/>
                      <w:lang w:val="en-US" w:eastAsia="zh-CN"/>
                    </w:rPr>
                    <w:t>，在厂区设置密闭危废贮存库，严格按照GB18597-2023规范贮存；危废定期委托具备相应资质单位清运处置；按固废法要求落实危险废物台账、申报登记、转移联单等管理要求。</w:t>
                  </w:r>
                </w:p>
                <w:p w14:paraId="07AE372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④项目生活垃圾由厂区分类收集后，委托园区环卫部门统一清运至生活垃圾填埋场处置；本项目不涉及一次性餐具、净菜加工，本条中包装物、一次性餐具管控内容不涉及。</w:t>
                  </w:r>
                </w:p>
                <w:p w14:paraId="4298A54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⑤施工期建筑垃圾分类收集，</w:t>
                  </w:r>
                  <w:r>
                    <w:rPr>
                      <w:rFonts w:hint="default" w:ascii="Times New Roman" w:hAnsi="Times New Roman" w:eastAsia="宋体" w:cs="Times New Roman"/>
                      <w:color w:val="auto"/>
                      <w:sz w:val="21"/>
                      <w:szCs w:val="21"/>
                    </w:rPr>
                    <w:t>可回收利用部分收集后外售，不可利用部分运输至建筑垃圾消纳处置场</w:t>
                  </w:r>
                  <w:r>
                    <w:rPr>
                      <w:rFonts w:hint="eastAsia" w:cs="Times New Roman"/>
                      <w:color w:val="auto"/>
                      <w:sz w:val="21"/>
                      <w:szCs w:val="21"/>
                      <w:highlight w:val="none"/>
                      <w:lang w:val="en-US" w:eastAsia="zh-CN"/>
                    </w:rPr>
                    <w:t>；施工期生活垃圾集中收集，交由环卫及时清运，避免污染周边环境。</w:t>
                  </w:r>
                </w:p>
              </w:tc>
              <w:tc>
                <w:tcPr>
                  <w:tcW w:w="664" w:type="dxa"/>
                  <w:noWrap w:val="0"/>
                  <w:vAlign w:val="center"/>
                </w:tcPr>
                <w:p w14:paraId="6D42DCB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4E1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509DD17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生态环境影响减缓措施</w:t>
                  </w:r>
                </w:p>
              </w:tc>
              <w:tc>
                <w:tcPr>
                  <w:tcW w:w="3563" w:type="dxa"/>
                  <w:noWrap w:val="0"/>
                  <w:vAlign w:val="center"/>
                </w:tcPr>
                <w:p w14:paraId="1FEBF3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①</w:t>
                  </w:r>
                  <w:r>
                    <w:rPr>
                      <w:rFonts w:hint="default" w:ascii="Times New Roman" w:hAnsi="Times New Roman" w:eastAsia="宋体" w:cs="Times New Roman"/>
                      <w:color w:val="auto"/>
                      <w:kern w:val="0"/>
                      <w:sz w:val="21"/>
                      <w:szCs w:val="21"/>
                    </w:rPr>
                    <w:t>强化规划区内项目建设施工期生态保护</w:t>
                  </w:r>
                  <w:r>
                    <w:rPr>
                      <w:rFonts w:hint="default" w:ascii="Times New Roman" w:hAnsi="Times New Roman" w:eastAsia="宋体" w:cs="Times New Roman"/>
                      <w:color w:val="auto"/>
                      <w:kern w:val="0"/>
                      <w:sz w:val="21"/>
                      <w:szCs w:val="21"/>
                      <w:lang w:eastAsia="zh-CN"/>
                    </w:rPr>
                    <w:t>；</w:t>
                  </w:r>
                </w:p>
                <w:p w14:paraId="689A46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②</w:t>
                  </w:r>
                  <w:r>
                    <w:rPr>
                      <w:rFonts w:hint="default" w:ascii="Times New Roman" w:hAnsi="Times New Roman" w:eastAsia="宋体" w:cs="Times New Roman"/>
                      <w:color w:val="auto"/>
                      <w:kern w:val="0"/>
                      <w:sz w:val="21"/>
                      <w:szCs w:val="21"/>
                    </w:rPr>
                    <w:t>优先进行生态</w:t>
                  </w:r>
                  <w:r>
                    <w:rPr>
                      <w:rFonts w:hint="default" w:ascii="Times New Roman" w:hAnsi="Times New Roman" w:eastAsia="宋体" w:cs="Times New Roman"/>
                      <w:color w:val="auto"/>
                      <w:kern w:val="0"/>
                      <w:sz w:val="21"/>
                      <w:szCs w:val="21"/>
                      <w:lang w:eastAsia="zh-CN"/>
                    </w:rPr>
                    <w:t>基础设施</w:t>
                  </w:r>
                  <w:r>
                    <w:rPr>
                      <w:rFonts w:hint="default" w:ascii="Times New Roman" w:hAnsi="Times New Roman" w:eastAsia="宋体" w:cs="Times New Roman"/>
                      <w:color w:val="auto"/>
                      <w:kern w:val="0"/>
                      <w:sz w:val="21"/>
                      <w:szCs w:val="21"/>
                    </w:rPr>
                    <w:t>建设</w:t>
                  </w:r>
                  <w:r>
                    <w:rPr>
                      <w:rFonts w:hint="default" w:ascii="Times New Roman" w:hAnsi="Times New Roman" w:eastAsia="宋体" w:cs="Times New Roman"/>
                      <w:color w:val="auto"/>
                      <w:kern w:val="0"/>
                      <w:sz w:val="21"/>
                      <w:szCs w:val="21"/>
                      <w:lang w:eastAsia="zh-CN"/>
                    </w:rPr>
                    <w:t>；</w:t>
                  </w:r>
                </w:p>
                <w:p w14:paraId="75610E3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③</w:t>
                  </w:r>
                  <w:r>
                    <w:rPr>
                      <w:rFonts w:hint="default" w:ascii="Times New Roman" w:hAnsi="Times New Roman" w:eastAsia="宋体" w:cs="Times New Roman"/>
                      <w:color w:val="auto"/>
                      <w:kern w:val="0"/>
                      <w:sz w:val="21"/>
                      <w:szCs w:val="21"/>
                    </w:rPr>
                    <w:t>建立长效而稳定的生态保护和生态建设机制</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强化城乡建设、土地利用、环境保护、文物保护、林地保护、综合交通</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水资源、文化旅游、社会事业等各类规划的衔接，确保产业园区的保护空间</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开发边界、建设规模等重要参数一致</w:t>
                  </w:r>
                  <w:r>
                    <w:rPr>
                      <w:rFonts w:hint="default" w:ascii="Times New Roman" w:hAnsi="Times New Roman" w:eastAsia="宋体" w:cs="Times New Roman"/>
                      <w:color w:val="auto"/>
                      <w:kern w:val="0"/>
                      <w:sz w:val="21"/>
                      <w:szCs w:val="21"/>
                      <w:lang w:eastAsia="zh-CN"/>
                    </w:rPr>
                    <w:t>；</w:t>
                  </w:r>
                </w:p>
                <w:p w14:paraId="014BA38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④</w:t>
                  </w:r>
                  <w:r>
                    <w:rPr>
                      <w:rFonts w:hint="default" w:ascii="Times New Roman" w:hAnsi="Times New Roman" w:eastAsia="宋体" w:cs="Times New Roman"/>
                      <w:color w:val="auto"/>
                      <w:kern w:val="0"/>
                      <w:sz w:val="21"/>
                      <w:szCs w:val="21"/>
                    </w:rPr>
                    <w:t>注重生态环境保护的管理和宣传教育</w:t>
                  </w:r>
                  <w:r>
                    <w:rPr>
                      <w:rFonts w:hint="default" w:ascii="Times New Roman" w:hAnsi="Times New Roman" w:eastAsia="宋体" w:cs="Times New Roman"/>
                      <w:color w:val="auto"/>
                      <w:kern w:val="0"/>
                      <w:sz w:val="21"/>
                      <w:szCs w:val="21"/>
                      <w:lang w:eastAsia="zh-CN"/>
                    </w:rPr>
                    <w:t>；</w:t>
                  </w:r>
                </w:p>
                <w:p w14:paraId="2E7BB6E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⑤</w:t>
                  </w:r>
                  <w:r>
                    <w:rPr>
                      <w:rFonts w:hint="default" w:ascii="Times New Roman" w:hAnsi="Times New Roman" w:eastAsia="宋体" w:cs="Times New Roman"/>
                      <w:color w:val="auto"/>
                      <w:kern w:val="0"/>
                      <w:sz w:val="21"/>
                      <w:szCs w:val="21"/>
                    </w:rPr>
                    <w:t>规划实施建设活动时应尽量避开耕地、林地，尽量选择在灌草丛、荒地等植被较差或未开发利用的区域，以减少对植被的破坏</w:t>
                  </w:r>
                  <w:r>
                    <w:rPr>
                      <w:rFonts w:hint="default" w:ascii="Times New Roman" w:hAnsi="Times New Roman" w:eastAsia="宋体" w:cs="Times New Roman"/>
                      <w:color w:val="auto"/>
                      <w:kern w:val="0"/>
                      <w:sz w:val="21"/>
                      <w:szCs w:val="21"/>
                      <w:lang w:eastAsia="zh-CN"/>
                    </w:rPr>
                    <w:t>，</w:t>
                  </w:r>
                </w:p>
                <w:p w14:paraId="09F43A6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rPr>
                    <w:t>⑥</w:t>
                  </w:r>
                  <w:r>
                    <w:rPr>
                      <w:rFonts w:hint="default" w:ascii="Times New Roman" w:hAnsi="Times New Roman" w:eastAsia="宋体" w:cs="Times New Roman"/>
                      <w:color w:val="auto"/>
                      <w:kern w:val="0"/>
                      <w:sz w:val="21"/>
                      <w:szCs w:val="21"/>
                    </w:rPr>
                    <w:t>在保证质量的情况下尽量缩短工期，从而尽量减少对占地范围环境的扰动</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施工结束后，对施工现场进行迹地清理，尽早开展植被恢复和复垦，植被的恢复必须按照当地的实际情况，针对不同的土壤条件、气候条件以及坡度、海拔等条件进行乔灌草的合理配置，建立起植被与生境水分条件相符合的群落生态关系，优先选用乡土物种进行植被恢复，禁止引入外来入侵物种。</w:t>
                  </w:r>
                </w:p>
                <w:p w14:paraId="5B1E0B9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kern w:val="0"/>
                      <w:sz w:val="21"/>
                      <w:szCs w:val="21"/>
                      <w:lang w:val="en-US" w:eastAsia="zh-CN"/>
                    </w:rPr>
                    <w:t>⑦</w:t>
                  </w:r>
                  <w:r>
                    <w:rPr>
                      <w:rFonts w:hint="default" w:ascii="Times New Roman" w:hAnsi="Times New Roman" w:eastAsia="宋体" w:cs="Times New Roman"/>
                      <w:color w:val="auto"/>
                      <w:kern w:val="0"/>
                      <w:sz w:val="21"/>
                      <w:szCs w:val="21"/>
                    </w:rPr>
                    <w:t>工程施工应分散分区进行，开挖面要及时种上草皮，缩短裸露面的暴露时间，减少水土流失。在施工过程中，控制地表破坏程度，尽量保护周围的土壤和植被，要严格按照施工规划尽可能少占地。合理布设施工场地，减少土地占用。施工单位要做好相应的施工组织与管理工作，尽量缩短工期。及时清理施工现场，不得遗留任何固体废物、建</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构</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筑物的残体、生活垃圾和</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石</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方等，某些关键节点采取临时围挡进行封闭施工。</w:t>
                  </w:r>
                </w:p>
              </w:tc>
              <w:tc>
                <w:tcPr>
                  <w:tcW w:w="3001" w:type="dxa"/>
                  <w:noWrap w:val="0"/>
                  <w:vAlign w:val="center"/>
                </w:tcPr>
                <w:p w14:paraId="29A5319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①本项目租用已建成闲置厂房进行建设，不涉及土建施工；施工阶段仅开展简单设备安装，施工期采取物料运输</w:t>
                  </w:r>
                  <w:r>
                    <w:rPr>
                      <w:rFonts w:hint="default" w:ascii="Times New Roman" w:hAnsi="Times New Roman" w:eastAsia="宋体" w:cs="Times New Roman"/>
                      <w:color w:val="auto"/>
                      <w:sz w:val="21"/>
                      <w:szCs w:val="21"/>
                    </w:rPr>
                    <w:t>车辆采取遮盖密闭</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物料</w:t>
                  </w:r>
                  <w:r>
                    <w:rPr>
                      <w:rFonts w:hint="eastAsia" w:cs="Times New Roman"/>
                      <w:color w:val="auto"/>
                      <w:sz w:val="21"/>
                      <w:szCs w:val="21"/>
                      <w:lang w:val="en-US" w:eastAsia="zh-CN"/>
                    </w:rPr>
                    <w:t>于</w:t>
                  </w:r>
                  <w:r>
                    <w:rPr>
                      <w:rFonts w:hint="eastAsia" w:ascii="Times New Roman" w:hAnsi="Times New Roman" w:eastAsia="宋体" w:cs="Times New Roman"/>
                      <w:color w:val="auto"/>
                      <w:sz w:val="21"/>
                      <w:szCs w:val="21"/>
                      <w:lang w:val="en-US" w:eastAsia="zh-CN"/>
                    </w:rPr>
                    <w:t>厂房内堆放、进出场地车辆慢行等</w:t>
                  </w:r>
                  <w:r>
                    <w:rPr>
                      <w:rFonts w:hint="eastAsia" w:cs="Times New Roman"/>
                      <w:color w:val="auto"/>
                      <w:sz w:val="21"/>
                      <w:szCs w:val="21"/>
                      <w:highlight w:val="none"/>
                      <w:lang w:val="en-US" w:eastAsia="zh-CN"/>
                    </w:rPr>
                    <w:t>扬尘防控措施、无外排废水、固废及时清理等生态保护措施，降低施工活动对区域生态环境的扰动。</w:t>
                  </w:r>
                </w:p>
                <w:p w14:paraId="5888A47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②项目利用现有厂区已建成的绿化、排水等生态基础设施，不新增大规模场地开挖；运营期维护厂区现有绿化设施，发挥生态基础设施水土保持、生态缓冲功能。</w:t>
                  </w:r>
                </w:p>
                <w:p w14:paraId="305BA1B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③项目选址位于</w:t>
                  </w:r>
                  <w:r>
                    <w:rPr>
                      <w:rFonts w:hint="default" w:ascii="Times New Roman" w:hAnsi="Times New Roman" w:eastAsia="宋体" w:cs="Times New Roman"/>
                      <w:color w:val="auto"/>
                      <w:kern w:val="0"/>
                      <w:sz w:val="24"/>
                      <w:highlight w:val="none"/>
                    </w:rPr>
                    <w:t>寻甸产业园区</w:t>
                  </w:r>
                  <w:r>
                    <w:rPr>
                      <w:rFonts w:hint="eastAsia" w:cs="Times New Roman"/>
                      <w:color w:val="auto"/>
                      <w:sz w:val="21"/>
                      <w:szCs w:val="21"/>
                      <w:highlight w:val="none"/>
                      <w:lang w:val="en-US" w:eastAsia="zh-CN"/>
                    </w:rPr>
                    <w:t>（金所片区）产业用地范围内，用地性质符合园区土地利用规划；项目建设内容与园区开发边界、管控要求保持一致，与环境保护、土地利用规划相衔接。</w:t>
                  </w:r>
                </w:p>
                <w:p w14:paraId="16A60C1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④项目运营后建立厂区生态环境管理台账，定期对厂区员工开展生态环境保护、污染防控等宣传教育，落实生态环境日常管理。</w:t>
                  </w:r>
                </w:p>
                <w:p w14:paraId="0BCFDAD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⑤本项目租用园区内已建成厂房，不新征土地，不占用耕地、林地；施工不涉及土表开挖，不会破坏原生植被。</w:t>
                  </w:r>
                </w:p>
                <w:p w14:paraId="5D6CE35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⑥本项目施工仅进行设备安装，工程量小、施工工期短，对环境扰动轻微；施工结束后及时清理施工迹地；厂区现有绿化均为本地乡土植物，不引入外来入侵物种，无需新增大面积植被复垦工程。</w:t>
                  </w:r>
                </w:p>
                <w:p w14:paraId="196696C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⑦项目利用现有厂房进行建设，不涉及土方开挖，不存在裸露开挖面；施工仅设备安装，施工期合理规划施工区域，少占地；施工结束后及时清理建筑垃圾、生活垃圾，不留废弃物，减少水土流失风险。</w:t>
                  </w:r>
                </w:p>
              </w:tc>
              <w:tc>
                <w:tcPr>
                  <w:tcW w:w="664" w:type="dxa"/>
                  <w:noWrap w:val="0"/>
                  <w:vAlign w:val="center"/>
                </w:tcPr>
                <w:p w14:paraId="4FB04F8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70C8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0" w:type="dxa"/>
                  <w:noWrap w:val="0"/>
                  <w:vAlign w:val="center"/>
                </w:tcPr>
                <w:p w14:paraId="0BF2C3D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事故及风险防范措施</w:t>
                  </w:r>
                </w:p>
              </w:tc>
              <w:tc>
                <w:tcPr>
                  <w:tcW w:w="3563" w:type="dxa"/>
                  <w:noWrap w:val="0"/>
                  <w:vAlign w:val="center"/>
                </w:tcPr>
                <w:p w14:paraId="43DA195A">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①</w:t>
                  </w:r>
                  <w:r>
                    <w:rPr>
                      <w:rFonts w:hint="default" w:ascii="Times New Roman" w:hAnsi="Times New Roman" w:eastAsia="宋体" w:cs="Times New Roman"/>
                      <w:color w:val="auto"/>
                      <w:kern w:val="0"/>
                      <w:sz w:val="21"/>
                      <w:szCs w:val="21"/>
                    </w:rPr>
                    <w:t>园区管委会应建立完善的安全、环保管理体制。</w:t>
                  </w:r>
                </w:p>
                <w:p w14:paraId="2E45D6DD">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②</w:t>
                  </w:r>
                  <w:r>
                    <w:rPr>
                      <w:rFonts w:hint="default" w:ascii="Times New Roman" w:hAnsi="Times New Roman" w:eastAsia="宋体" w:cs="Times New Roman"/>
                      <w:color w:val="auto"/>
                      <w:kern w:val="0"/>
                      <w:sz w:val="21"/>
                      <w:szCs w:val="21"/>
                    </w:rPr>
                    <w:t>加强园区内企业的环境监督管理。</w:t>
                  </w:r>
                </w:p>
                <w:p w14:paraId="1C23A111">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③</w:t>
                  </w:r>
                  <w:r>
                    <w:rPr>
                      <w:rFonts w:hint="default" w:ascii="Times New Roman" w:hAnsi="Times New Roman" w:eastAsia="宋体" w:cs="Times New Roman"/>
                      <w:color w:val="auto"/>
                      <w:kern w:val="0"/>
                      <w:sz w:val="21"/>
                      <w:szCs w:val="21"/>
                    </w:rPr>
                    <w:t>规划实施过程中，园区管委会和环保部门对进驻园区企业进行风险排查，掌握园区企业危险化学品使用、贮存和生产情况。</w:t>
                  </w:r>
                </w:p>
                <w:p w14:paraId="7E9E3483">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④</w:t>
                  </w:r>
                  <w:r>
                    <w:rPr>
                      <w:rFonts w:hint="default" w:ascii="Times New Roman" w:hAnsi="Times New Roman" w:eastAsia="宋体" w:cs="Times New Roman"/>
                      <w:color w:val="auto"/>
                      <w:kern w:val="0"/>
                      <w:sz w:val="21"/>
                      <w:szCs w:val="21"/>
                    </w:rPr>
                    <w:t>企业进驻园区时，根据进驻企业的生产规模、产品方案、工艺流程以及危险化学品使用、贮存和生产情况，对进驻企业按照《建设项目环境风险评价技术导则》</w:t>
                  </w:r>
                  <w:r>
                    <w:rPr>
                      <w:rFonts w:hint="eastAsia" w:cs="Times New Roman"/>
                      <w:color w:val="auto"/>
                      <w:kern w:val="0"/>
                      <w:sz w:val="21"/>
                      <w:szCs w:val="21"/>
                      <w:lang w:eastAsia="zh-CN"/>
                    </w:rPr>
                    <w:t>（HJ 169-2018）</w:t>
                  </w:r>
                  <w:r>
                    <w:rPr>
                      <w:rFonts w:hint="default" w:ascii="Times New Roman" w:hAnsi="Times New Roman" w:eastAsia="宋体" w:cs="Times New Roman"/>
                      <w:color w:val="auto"/>
                      <w:kern w:val="0"/>
                      <w:sz w:val="21"/>
                      <w:szCs w:val="21"/>
                    </w:rPr>
                    <w:t>的要求进行环境风险评价，提出各项目的环境风险防范措施和应急预案，确定各项目的安全防护距离。</w:t>
                  </w:r>
                </w:p>
                <w:p w14:paraId="01884929">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⑤</w:t>
                  </w:r>
                  <w:r>
                    <w:rPr>
                      <w:rFonts w:hint="default" w:ascii="Times New Roman" w:hAnsi="Times New Roman" w:eastAsia="宋体" w:cs="Times New Roman"/>
                      <w:color w:val="auto"/>
                      <w:kern w:val="0"/>
                      <w:sz w:val="21"/>
                      <w:szCs w:val="21"/>
                    </w:rPr>
                    <w:t>根据进驻项目可能发生的风险事故和清消废水产生量，对存在环境风险的项目，在进行设计施工时，设置清消废水收集池，清消废水经收集处理达标后才能外排。</w:t>
                  </w:r>
                </w:p>
                <w:p w14:paraId="0098C597">
                  <w:pPr>
                    <w:keepNext w:val="0"/>
                    <w:keepLines w:val="0"/>
                    <w:pageBreakBefore w:val="0"/>
                    <w:suppressLineNumbers w:val="0"/>
                    <w:kinsoku/>
                    <w:overflowPunct/>
                    <w:topLinePunct w:val="0"/>
                    <w:autoSpaceDE w:val="0"/>
                    <w:autoSpaceDN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⑥</w:t>
                  </w:r>
                  <w:r>
                    <w:rPr>
                      <w:rFonts w:hint="default" w:ascii="Times New Roman" w:hAnsi="Times New Roman" w:eastAsia="宋体" w:cs="Times New Roman"/>
                      <w:color w:val="auto"/>
                      <w:kern w:val="0"/>
                      <w:sz w:val="21"/>
                      <w:szCs w:val="21"/>
                    </w:rPr>
                    <w:t>对于涉及使用易燃易爆危险化学品的企业进驻园区时，园区管委会应要求企业做好该距离范围内的火灾、爆炸防护工作，通过对进驻企业进行安全或风险评价，提出合理的防护距离，在该距离范围内，不得堆放易燃、易爆、有毒有害等危险化学品，并预留消防通道。</w:t>
                  </w:r>
                </w:p>
                <w:p w14:paraId="76D7D55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kern w:val="0"/>
                      <w:sz w:val="21"/>
                      <w:szCs w:val="21"/>
                      <w:lang w:val="en-US" w:eastAsia="zh-CN"/>
                    </w:rPr>
                    <w:t>⑦</w:t>
                  </w:r>
                  <w:r>
                    <w:rPr>
                      <w:rFonts w:hint="default" w:ascii="Times New Roman" w:hAnsi="Times New Roman" w:eastAsia="宋体" w:cs="Times New Roman"/>
                      <w:color w:val="auto"/>
                      <w:kern w:val="0"/>
                      <w:sz w:val="21"/>
                      <w:szCs w:val="21"/>
                    </w:rPr>
                    <w:t>园区周围环境目标众多，环境敏感程度较高，限制根据《建设项目环境风险评价技术导则》</w:t>
                  </w:r>
                  <w:r>
                    <w:rPr>
                      <w:rFonts w:hint="eastAsia" w:cs="Times New Roman"/>
                      <w:color w:val="auto"/>
                      <w:kern w:val="0"/>
                      <w:sz w:val="21"/>
                      <w:szCs w:val="21"/>
                      <w:lang w:eastAsia="zh-CN"/>
                    </w:rPr>
                    <w:t>（HJ 169-2018）</w:t>
                  </w:r>
                  <w:r>
                    <w:rPr>
                      <w:rFonts w:hint="default" w:ascii="Times New Roman" w:hAnsi="Times New Roman" w:eastAsia="宋体" w:cs="Times New Roman"/>
                      <w:color w:val="auto"/>
                      <w:kern w:val="0"/>
                      <w:sz w:val="21"/>
                      <w:szCs w:val="21"/>
                    </w:rPr>
                    <w:t>判定的极高危害企业</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P1</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入驻</w:t>
                  </w:r>
                  <w:r>
                    <w:rPr>
                      <w:rFonts w:hint="default" w:ascii="Times New Roman" w:hAnsi="Times New Roman" w:eastAsia="宋体" w:cs="Times New Roman"/>
                      <w:color w:val="auto"/>
                      <w:kern w:val="0"/>
                      <w:sz w:val="21"/>
                      <w:szCs w:val="21"/>
                      <w:lang w:val="en-US" w:eastAsia="zh-CN"/>
                    </w:rPr>
                    <w:t>。</w:t>
                  </w:r>
                </w:p>
              </w:tc>
              <w:tc>
                <w:tcPr>
                  <w:tcW w:w="3001" w:type="dxa"/>
                  <w:noWrap w:val="0"/>
                  <w:vAlign w:val="center"/>
                </w:tcPr>
                <w:p w14:paraId="276E130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①企业内部建立自身安全环保管理制度，落实岗位环境安全职责，配合园区管理体制运行。</w:t>
                  </w:r>
                </w:p>
                <w:p w14:paraId="37EFA3A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②项目建成运营后，自觉接受园区管委会及生态环境主管部门日常环境监督检查，按要求落实自行监测、台账记录等管理要求。</w:t>
                  </w:r>
                </w:p>
                <w:p w14:paraId="4A2B758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③本项目原辅材料、危废种类、储存量如实上报园区及生态环境部门；配合园区开展环境风险排查，如实提供危险物质贮存、管理相关资料。</w:t>
                  </w:r>
                </w:p>
                <w:p w14:paraId="48A8126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④</w:t>
                  </w:r>
                  <w:r>
                    <w:rPr>
                      <w:rFonts w:hint="eastAsia" w:cs="Times New Roman"/>
                      <w:color w:val="auto"/>
                      <w:sz w:val="21"/>
                      <w:szCs w:val="21"/>
                      <w:highlight w:val="none"/>
                      <w:lang w:val="en-US" w:eastAsia="zh-CN"/>
                    </w:rPr>
                    <w:t>项目建成后，企业</w:t>
                  </w:r>
                  <w:r>
                    <w:rPr>
                      <w:rFonts w:hint="default" w:ascii="Times New Roman" w:hAnsi="Times New Roman" w:eastAsia="宋体" w:cs="Times New Roman"/>
                      <w:color w:val="auto"/>
                      <w:sz w:val="21"/>
                      <w:szCs w:val="21"/>
                      <w:highlight w:val="none"/>
                      <w:lang w:val="en-US" w:eastAsia="zh-CN"/>
                    </w:rPr>
                    <w:t>按照</w:t>
                  </w:r>
                  <w:r>
                    <w:rPr>
                      <w:rFonts w:hint="eastAsia" w:cs="Times New Roman"/>
                      <w:color w:val="auto"/>
                      <w:sz w:val="21"/>
                      <w:szCs w:val="21"/>
                      <w:highlight w:val="none"/>
                      <w:lang w:val="en-US" w:eastAsia="zh-CN"/>
                    </w:rPr>
                    <w:t>HJ 169-2018</w:t>
                  </w:r>
                  <w:r>
                    <w:rPr>
                      <w:rFonts w:hint="default" w:ascii="Times New Roman" w:hAnsi="Times New Roman" w:eastAsia="宋体" w:cs="Times New Roman"/>
                      <w:color w:val="auto"/>
                      <w:sz w:val="21"/>
                      <w:szCs w:val="21"/>
                      <w:highlight w:val="none"/>
                      <w:lang w:val="en-US" w:eastAsia="zh-CN"/>
                    </w:rPr>
                    <w:t>开展环境风险评价，识别环境风险源，制定风险防控措施</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编制突发环境事件应急预案并报生态环境主管部门备案。</w:t>
                  </w:r>
                </w:p>
                <w:p w14:paraId="1CC34A3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⑤项目为塑料</w:t>
                  </w:r>
                  <w:r>
                    <w:rPr>
                      <w:rFonts w:hint="eastAsia" w:cs="Times New Roman"/>
                      <w:color w:val="auto"/>
                      <w:sz w:val="21"/>
                      <w:szCs w:val="21"/>
                      <w:highlight w:val="none"/>
                      <w:lang w:val="en-US" w:eastAsia="zh-CN"/>
                    </w:rPr>
                    <w:t>制品</w:t>
                  </w:r>
                  <w:r>
                    <w:rPr>
                      <w:rFonts w:hint="default" w:ascii="Times New Roman" w:hAnsi="Times New Roman" w:eastAsia="宋体" w:cs="Times New Roman"/>
                      <w:color w:val="auto"/>
                      <w:sz w:val="21"/>
                      <w:szCs w:val="21"/>
                      <w:highlight w:val="none"/>
                      <w:lang w:val="en-US" w:eastAsia="zh-CN"/>
                    </w:rPr>
                    <w:t>生产，项目原辅材料及污染物存量小，发生火灾等事故产生的消防废水量少；项目依托厂区现有防渗地面、</w:t>
                  </w:r>
                  <w:r>
                    <w:rPr>
                      <w:rFonts w:hint="eastAsia" w:cs="Times New Roman"/>
                      <w:color w:val="auto"/>
                      <w:sz w:val="21"/>
                      <w:szCs w:val="21"/>
                      <w:highlight w:val="none"/>
                      <w:lang w:val="en-US" w:eastAsia="zh-CN"/>
                    </w:rPr>
                    <w:t>危废贮存库</w:t>
                  </w:r>
                  <w:r>
                    <w:rPr>
                      <w:rFonts w:hint="default" w:ascii="Times New Roman" w:hAnsi="Times New Roman" w:eastAsia="宋体" w:cs="Times New Roman"/>
                      <w:color w:val="auto"/>
                      <w:sz w:val="21"/>
                      <w:szCs w:val="21"/>
                      <w:highlight w:val="none"/>
                      <w:lang w:val="en-US" w:eastAsia="zh-CN"/>
                    </w:rPr>
                    <w:t>围堰，可短</w:t>
                  </w:r>
                  <w:r>
                    <w:rPr>
                      <w:rFonts w:hint="eastAsia" w:cs="Times New Roman"/>
                      <w:color w:val="auto"/>
                      <w:sz w:val="21"/>
                      <w:szCs w:val="21"/>
                      <w:highlight w:val="none"/>
                      <w:lang w:val="en-US" w:eastAsia="zh-CN"/>
                    </w:rPr>
                    <w:t>时间</w:t>
                  </w:r>
                  <w:r>
                    <w:rPr>
                      <w:rFonts w:hint="default" w:ascii="Times New Roman" w:hAnsi="Times New Roman" w:eastAsia="宋体" w:cs="Times New Roman"/>
                      <w:color w:val="auto"/>
                      <w:sz w:val="21"/>
                      <w:szCs w:val="21"/>
                      <w:highlight w:val="none"/>
                      <w:lang w:val="en-US" w:eastAsia="zh-CN"/>
                    </w:rPr>
                    <w:t>截留事故消防废水，不单独设置应急收集池；一旦发生事故，消防废水可</w:t>
                  </w:r>
                  <w:r>
                    <w:rPr>
                      <w:rFonts w:hint="eastAsia" w:cs="Times New Roman"/>
                      <w:color w:val="auto"/>
                      <w:sz w:val="21"/>
                      <w:szCs w:val="21"/>
                      <w:highlight w:val="none"/>
                      <w:lang w:val="en-US" w:eastAsia="zh-CN"/>
                    </w:rPr>
                    <w:t>集中收集至厂区现有的污水处理</w:t>
                  </w:r>
                  <w:r>
                    <w:rPr>
                      <w:rFonts w:hint="default" w:ascii="Times New Roman" w:hAnsi="Times New Roman" w:eastAsia="宋体" w:cs="Times New Roman"/>
                      <w:color w:val="auto"/>
                      <w:sz w:val="21"/>
                      <w:szCs w:val="21"/>
                      <w:highlight w:val="none"/>
                      <w:lang w:val="en-US" w:eastAsia="zh-CN"/>
                    </w:rPr>
                    <w:t xml:space="preserve">系统处置，杜绝事故废水外溢污染环境。 </w:t>
                  </w:r>
                </w:p>
                <w:p w14:paraId="0ABCC99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⑥项目原辅材料为塑料颗粒，仅少量</w:t>
                  </w:r>
                  <w:r>
                    <w:rPr>
                      <w:rFonts w:hint="eastAsia" w:cs="Times New Roman"/>
                      <w:color w:val="auto"/>
                      <w:sz w:val="21"/>
                      <w:szCs w:val="21"/>
                      <w:highlight w:val="none"/>
                      <w:lang w:val="en-US" w:eastAsia="zh-CN"/>
                    </w:rPr>
                    <w:t>润滑油、柴油</w:t>
                  </w:r>
                  <w:r>
                    <w:rPr>
                      <w:rFonts w:hint="default" w:ascii="Times New Roman" w:hAnsi="Times New Roman" w:eastAsia="宋体" w:cs="Times New Roman"/>
                      <w:color w:val="auto"/>
                      <w:sz w:val="21"/>
                      <w:szCs w:val="21"/>
                      <w:highlight w:val="none"/>
                      <w:lang w:val="en-US" w:eastAsia="zh-CN"/>
                    </w:rPr>
                    <w:t>，不大量使用易燃易爆危险化学品；危废单独存放于危废间，不随意堆放危险物质，落实防火防护措施。</w:t>
                  </w:r>
                </w:p>
                <w:p w14:paraId="5C75D1A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⑦本项目经环境风险识别，</w:t>
                  </w:r>
                  <w:r>
                    <w:rPr>
                      <w:rFonts w:hint="default" w:ascii="Times New Roman" w:hAnsi="Times New Roman" w:eastAsia="宋体" w:cs="Times New Roman"/>
                      <w:color w:val="auto"/>
                      <w:sz w:val="21"/>
                      <w:szCs w:val="21"/>
                    </w:rPr>
                    <w:t>本项目Q</w:t>
                  </w:r>
                  <w:r>
                    <w:rPr>
                      <w:rFonts w:hint="eastAsia" w:cs="Times New Roman"/>
                      <w:color w:val="auto"/>
                      <w:sz w:val="21"/>
                      <w:szCs w:val="21"/>
                      <w:lang w:val="en-US" w:eastAsia="zh-CN"/>
                    </w:rPr>
                    <w:t>=</w:t>
                  </w:r>
                  <w:r>
                    <w:rPr>
                      <w:rFonts w:hint="default" w:ascii="Times New Roman" w:hAnsi="Times New Roman" w:eastAsia="宋体" w:cs="Times New Roman"/>
                      <w:i w:val="0"/>
                      <w:iCs w:val="0"/>
                      <w:color w:val="auto"/>
                      <w:kern w:val="0"/>
                      <w:sz w:val="21"/>
                      <w:szCs w:val="21"/>
                      <w:u w:val="none"/>
                      <w:lang w:val="en-US" w:eastAsia="zh-CN" w:bidi="ar"/>
                    </w:rPr>
                    <w:t>0.00024</w:t>
                  </w:r>
                  <w:r>
                    <w:rPr>
                      <w:rFonts w:hint="default" w:ascii="Times New Roman" w:hAnsi="Times New Roman" w:eastAsia="宋体" w:cs="Times New Roman"/>
                      <w:color w:val="auto"/>
                      <w:sz w:val="21"/>
                      <w:szCs w:val="21"/>
                    </w:rPr>
                    <w:t>&lt;1，环境风险潜势为</w:t>
                  </w:r>
                  <w:r>
                    <w:rPr>
                      <w:rFonts w:hint="default" w:ascii="Times New Roman" w:hAnsi="Times New Roman" w:eastAsia="宋体" w:cs="Times New Roman"/>
                      <w:color w:val="auto"/>
                      <w:sz w:val="21"/>
                      <w:szCs w:val="21"/>
                    </w:rPr>
                    <w:fldChar w:fldCharType="begin"/>
                  </w:r>
                  <w:r>
                    <w:rPr>
                      <w:rFonts w:hint="default" w:ascii="Times New Roman" w:hAnsi="Times New Roman" w:eastAsia="宋体" w:cs="Times New Roman"/>
                      <w:color w:val="auto"/>
                      <w:sz w:val="21"/>
                      <w:szCs w:val="21"/>
                    </w:rPr>
                    <w:instrText xml:space="preserve"> = 1 \* ROMAN \* MERGEFORMAT </w:instrText>
                  </w:r>
                  <w:r>
                    <w:rPr>
                      <w:rFonts w:hint="default" w:ascii="Times New Roman" w:hAnsi="Times New Roman" w:eastAsia="宋体" w:cs="Times New Roman"/>
                      <w:color w:val="auto"/>
                      <w:sz w:val="21"/>
                      <w:szCs w:val="21"/>
                    </w:rPr>
                    <w:fldChar w:fldCharType="separate"/>
                  </w:r>
                  <w:r>
                    <w:rPr>
                      <w:rFonts w:hint="default" w:ascii="Times New Roman" w:hAnsi="Times New Roman" w:eastAsia="宋体" w:cs="Times New Roman"/>
                      <w:color w:val="auto"/>
                      <w:sz w:val="21"/>
                      <w:szCs w:val="21"/>
                    </w:rPr>
                    <w:t>I</w:t>
                  </w:r>
                  <w:r>
                    <w:rPr>
                      <w:rFonts w:hint="default" w:ascii="Times New Roman" w:hAnsi="Times New Roman" w:eastAsia="宋体" w:cs="Times New Roman"/>
                      <w:color w:val="auto"/>
                      <w:sz w:val="21"/>
                      <w:szCs w:val="21"/>
                    </w:rPr>
                    <w:fldChar w:fldCharType="end"/>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highlight w:val="none"/>
                      <w:lang w:val="en-US" w:eastAsia="zh-CN"/>
                    </w:rPr>
                    <w:t>不属于极高危害（P1）企业，满足园区准入管控要求。</w:t>
                  </w:r>
                </w:p>
              </w:tc>
              <w:tc>
                <w:tcPr>
                  <w:tcW w:w="664" w:type="dxa"/>
                  <w:noWrap w:val="0"/>
                  <w:vAlign w:val="center"/>
                </w:tcPr>
                <w:p w14:paraId="2C3DC7D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bl>
          <w:p w14:paraId="5602B1F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157" w:beforeLines="5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en-US" w:eastAsia="zh-CN"/>
              </w:rPr>
              <w:t>综上</w:t>
            </w:r>
            <w:r>
              <w:rPr>
                <w:rFonts w:hint="default" w:ascii="Times New Roman" w:hAnsi="Times New Roman" w:eastAsia="宋体" w:cs="Times New Roman"/>
                <w:color w:val="auto"/>
                <w:sz w:val="24"/>
                <w:szCs w:val="24"/>
                <w:highlight w:val="none"/>
                <w:lang w:val="zh-CN"/>
              </w:rPr>
              <w:t>，</w:t>
            </w:r>
            <w:r>
              <w:rPr>
                <w:rFonts w:hint="eastAsia"/>
                <w:color w:val="auto"/>
                <w:sz w:val="24"/>
                <w:szCs w:val="24"/>
                <w:lang w:val="en-US" w:eastAsia="zh-CN"/>
              </w:rPr>
              <w:t>项目建设与采取的污染防治措施满足</w:t>
            </w:r>
            <w:r>
              <w:rPr>
                <w:rFonts w:hint="default" w:ascii="Times New Roman" w:hAnsi="Times New Roman" w:eastAsia="宋体" w:cs="Times New Roman"/>
                <w:color w:val="auto"/>
                <w:sz w:val="24"/>
                <w:szCs w:val="24"/>
                <w:highlight w:val="none"/>
                <w:lang w:val="zh-CN"/>
              </w:rPr>
              <w:t>《云南寻甸产业园区总体规划修编（2021-2035）环境影响报告书》</w:t>
            </w:r>
            <w:r>
              <w:rPr>
                <w:rFonts w:hint="default" w:ascii="Times New Roman" w:hAnsi="Times New Roman" w:eastAsia="宋体" w:cs="Times New Roman"/>
                <w:color w:val="auto"/>
                <w:sz w:val="24"/>
                <w:szCs w:val="24"/>
                <w:highlight w:val="none"/>
                <w:lang w:val="en-US" w:eastAsia="zh-CN"/>
              </w:rPr>
              <w:t>中的</w:t>
            </w:r>
            <w:r>
              <w:rPr>
                <w:rFonts w:hint="default" w:ascii="Times New Roman" w:hAnsi="Times New Roman" w:eastAsia="宋体" w:cs="Times New Roman"/>
                <w:color w:val="auto"/>
                <w:sz w:val="24"/>
                <w:szCs w:val="24"/>
                <w:highlight w:val="none"/>
                <w:lang w:val="zh-CN"/>
              </w:rPr>
              <w:t>环境影响减缓措施相关要求。</w:t>
            </w:r>
          </w:p>
          <w:p w14:paraId="7435177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）园区</w:t>
            </w:r>
            <w:r>
              <w:rPr>
                <w:rFonts w:hint="default" w:ascii="Times New Roman" w:hAnsi="Times New Roman" w:eastAsia="宋体" w:cs="Times New Roman"/>
                <w:b/>
                <w:bCs/>
                <w:color w:val="auto"/>
                <w:sz w:val="24"/>
                <w:szCs w:val="24"/>
                <w:highlight w:val="none"/>
                <w:lang w:val="en-US" w:eastAsia="zh-CN"/>
              </w:rPr>
              <w:t>环境</w:t>
            </w:r>
            <w:r>
              <w:rPr>
                <w:rFonts w:hint="default" w:ascii="Times New Roman" w:hAnsi="Times New Roman" w:eastAsia="宋体" w:cs="Times New Roman"/>
                <w:b/>
                <w:bCs/>
                <w:color w:val="auto"/>
                <w:sz w:val="24"/>
                <w:szCs w:val="24"/>
                <w:highlight w:val="none"/>
                <w:lang w:val="zh-CN"/>
              </w:rPr>
              <w:t>准入负面清单</w:t>
            </w:r>
            <w:r>
              <w:rPr>
                <w:rFonts w:hint="default" w:ascii="Times New Roman" w:hAnsi="Times New Roman" w:eastAsia="宋体" w:cs="Times New Roman"/>
                <w:b/>
                <w:bCs/>
                <w:color w:val="auto"/>
                <w:sz w:val="24"/>
                <w:szCs w:val="24"/>
                <w:highlight w:val="none"/>
                <w:lang w:val="en-US" w:eastAsia="zh-CN"/>
              </w:rPr>
              <w:t>符合性分析</w:t>
            </w:r>
          </w:p>
          <w:p w14:paraId="2351332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rPr>
              <w:t>根据《云南寻甸产业园区总体规划修编（2021-2035）环境影响报告书》，园区</w:t>
            </w:r>
            <w:r>
              <w:rPr>
                <w:rFonts w:hint="default" w:ascii="Times New Roman" w:hAnsi="Times New Roman" w:eastAsia="宋体" w:cs="Times New Roman"/>
                <w:color w:val="auto"/>
                <w:sz w:val="24"/>
                <w:szCs w:val="24"/>
                <w:highlight w:val="none"/>
                <w:lang w:val="en-US" w:eastAsia="zh-CN"/>
              </w:rPr>
              <w:t>环境</w:t>
            </w:r>
            <w:r>
              <w:rPr>
                <w:rFonts w:hint="default" w:ascii="Times New Roman" w:hAnsi="Times New Roman" w:eastAsia="宋体" w:cs="Times New Roman"/>
                <w:color w:val="auto"/>
                <w:sz w:val="24"/>
                <w:szCs w:val="24"/>
                <w:highlight w:val="none"/>
                <w:lang w:val="zh-CN"/>
              </w:rPr>
              <w:t>准入负面清单及对照情况如下</w:t>
            </w:r>
            <w:r>
              <w:rPr>
                <w:rFonts w:hint="eastAsia" w:ascii="Times New Roman" w:hAnsi="Times New Roman" w:eastAsia="宋体" w:cs="Times New Roman"/>
                <w:color w:val="auto"/>
                <w:sz w:val="24"/>
                <w:szCs w:val="24"/>
                <w:highlight w:val="none"/>
                <w:lang w:val="zh-CN"/>
              </w:rPr>
              <w:t>。</w:t>
            </w:r>
          </w:p>
          <w:p w14:paraId="1F92642F">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pacing w:val="-2"/>
                <w:sz w:val="21"/>
                <w:szCs w:val="21"/>
                <w:highlight w:val="none"/>
                <w:lang w:val="en-US" w:eastAsia="zh-CN"/>
              </w:rPr>
            </w:pPr>
            <w:r>
              <w:rPr>
                <w:rFonts w:hint="default" w:ascii="Times New Roman" w:hAnsi="Times New Roman" w:eastAsia="宋体" w:cs="Times New Roman"/>
                <w:b/>
                <w:bCs/>
                <w:color w:val="auto"/>
                <w:spacing w:val="-2"/>
                <w:sz w:val="21"/>
                <w:szCs w:val="21"/>
                <w:highlight w:val="none"/>
                <w:lang w:val="en-US" w:eastAsia="zh-CN"/>
              </w:rPr>
              <w:t>表1-</w:t>
            </w:r>
            <w:r>
              <w:rPr>
                <w:rFonts w:hint="eastAsia" w:ascii="Times New Roman" w:hAnsi="Times New Roman" w:eastAsia="宋体" w:cs="Times New Roman"/>
                <w:b/>
                <w:bCs/>
                <w:color w:val="auto"/>
                <w:spacing w:val="-2"/>
                <w:sz w:val="21"/>
                <w:szCs w:val="21"/>
                <w:highlight w:val="none"/>
                <w:lang w:val="en-US" w:eastAsia="zh-CN"/>
              </w:rPr>
              <w:t>3</w:t>
            </w:r>
            <w:r>
              <w:rPr>
                <w:rFonts w:hint="default" w:ascii="Times New Roman" w:hAnsi="Times New Roman" w:eastAsia="宋体" w:cs="Times New Roman"/>
                <w:b/>
                <w:bCs/>
                <w:color w:val="auto"/>
                <w:spacing w:val="-2"/>
                <w:sz w:val="21"/>
                <w:szCs w:val="21"/>
                <w:highlight w:val="none"/>
                <w:lang w:val="en-US" w:eastAsia="zh-CN"/>
              </w:rPr>
              <w:t xml:space="preserve">  本项目与规划区环境准入条件负面清单对照情况表</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662"/>
              <w:gridCol w:w="3178"/>
              <w:gridCol w:w="2903"/>
              <w:gridCol w:w="692"/>
            </w:tblGrid>
            <w:tr w14:paraId="216C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3" w:type="pct"/>
                  <w:gridSpan w:val="3"/>
                  <w:noWrap w:val="0"/>
                  <w:vAlign w:val="center"/>
                </w:tcPr>
                <w:p w14:paraId="7E87E39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限制和禁止引进的项目和行业</w:t>
                  </w:r>
                </w:p>
              </w:tc>
              <w:tc>
                <w:tcPr>
                  <w:tcW w:w="1838" w:type="pct"/>
                  <w:noWrap w:val="0"/>
                  <w:vAlign w:val="center"/>
                </w:tcPr>
                <w:p w14:paraId="67DA96C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本项目情况</w:t>
                  </w:r>
                </w:p>
              </w:tc>
              <w:tc>
                <w:tcPr>
                  <w:tcW w:w="438" w:type="pct"/>
                  <w:noWrap w:val="0"/>
                  <w:vAlign w:val="center"/>
                </w:tcPr>
                <w:p w14:paraId="678CB27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w:t>
                  </w:r>
                </w:p>
              </w:tc>
            </w:tr>
            <w:tr w14:paraId="2D02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restart"/>
                  <w:noWrap w:val="0"/>
                  <w:vAlign w:val="center"/>
                </w:tcPr>
                <w:p w14:paraId="4B1B1DB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总体要求</w:t>
                  </w:r>
                </w:p>
              </w:tc>
              <w:tc>
                <w:tcPr>
                  <w:tcW w:w="419" w:type="pct"/>
                  <w:noWrap w:val="0"/>
                  <w:vAlign w:val="center"/>
                </w:tcPr>
                <w:p w14:paraId="3D8F35D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禁入行业</w:t>
                  </w:r>
                </w:p>
              </w:tc>
              <w:tc>
                <w:tcPr>
                  <w:tcW w:w="2011" w:type="pct"/>
                  <w:noWrap w:val="0"/>
                  <w:vAlign w:val="center"/>
                </w:tcPr>
                <w:p w14:paraId="1A2C3AC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（1）《产业结构调整指导目录（201</w:t>
                  </w: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年本）》（或更新）中禁止、限制类的行业。</w:t>
                  </w:r>
                </w:p>
                <w:p w14:paraId="768487A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（2）《外商投资产业指导目录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2017年修订</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》（或更新）中</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禁止类。</w:t>
                  </w:r>
                </w:p>
                <w:p w14:paraId="5C6FD833">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（3）严禁不符合要求的高风险高污染行业入驻。</w:t>
                  </w:r>
                </w:p>
                <w:p w14:paraId="3DB706FF">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（4）禁止引入其他不在园区产业定位、不符合园区环保要求项目，如造纸制浆、印染、染料、制革、炼焦、炼硫、炼砷、炼油、有色金属等项目。</w:t>
                  </w:r>
                </w:p>
                <w:p w14:paraId="37AE2CDE">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（5）污水成分复杂或废水、废液按现有技术无法妥善处置的产业。</w:t>
                  </w:r>
                </w:p>
                <w:p w14:paraId="78C55F64">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（6）物耗、能耗相对较高，产生的大气污染类型复杂、环境风险较大的产业、项目或工艺；且产生的大气污染物无法自身治理或妥善处置或处理成本较高的产生。</w:t>
                  </w:r>
                </w:p>
                <w:p w14:paraId="50662C8B">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（7）不能严格按“三同时”要求建厂的企业，无法满足卫生防护距离、大气环境防护距离的企业。</w:t>
                  </w:r>
                </w:p>
                <w:p w14:paraId="12EE7AA4">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（8）与《云南省牛栏江保护条例》存在冲突的项目。</w:t>
                  </w:r>
                </w:p>
                <w:p w14:paraId="58774D7C">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（9）《长江经济带发展负面清单指南（试行，2022年版）》和《云南省推动长江经济带发展负面清单指南实施细则（试行，2022年版）》中的禁止项目。</w:t>
                  </w:r>
                </w:p>
                <w:p w14:paraId="061254FA">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禁止引入单位产品能耗、物耗、污染物产生量和排放量等清洁生产指标达不到国内先进水平的产业（项目）；资源综合利用率低、产生废物量大，且按近期技术水平不能综合利用的行业；高耗水且排放污水、废液按现有技术经济无法治理或妥善处置的产业。</w:t>
                  </w:r>
                </w:p>
                <w:p w14:paraId="21CE8E06">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（11）未来入驻企业禁止在园区内新建永久性工业固废处置场。</w:t>
                  </w:r>
                </w:p>
                <w:p w14:paraId="42CECE56">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严禁引入物耗、水耗和能耗相对较高，但符合园区总体规划产业类别的其他产业（①属于规划既定行业，但污染类型复杂、环境风险较大的产业、项目或工艺；②产生废物，且按自有技术水平无法治理或妥善处置的；③现有污染治理技术不成熟，或现有技术经济条件难以承受污染物治理成本的）。</w:t>
                  </w:r>
                </w:p>
                <w:p w14:paraId="1A90699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（13）禁止入园企业开采地下水作为生产、生活用水。</w:t>
                  </w:r>
                </w:p>
              </w:tc>
              <w:tc>
                <w:tcPr>
                  <w:tcW w:w="1838" w:type="pct"/>
                  <w:noWrap w:val="0"/>
                  <w:vAlign w:val="center"/>
                </w:tcPr>
                <w:p w14:paraId="01419FA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（1）本项目为塑料制品生产项目，根据《产业结构调整指导目录（2024年本）》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kern w:val="0"/>
                      <w:sz w:val="21"/>
                      <w:szCs w:val="21"/>
                      <w:lang w:bidi="ar"/>
                    </w:rPr>
                    <w:t>项目不属于鼓励类、限制类和淘汰类</w:t>
                  </w:r>
                  <w:r>
                    <w:rPr>
                      <w:rFonts w:hint="default" w:ascii="Times New Roman" w:hAnsi="Times New Roman" w:eastAsia="宋体" w:cs="Times New Roman"/>
                      <w:color w:val="auto"/>
                      <w:kern w:val="0"/>
                      <w:sz w:val="21"/>
                      <w:szCs w:val="21"/>
                      <w:lang w:eastAsia="zh-CN" w:bidi="ar"/>
                    </w:rPr>
                    <w:t>，</w:t>
                  </w:r>
                  <w:r>
                    <w:rPr>
                      <w:rFonts w:hint="default" w:ascii="Times New Roman" w:hAnsi="Times New Roman" w:eastAsia="宋体" w:cs="Times New Roman"/>
                      <w:color w:val="auto"/>
                      <w:kern w:val="0"/>
                      <w:sz w:val="21"/>
                      <w:szCs w:val="21"/>
                      <w:lang w:bidi="ar"/>
                    </w:rPr>
                    <w:t>为允许</w:t>
                  </w:r>
                  <w:r>
                    <w:rPr>
                      <w:rFonts w:hint="default" w:ascii="Times New Roman" w:hAnsi="Times New Roman" w:eastAsia="宋体" w:cs="Times New Roman"/>
                      <w:color w:val="auto"/>
                      <w:kern w:val="0"/>
                      <w:sz w:val="21"/>
                      <w:szCs w:val="21"/>
                      <w:lang w:val="en-US" w:eastAsia="zh-CN" w:bidi="ar"/>
                    </w:rPr>
                    <w:t>建设</w:t>
                  </w:r>
                  <w:r>
                    <w:rPr>
                      <w:rFonts w:hint="default" w:ascii="Times New Roman" w:hAnsi="Times New Roman" w:eastAsia="宋体" w:cs="Times New Roman"/>
                      <w:color w:val="auto"/>
                      <w:kern w:val="0"/>
                      <w:sz w:val="21"/>
                      <w:szCs w:val="21"/>
                      <w:lang w:bidi="ar"/>
                    </w:rPr>
                    <w:t>类</w:t>
                  </w:r>
                  <w:r>
                    <w:rPr>
                      <w:rFonts w:hint="default" w:ascii="Times New Roman" w:hAnsi="Times New Roman" w:eastAsia="宋体" w:cs="Times New Roman"/>
                      <w:color w:val="auto"/>
                      <w:sz w:val="21"/>
                      <w:szCs w:val="21"/>
                      <w:highlight w:val="none"/>
                    </w:rPr>
                    <w:t>；</w:t>
                  </w:r>
                </w:p>
                <w:p w14:paraId="777992F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不属于《外商投资产业指导目录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2017年修订</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》中禁止类项目；</w:t>
                  </w:r>
                </w:p>
                <w:p w14:paraId="4D096DE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本项目不属于</w:t>
                  </w:r>
                  <w:r>
                    <w:rPr>
                      <w:rFonts w:hint="default" w:ascii="Times New Roman" w:hAnsi="Times New Roman" w:eastAsia="宋体" w:cs="Times New Roman"/>
                      <w:color w:val="auto"/>
                      <w:sz w:val="21"/>
                      <w:szCs w:val="21"/>
                    </w:rPr>
                    <w:t>高风险高污染</w:t>
                  </w:r>
                  <w:r>
                    <w:rPr>
                      <w:rFonts w:hint="default" w:ascii="Times New Roman" w:hAnsi="Times New Roman" w:eastAsia="宋体" w:cs="Times New Roman"/>
                      <w:color w:val="auto"/>
                      <w:sz w:val="21"/>
                      <w:szCs w:val="21"/>
                      <w:lang w:val="en-US" w:eastAsia="zh-CN"/>
                    </w:rPr>
                    <w:t>类行业；</w:t>
                  </w:r>
                </w:p>
                <w:p w14:paraId="1CB24E1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（4）本项目</w:t>
                  </w:r>
                  <w:r>
                    <w:rPr>
                      <w:rFonts w:hint="default" w:ascii="Times New Roman" w:hAnsi="Times New Roman" w:eastAsia="宋体" w:cs="Times New Roman"/>
                      <w:color w:val="auto"/>
                      <w:sz w:val="21"/>
                      <w:szCs w:val="21"/>
                      <w:highlight w:val="none"/>
                    </w:rPr>
                    <w:t>不属于</w:t>
                  </w:r>
                  <w:r>
                    <w:rPr>
                      <w:rFonts w:hint="default" w:ascii="Times New Roman" w:hAnsi="Times New Roman" w:eastAsia="宋体" w:cs="Times New Roman"/>
                      <w:color w:val="auto"/>
                      <w:sz w:val="21"/>
                      <w:szCs w:val="21"/>
                    </w:rPr>
                    <w:t>造纸制浆、印染、染料、制革、炼焦、炼硫、炼砷、炼油、有色金属等</w:t>
                  </w:r>
                  <w:r>
                    <w:rPr>
                      <w:rFonts w:hint="default" w:ascii="Times New Roman" w:hAnsi="Times New Roman" w:eastAsia="宋体" w:cs="Times New Roman"/>
                      <w:color w:val="auto"/>
                      <w:sz w:val="21"/>
                      <w:szCs w:val="21"/>
                      <w:highlight w:val="none"/>
                    </w:rPr>
                    <w:t>其他不在园区产业定位、不符合园区环保要求项目；</w:t>
                  </w:r>
                </w:p>
                <w:p w14:paraId="2A3F872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不属于污水成分复杂或废水、废液按现有技术无法</w:t>
                  </w:r>
                  <w:r>
                    <w:rPr>
                      <w:rFonts w:hint="default" w:ascii="Times New Roman" w:hAnsi="Times New Roman" w:eastAsia="宋体" w:cs="Times New Roman"/>
                      <w:color w:val="auto"/>
                      <w:sz w:val="21"/>
                      <w:szCs w:val="21"/>
                      <w:highlight w:val="none"/>
                      <w:lang w:eastAsia="zh-CN"/>
                    </w:rPr>
                    <w:t>妥善处置</w:t>
                  </w:r>
                  <w:r>
                    <w:rPr>
                      <w:rFonts w:hint="default" w:ascii="Times New Roman" w:hAnsi="Times New Roman" w:eastAsia="宋体" w:cs="Times New Roman"/>
                      <w:color w:val="auto"/>
                      <w:sz w:val="21"/>
                      <w:szCs w:val="21"/>
                      <w:highlight w:val="none"/>
                    </w:rPr>
                    <w:t>的产业；</w:t>
                  </w:r>
                </w:p>
                <w:p w14:paraId="586838A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本项目物耗、能耗相对较低，产生的大气污染类型主要为</w:t>
                  </w:r>
                  <w:r>
                    <w:rPr>
                      <w:rFonts w:hint="default" w:ascii="Times New Roman" w:hAnsi="Times New Roman" w:eastAsia="宋体" w:cs="Times New Roman"/>
                      <w:b w:val="0"/>
                      <w:bCs/>
                      <w:color w:val="auto"/>
                      <w:spacing w:val="-10"/>
                      <w:sz w:val="21"/>
                      <w:szCs w:val="21"/>
                      <w:highlight w:val="none"/>
                      <w:vertAlign w:val="baseline"/>
                      <w:lang w:val="en-US" w:eastAsia="zh-CN"/>
                    </w:rPr>
                    <w:t>非甲烷总烃、</w:t>
                  </w:r>
                  <w:r>
                    <w:rPr>
                      <w:rFonts w:hint="default" w:ascii="Times New Roman" w:hAnsi="Times New Roman" w:eastAsia="宋体" w:cs="Times New Roman"/>
                      <w:b w:val="0"/>
                      <w:bCs w:val="0"/>
                      <w:color w:val="auto"/>
                      <w:kern w:val="0"/>
                      <w:sz w:val="21"/>
                      <w:szCs w:val="21"/>
                      <w:highlight w:val="none"/>
                      <w:vertAlign w:val="baseline"/>
                      <w:lang w:val="en-US" w:eastAsia="zh-CN"/>
                    </w:rPr>
                    <w:t>颗粒物</w:t>
                  </w:r>
                  <w:r>
                    <w:rPr>
                      <w:rFonts w:hint="default" w:ascii="Times New Roman" w:hAnsi="Times New Roman" w:eastAsia="宋体" w:cs="Times New Roman"/>
                      <w:b w:val="0"/>
                      <w:bCs/>
                      <w:color w:val="auto"/>
                      <w:spacing w:val="-10"/>
                      <w:sz w:val="21"/>
                      <w:szCs w:val="21"/>
                      <w:highlight w:val="none"/>
                      <w:vertAlign w:val="baseline"/>
                      <w:lang w:val="en-US" w:eastAsia="zh-CN"/>
                    </w:rPr>
                    <w:t>、臭气浓度</w:t>
                  </w:r>
                  <w:r>
                    <w:rPr>
                      <w:rFonts w:hint="default" w:ascii="Times New Roman" w:hAnsi="Times New Roman" w:eastAsia="宋体" w:cs="Times New Roman"/>
                      <w:color w:val="auto"/>
                      <w:sz w:val="21"/>
                      <w:szCs w:val="21"/>
                      <w:highlight w:val="none"/>
                      <w:lang w:val="en-US" w:eastAsia="zh-CN"/>
                    </w:rPr>
                    <w:t>等</w:t>
                  </w:r>
                  <w:r>
                    <w:rPr>
                      <w:rFonts w:hint="default" w:ascii="Times New Roman" w:hAnsi="Times New Roman" w:eastAsia="宋体" w:cs="Times New Roman"/>
                      <w:color w:val="auto"/>
                      <w:sz w:val="21"/>
                      <w:szCs w:val="21"/>
                      <w:highlight w:val="none"/>
                    </w:rPr>
                    <w:t>，大气污染物</w:t>
                  </w:r>
                  <w:r>
                    <w:rPr>
                      <w:rFonts w:hint="default" w:ascii="Times New Roman" w:hAnsi="Times New Roman" w:eastAsia="宋体" w:cs="Times New Roman"/>
                      <w:color w:val="auto"/>
                      <w:sz w:val="21"/>
                      <w:szCs w:val="21"/>
                      <w:highlight w:val="none"/>
                      <w:lang w:val="en-US" w:eastAsia="zh-CN"/>
                    </w:rPr>
                    <w:t>经采取措施治理后</w:t>
                  </w:r>
                  <w:r>
                    <w:rPr>
                      <w:rFonts w:hint="default" w:ascii="Times New Roman" w:hAnsi="Times New Roman" w:eastAsia="宋体" w:cs="Times New Roman"/>
                      <w:color w:val="auto"/>
                      <w:sz w:val="21"/>
                      <w:szCs w:val="21"/>
                      <w:highlight w:val="none"/>
                    </w:rPr>
                    <w:t>达标排放，处理成本一般；环境风险为一般环境风险</w:t>
                  </w:r>
                  <w:r>
                    <w:rPr>
                      <w:rFonts w:hint="default" w:ascii="Times New Roman" w:hAnsi="Times New Roman" w:eastAsia="宋体" w:cs="Times New Roman"/>
                      <w:color w:val="auto"/>
                      <w:sz w:val="21"/>
                      <w:szCs w:val="21"/>
                      <w:highlight w:val="none"/>
                      <w:lang w:eastAsia="zh-CN"/>
                    </w:rPr>
                    <w:t>；</w:t>
                  </w:r>
                </w:p>
                <w:p w14:paraId="46E9CAA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本项目为</w:t>
                  </w:r>
                  <w:r>
                    <w:rPr>
                      <w:rFonts w:hint="default" w:ascii="Times New Roman" w:hAnsi="Times New Roman" w:eastAsia="宋体" w:cs="Times New Roman"/>
                      <w:color w:val="auto"/>
                      <w:sz w:val="21"/>
                      <w:szCs w:val="21"/>
                      <w:highlight w:val="none"/>
                      <w:lang w:val="en-US" w:eastAsia="zh-CN"/>
                    </w:rPr>
                    <w:t>新建</w:t>
                  </w:r>
                  <w:r>
                    <w:rPr>
                      <w:rFonts w:hint="default" w:ascii="Times New Roman" w:hAnsi="Times New Roman" w:eastAsia="宋体" w:cs="Times New Roman"/>
                      <w:color w:val="auto"/>
                      <w:sz w:val="21"/>
                      <w:szCs w:val="21"/>
                      <w:highlight w:val="none"/>
                    </w:rPr>
                    <w:t>项目，严格按“三同时”要求</w:t>
                  </w:r>
                  <w:r>
                    <w:rPr>
                      <w:rFonts w:hint="default" w:ascii="Times New Roman" w:hAnsi="Times New Roman" w:eastAsia="宋体" w:cs="Times New Roman"/>
                      <w:color w:val="auto"/>
                      <w:sz w:val="21"/>
                      <w:szCs w:val="21"/>
                      <w:highlight w:val="none"/>
                      <w:lang w:val="en-US" w:eastAsia="zh-CN"/>
                    </w:rPr>
                    <w:t>进行建设</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本项目不设置</w:t>
                  </w:r>
                  <w:r>
                    <w:rPr>
                      <w:rFonts w:hint="default" w:ascii="Times New Roman" w:hAnsi="Times New Roman" w:eastAsia="宋体" w:cs="Times New Roman"/>
                      <w:color w:val="auto"/>
                      <w:sz w:val="21"/>
                      <w:szCs w:val="21"/>
                      <w:highlight w:val="none"/>
                    </w:rPr>
                    <w:t>卫生防护距离</w:t>
                  </w:r>
                  <w:r>
                    <w:rPr>
                      <w:rFonts w:hint="default" w:ascii="Times New Roman" w:hAnsi="Times New Roman" w:eastAsia="宋体" w:cs="Times New Roman"/>
                      <w:color w:val="auto"/>
                      <w:sz w:val="21"/>
                      <w:szCs w:val="21"/>
                      <w:highlight w:val="none"/>
                      <w:lang w:val="en-US" w:eastAsia="zh-CN"/>
                    </w:rPr>
                    <w:t>和</w:t>
                  </w:r>
                  <w:r>
                    <w:rPr>
                      <w:rFonts w:hint="default" w:ascii="Times New Roman" w:hAnsi="Times New Roman" w:eastAsia="宋体" w:cs="Times New Roman"/>
                      <w:color w:val="auto"/>
                      <w:sz w:val="21"/>
                      <w:szCs w:val="21"/>
                      <w:highlight w:val="none"/>
                    </w:rPr>
                    <w:t>大气环境防护距离；</w:t>
                  </w:r>
                </w:p>
                <w:p w14:paraId="589DD5F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eastAsia="zh-CN"/>
                    </w:rPr>
                    <w:t>）</w:t>
                  </w:r>
                  <w:r>
                    <w:rPr>
                      <w:rFonts w:hint="eastAsia"/>
                      <w:color w:val="auto"/>
                      <w:lang w:val="en-US" w:eastAsia="zh-CN"/>
                    </w:rPr>
                    <w:t>根据</w:t>
                  </w:r>
                  <w:r>
                    <w:rPr>
                      <w:rFonts w:hint="eastAsia" w:ascii="Times New Roman" w:hAnsi="Times New Roman" w:eastAsia="宋体" w:cs="Times New Roman"/>
                      <w:color w:val="auto"/>
                      <w:sz w:val="21"/>
                      <w:szCs w:val="21"/>
                      <w:highlight w:val="none"/>
                      <w:lang w:val="en-US" w:eastAsia="zh-CN"/>
                    </w:rPr>
                    <w:t>下</w:t>
                  </w:r>
                  <w:r>
                    <w:rPr>
                      <w:rFonts w:hint="default" w:ascii="Times New Roman" w:hAnsi="Times New Roman" w:eastAsia="宋体" w:cs="Times New Roman"/>
                      <w:color w:val="auto"/>
                      <w:sz w:val="21"/>
                      <w:szCs w:val="21"/>
                      <w:highlight w:val="none"/>
                    </w:rPr>
                    <w:t>表1-</w:t>
                  </w: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与《云南省牛栏江保护条例》符合性分析</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建设</w:t>
                  </w:r>
                  <w:r>
                    <w:rPr>
                      <w:rFonts w:hint="default" w:ascii="Times New Roman" w:hAnsi="Times New Roman" w:eastAsia="宋体" w:cs="Times New Roman"/>
                      <w:color w:val="auto"/>
                      <w:sz w:val="21"/>
                      <w:szCs w:val="21"/>
                      <w:highlight w:val="none"/>
                    </w:rPr>
                    <w:t>与《云南省牛栏江保护条例》不冲突；</w:t>
                  </w:r>
                </w:p>
                <w:p w14:paraId="1BD5815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本项目不属于</w:t>
                  </w:r>
                  <w:r>
                    <w:rPr>
                      <w:rFonts w:hint="default" w:ascii="Times New Roman" w:hAnsi="Times New Roman" w:eastAsia="宋体" w:cs="Times New Roman"/>
                      <w:color w:val="auto"/>
                      <w:sz w:val="21"/>
                      <w:szCs w:val="21"/>
                    </w:rPr>
                    <w:t>《长江经济带发展负面清单指南（试行，2022年版）》和《云南省推动长江经济带发展负面清单指南实施细则（试行，2022 年版）》中的禁止项目</w:t>
                  </w:r>
                  <w:r>
                    <w:rPr>
                      <w:rFonts w:hint="default" w:ascii="Times New Roman" w:hAnsi="Times New Roman" w:eastAsia="宋体" w:cs="Times New Roman"/>
                      <w:color w:val="auto"/>
                      <w:sz w:val="21"/>
                      <w:szCs w:val="21"/>
                      <w:lang w:eastAsia="zh-CN"/>
                    </w:rPr>
                    <w:t>；</w:t>
                  </w:r>
                </w:p>
                <w:p w14:paraId="085A6AB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eastAsia="zh-CN"/>
                    </w:rPr>
                    <w:t>）本项目</w:t>
                  </w:r>
                  <w:r>
                    <w:rPr>
                      <w:rFonts w:hint="eastAsia" w:cs="Times New Roman"/>
                      <w:color w:val="auto"/>
                      <w:sz w:val="21"/>
                      <w:szCs w:val="21"/>
                      <w:highlight w:val="none"/>
                      <w:lang w:val="en-US" w:eastAsia="zh-CN"/>
                    </w:rPr>
                    <w:t>年生产产品2606t，</w:t>
                  </w:r>
                  <w:r>
                    <w:rPr>
                      <w:rFonts w:hint="default" w:ascii="Times New Roman" w:hAnsi="Times New Roman" w:eastAsia="宋体" w:cs="Times New Roman"/>
                      <w:color w:val="auto"/>
                      <w:sz w:val="21"/>
                      <w:szCs w:val="21"/>
                      <w:highlight w:val="none"/>
                      <w:lang w:eastAsia="zh-CN"/>
                    </w:rPr>
                    <w:t>能源消耗以电能为主，年耗电量120万kW·h，折算单位产品电耗约460.47kW·h/t；生产用水</w:t>
                  </w:r>
                  <w:r>
                    <w:rPr>
                      <w:rFonts w:hint="default" w:ascii="Times New Roman" w:hAnsi="Times New Roman" w:cs="Times New Roman"/>
                      <w:color w:val="auto"/>
                      <w:kern w:val="0"/>
                      <w:sz w:val="21"/>
                      <w:szCs w:val="21"/>
                      <w:lang w:val="en-US" w:eastAsia="zh-CN" w:bidi="ar"/>
                    </w:rPr>
                    <w:t>1967.5</w:t>
                  </w:r>
                  <w:r>
                    <w:rPr>
                      <w:rFonts w:hint="default" w:ascii="Times New Roman" w:hAnsi="Times New Roman" w:eastAsia="宋体" w:cs="Times New Roman"/>
                      <w:color w:val="auto"/>
                      <w:sz w:val="21"/>
                      <w:szCs w:val="21"/>
                      <w:highlight w:val="none"/>
                      <w:lang w:eastAsia="zh-CN"/>
                    </w:rPr>
                    <w:t>t/a，折算单位产品水耗约</w:t>
                  </w:r>
                  <w:r>
                    <w:rPr>
                      <w:rFonts w:hint="eastAsia" w:cs="Times New Roman"/>
                      <w:color w:val="auto"/>
                      <w:sz w:val="21"/>
                      <w:szCs w:val="21"/>
                      <w:highlight w:val="none"/>
                      <w:lang w:val="en-US" w:eastAsia="zh-CN"/>
                    </w:rPr>
                    <w:t>0.75</w:t>
                  </w:r>
                  <w:r>
                    <w:rPr>
                      <w:rFonts w:hint="default" w:ascii="Times New Roman" w:hAnsi="Times New Roman" w:eastAsia="宋体" w:cs="Times New Roman"/>
                      <w:color w:val="auto"/>
                      <w:sz w:val="21"/>
                      <w:szCs w:val="21"/>
                      <w:highlight w:val="none"/>
                      <w:lang w:eastAsia="zh-CN"/>
                    </w:rPr>
                    <w:t>t/t</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项目选用成熟注塑工艺，清洁生产可达国内先进水平，单位产品能耗、水耗指标较低</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本项目不属于单位产品能耗、物耗、污染物产生量和排放量等清洁生产指标达不到国内先进水平的产业</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r>
                    <w:rPr>
                      <w:rFonts w:hint="eastAsia" w:cs="Times New Roman"/>
                      <w:color w:val="auto"/>
                      <w:sz w:val="21"/>
                      <w:szCs w:val="21"/>
                      <w:highlight w:val="none"/>
                      <w:lang w:val="en-US" w:eastAsia="zh-CN"/>
                    </w:rPr>
                    <w:t>产生边角料、不合格塑料筐破碎后回用于生产，实现企业内部循环利用，不属于</w:t>
                  </w:r>
                  <w:r>
                    <w:rPr>
                      <w:rFonts w:hint="default" w:ascii="Times New Roman" w:hAnsi="Times New Roman" w:eastAsia="宋体" w:cs="Times New Roman"/>
                      <w:color w:val="auto"/>
                      <w:sz w:val="21"/>
                      <w:szCs w:val="21"/>
                      <w:highlight w:val="none"/>
                    </w:rPr>
                    <w:t>资源综合利用率低、产生废物量大，且按近期技术水平不能综合利用的行业</w:t>
                  </w:r>
                  <w:r>
                    <w:rPr>
                      <w:rFonts w:hint="eastAsia" w:cs="Times New Roman"/>
                      <w:color w:val="auto"/>
                      <w:sz w:val="21"/>
                      <w:szCs w:val="21"/>
                      <w:highlight w:val="none"/>
                      <w:lang w:eastAsia="zh-CN"/>
                    </w:rPr>
                    <w:t>。</w:t>
                  </w:r>
                </w:p>
                <w:p w14:paraId="2574D65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本项目不涉及</w:t>
                  </w:r>
                  <w:r>
                    <w:rPr>
                      <w:rFonts w:hint="default" w:ascii="Times New Roman" w:hAnsi="Times New Roman" w:eastAsia="宋体" w:cs="Times New Roman"/>
                      <w:color w:val="auto"/>
                      <w:sz w:val="21"/>
                      <w:szCs w:val="21"/>
                    </w:rPr>
                    <w:t>新建永久性工业固废处置场</w:t>
                  </w:r>
                  <w:r>
                    <w:rPr>
                      <w:rFonts w:hint="default" w:ascii="Times New Roman" w:hAnsi="Times New Roman" w:eastAsia="宋体" w:cs="Times New Roman"/>
                      <w:color w:val="auto"/>
                      <w:sz w:val="21"/>
                      <w:szCs w:val="21"/>
                      <w:lang w:eastAsia="zh-CN"/>
                    </w:rPr>
                    <w:t>；</w:t>
                  </w:r>
                </w:p>
                <w:p w14:paraId="23A26D7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12</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本项目不属于</w:t>
                  </w:r>
                  <w:r>
                    <w:rPr>
                      <w:rFonts w:hint="default" w:ascii="Times New Roman" w:hAnsi="Times New Roman" w:eastAsia="宋体" w:cs="Times New Roman"/>
                      <w:color w:val="auto"/>
                      <w:sz w:val="21"/>
                      <w:szCs w:val="21"/>
                    </w:rPr>
                    <w:t>物耗、水耗和能耗相对较高</w:t>
                  </w:r>
                  <w:r>
                    <w:rPr>
                      <w:rFonts w:hint="default" w:ascii="Times New Roman" w:hAnsi="Times New Roman" w:eastAsia="宋体" w:cs="Times New Roman"/>
                      <w:color w:val="auto"/>
                      <w:sz w:val="21"/>
                      <w:szCs w:val="21"/>
                      <w:lang w:val="en-US" w:eastAsia="zh-CN"/>
                    </w:rPr>
                    <w:t>的生产企业；</w:t>
                  </w:r>
                </w:p>
                <w:p w14:paraId="220CED0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（13）本项目用水为市政管网供给，不进行地下水的开采。</w:t>
                  </w:r>
                </w:p>
              </w:tc>
              <w:tc>
                <w:tcPr>
                  <w:tcW w:w="438" w:type="pct"/>
                  <w:noWrap w:val="0"/>
                  <w:vAlign w:val="center"/>
                </w:tcPr>
                <w:p w14:paraId="4480616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2E33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6" w:hRule="atLeast"/>
                <w:jc w:val="center"/>
              </w:trPr>
              <w:tc>
                <w:tcPr>
                  <w:tcW w:w="292" w:type="pct"/>
                  <w:vMerge w:val="continue"/>
                  <w:noWrap w:val="0"/>
                  <w:vAlign w:val="center"/>
                </w:tcPr>
                <w:p w14:paraId="7D61930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5749CE1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禁入工艺</w:t>
                  </w:r>
                </w:p>
              </w:tc>
              <w:tc>
                <w:tcPr>
                  <w:tcW w:w="2011" w:type="pct"/>
                  <w:noWrap w:val="0"/>
                  <w:vAlign w:val="center"/>
                </w:tcPr>
                <w:p w14:paraId="49841C8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《产业结构调整指导目录（201</w:t>
                  </w: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年本）》（或更新）中淘汰、落后的生产工艺</w:t>
                  </w:r>
                  <w:r>
                    <w:rPr>
                      <w:rFonts w:hint="default" w:ascii="Times New Roman" w:hAnsi="Times New Roman" w:eastAsia="宋体" w:cs="Times New Roman"/>
                      <w:color w:val="auto"/>
                      <w:sz w:val="21"/>
                      <w:szCs w:val="21"/>
                      <w:highlight w:val="none"/>
                      <w:lang w:eastAsia="zh-CN"/>
                    </w:rPr>
                    <w:t>。</w:t>
                  </w:r>
                </w:p>
                <w:p w14:paraId="5913779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《部分工业行业淘汰落后生产工艺装备和产品指导目录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22</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》（或更新）的生产工艺</w:t>
                  </w:r>
                  <w:r>
                    <w:rPr>
                      <w:rFonts w:hint="default" w:ascii="Times New Roman" w:hAnsi="Times New Roman" w:eastAsia="宋体" w:cs="Times New Roman"/>
                      <w:color w:val="auto"/>
                      <w:sz w:val="21"/>
                      <w:szCs w:val="21"/>
                      <w:highlight w:val="none"/>
                      <w:lang w:eastAsia="zh-CN"/>
                    </w:rPr>
                    <w:t>。</w:t>
                  </w:r>
                </w:p>
              </w:tc>
              <w:tc>
                <w:tcPr>
                  <w:tcW w:w="1838" w:type="pct"/>
                  <w:noWrap w:val="0"/>
                  <w:vAlign w:val="center"/>
                </w:tcPr>
                <w:p w14:paraId="6C406CC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经查阅《产业结构调整指导目录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24</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》，本项目所用工艺不属于该目录中淘汰、落后的生产工艺；</w:t>
                  </w:r>
                </w:p>
                <w:p w14:paraId="08F68A48">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本项目生产工艺</w:t>
                  </w:r>
                  <w:r>
                    <w:rPr>
                      <w:rFonts w:hint="default" w:ascii="Times New Roman" w:hAnsi="Times New Roman" w:eastAsia="宋体" w:cs="Times New Roman"/>
                      <w:color w:val="auto"/>
                      <w:sz w:val="21"/>
                      <w:szCs w:val="21"/>
                      <w:highlight w:val="none"/>
                    </w:rPr>
                    <w:t>不属于《部分工业行业淘汰落后生产工艺装备和产品指导目录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2022</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》的生产工艺</w:t>
                  </w:r>
                  <w:r>
                    <w:rPr>
                      <w:rFonts w:hint="default" w:ascii="Times New Roman" w:hAnsi="Times New Roman" w:eastAsia="宋体" w:cs="Times New Roman"/>
                      <w:color w:val="auto"/>
                      <w:sz w:val="21"/>
                      <w:szCs w:val="21"/>
                      <w:highlight w:val="none"/>
                      <w:lang w:eastAsia="zh-CN"/>
                    </w:rPr>
                    <w:t>。</w:t>
                  </w:r>
                </w:p>
              </w:tc>
              <w:tc>
                <w:tcPr>
                  <w:tcW w:w="438" w:type="pct"/>
                  <w:noWrap w:val="0"/>
                  <w:vAlign w:val="center"/>
                </w:tcPr>
                <w:p w14:paraId="1B58AEE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298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2" w:type="pct"/>
                  <w:vMerge w:val="continue"/>
                  <w:noWrap w:val="0"/>
                  <w:vAlign w:val="center"/>
                </w:tcPr>
                <w:p w14:paraId="1393571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3F5E74D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禁入产品</w:t>
                  </w:r>
                </w:p>
              </w:tc>
              <w:tc>
                <w:tcPr>
                  <w:tcW w:w="2011" w:type="pct"/>
                  <w:noWrap w:val="0"/>
                  <w:vAlign w:val="center"/>
                </w:tcPr>
                <w:p w14:paraId="255F069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《部分工业行业淘汰落后生产工艺装备和产品指导目录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22</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》（或更新）的产品</w:t>
                  </w:r>
                  <w:r>
                    <w:rPr>
                      <w:rFonts w:hint="default" w:ascii="Times New Roman" w:hAnsi="Times New Roman" w:eastAsia="宋体" w:cs="Times New Roman"/>
                      <w:color w:val="auto"/>
                      <w:sz w:val="21"/>
                      <w:szCs w:val="21"/>
                      <w:highlight w:val="none"/>
                      <w:lang w:eastAsia="zh-CN"/>
                    </w:rPr>
                    <w:t>。</w:t>
                  </w:r>
                </w:p>
              </w:tc>
              <w:tc>
                <w:tcPr>
                  <w:tcW w:w="1838" w:type="pct"/>
                  <w:noWrap w:val="0"/>
                  <w:vAlign w:val="center"/>
                </w:tcPr>
                <w:p w14:paraId="40B47D0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本项目产品不属于《部分工业行业淘汰落后生产工艺装备和产品指导目录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22</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》的产品。</w:t>
                  </w:r>
                </w:p>
              </w:tc>
              <w:tc>
                <w:tcPr>
                  <w:tcW w:w="438" w:type="pct"/>
                  <w:noWrap w:val="0"/>
                  <w:vAlign w:val="center"/>
                </w:tcPr>
                <w:p w14:paraId="4DE764D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810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292" w:type="pct"/>
                  <w:vMerge w:val="continue"/>
                  <w:noWrap w:val="0"/>
                  <w:vAlign w:val="center"/>
                </w:tcPr>
                <w:p w14:paraId="532F6A4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04951CA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清洁生产水平</w:t>
                  </w:r>
                </w:p>
              </w:tc>
              <w:tc>
                <w:tcPr>
                  <w:tcW w:w="2011" w:type="pct"/>
                  <w:noWrap w:val="0"/>
                  <w:vAlign w:val="center"/>
                </w:tcPr>
                <w:p w14:paraId="6CC5932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清洁生产水平低于国家清洁生产标准的国内先进水平。</w:t>
                  </w:r>
                </w:p>
              </w:tc>
              <w:tc>
                <w:tcPr>
                  <w:tcW w:w="1838" w:type="pct"/>
                  <w:noWrap w:val="0"/>
                  <w:vAlign w:val="center"/>
                </w:tcPr>
                <w:p w14:paraId="3946B9B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本项目清洁生产水平不低于国家清洁生产标准的国内先进水平。</w:t>
                  </w:r>
                </w:p>
              </w:tc>
              <w:tc>
                <w:tcPr>
                  <w:tcW w:w="438" w:type="pct"/>
                  <w:noWrap w:val="0"/>
                  <w:vAlign w:val="center"/>
                </w:tcPr>
                <w:p w14:paraId="4AA993A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70F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2" w:type="pct"/>
                  <w:vMerge w:val="continue"/>
                  <w:noWrap w:val="0"/>
                  <w:vAlign w:val="center"/>
                </w:tcPr>
                <w:p w14:paraId="337C628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31589E8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限制禁入</w:t>
                  </w:r>
                </w:p>
              </w:tc>
              <w:tc>
                <w:tcPr>
                  <w:tcW w:w="2011" w:type="pct"/>
                  <w:noWrap w:val="0"/>
                  <w:vAlign w:val="center"/>
                </w:tcPr>
                <w:p w14:paraId="191EB9B9">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（1）严格限制引进《产业结构调整指导目录（2019 年本）》（或更新）中所列的限制类项目。</w:t>
                  </w:r>
                </w:p>
                <w:p w14:paraId="47A5B774">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（2）《外商投资产业指导目录（2017 年修订）》（或更新）中所列的限制类项目。</w:t>
                  </w:r>
                </w:p>
                <w:p w14:paraId="3D95E4B8">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（3）严格限制引进涉及《中国严格限制进出口的有毒化学品目录（2020年本）》（或更新）中所列有毒化学品的项目。</w:t>
                  </w:r>
                </w:p>
              </w:tc>
              <w:tc>
                <w:tcPr>
                  <w:tcW w:w="1838" w:type="pct"/>
                  <w:noWrap w:val="0"/>
                  <w:vAlign w:val="center"/>
                </w:tcPr>
                <w:p w14:paraId="364E02B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本项目不属于《产业结构调整指导目录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24</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》中所列的限制类项目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为允许类项目</w:t>
                  </w:r>
                  <w:r>
                    <w:rPr>
                      <w:rFonts w:hint="default" w:ascii="Times New Roman" w:hAnsi="Times New Roman" w:eastAsia="宋体" w:cs="Times New Roman"/>
                      <w:color w:val="auto"/>
                      <w:sz w:val="21"/>
                      <w:szCs w:val="21"/>
                      <w:highlight w:val="none"/>
                    </w:rPr>
                    <w:t>；</w:t>
                  </w:r>
                </w:p>
                <w:p w14:paraId="16A6465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不属于《外商投资产业指导目录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年修订</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》中所列的限制类项目；</w:t>
                  </w:r>
                </w:p>
                <w:p w14:paraId="20E9D5C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不涉及《中国严格限制进出口的有毒化学品目录</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20</w:t>
                  </w:r>
                  <w:r>
                    <w:rPr>
                      <w:rFonts w:hint="default" w:ascii="Times New Roman" w:hAnsi="Times New Roman" w:eastAsia="宋体" w:cs="Times New Roman"/>
                      <w:color w:val="auto"/>
                      <w:sz w:val="21"/>
                      <w:szCs w:val="21"/>
                      <w:highlight w:val="none"/>
                    </w:rPr>
                    <w:t>年本</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》中所列有毒化学品</w:t>
                  </w:r>
                  <w:r>
                    <w:rPr>
                      <w:rFonts w:hint="default" w:ascii="Times New Roman" w:hAnsi="Times New Roman" w:eastAsia="宋体" w:cs="Times New Roman"/>
                      <w:color w:val="auto"/>
                      <w:sz w:val="21"/>
                      <w:szCs w:val="21"/>
                      <w:highlight w:val="none"/>
                      <w:lang w:eastAsia="zh-CN"/>
                    </w:rPr>
                    <w:t>。</w:t>
                  </w:r>
                </w:p>
              </w:tc>
              <w:tc>
                <w:tcPr>
                  <w:tcW w:w="438" w:type="pct"/>
                  <w:noWrap w:val="0"/>
                  <w:vAlign w:val="center"/>
                </w:tcPr>
                <w:p w14:paraId="4054839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11B0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292" w:type="pct"/>
                  <w:vMerge w:val="restart"/>
                  <w:noWrap w:val="0"/>
                  <w:vAlign w:val="center"/>
                </w:tcPr>
                <w:p w14:paraId="20786FD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规划产业要求</w:t>
                  </w:r>
                </w:p>
              </w:tc>
              <w:tc>
                <w:tcPr>
                  <w:tcW w:w="419" w:type="pct"/>
                  <w:noWrap w:val="0"/>
                  <w:vAlign w:val="center"/>
                </w:tcPr>
                <w:p w14:paraId="6021AC7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现状产业区</w:t>
                  </w:r>
                </w:p>
              </w:tc>
              <w:tc>
                <w:tcPr>
                  <w:tcW w:w="2011" w:type="pct"/>
                  <w:noWrap w:val="0"/>
                  <w:vAlign w:val="center"/>
                </w:tcPr>
                <w:p w14:paraId="40CECF9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允许现有煤磷盐化工及配套产业进行环保提升改造。</w:t>
                  </w:r>
                </w:p>
              </w:tc>
              <w:tc>
                <w:tcPr>
                  <w:tcW w:w="1838" w:type="pct"/>
                  <w:noWrap w:val="0"/>
                  <w:vAlign w:val="center"/>
                </w:tcPr>
                <w:p w14:paraId="1BB3E572">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本项目为</w:t>
                  </w:r>
                  <w:r>
                    <w:rPr>
                      <w:rFonts w:hint="eastAsia"/>
                      <w:color w:val="auto"/>
                      <w:lang w:val="en-US" w:eastAsia="zh-CN"/>
                    </w:rPr>
                    <w:t>新建项目，不属于现有煤磷盐化工及配套产业</w:t>
                  </w:r>
                  <w:r>
                    <w:rPr>
                      <w:rFonts w:hint="default" w:ascii="Times New Roman" w:hAnsi="Times New Roman" w:eastAsia="宋体" w:cs="Times New Roman"/>
                      <w:color w:val="auto"/>
                      <w:sz w:val="21"/>
                      <w:szCs w:val="21"/>
                      <w:highlight w:val="none"/>
                    </w:rPr>
                    <w:t>。</w:t>
                  </w:r>
                </w:p>
              </w:tc>
              <w:tc>
                <w:tcPr>
                  <w:tcW w:w="438" w:type="pct"/>
                  <w:noWrap w:val="0"/>
                  <w:vAlign w:val="center"/>
                </w:tcPr>
                <w:p w14:paraId="57FE46F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7F1D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92" w:type="pct"/>
                  <w:vMerge w:val="continue"/>
                  <w:noWrap w:val="0"/>
                  <w:vAlign w:val="center"/>
                </w:tcPr>
                <w:p w14:paraId="3A3F48B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201FC5D8">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绿色建材产业</w:t>
                  </w:r>
                </w:p>
              </w:tc>
              <w:tc>
                <w:tcPr>
                  <w:tcW w:w="2011" w:type="pct"/>
                  <w:vMerge w:val="restart"/>
                  <w:noWrap w:val="0"/>
                  <w:vAlign w:val="center"/>
                </w:tcPr>
                <w:p w14:paraId="447372E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禁止生产废水不能循环回用，且向牛栏江流域排放生产废水的企业入驻。</w:t>
                  </w:r>
                </w:p>
              </w:tc>
              <w:tc>
                <w:tcPr>
                  <w:tcW w:w="1838" w:type="pct"/>
                  <w:vMerge w:val="restart"/>
                  <w:noWrap w:val="0"/>
                  <w:vAlign w:val="center"/>
                </w:tcPr>
                <w:p w14:paraId="1665275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rPr>
                    <w:t>生产过程中冷却水循环使用，</w:t>
                  </w:r>
                  <w:r>
                    <w:rPr>
                      <w:rFonts w:hint="eastAsia" w:ascii="宋体" w:hAnsi="宋体" w:eastAsia="宋体" w:cs="宋体"/>
                      <w:color w:val="auto"/>
                      <w:sz w:val="21"/>
                      <w:szCs w:val="21"/>
                      <w:lang w:val="en-US" w:eastAsia="zh-CN"/>
                    </w:rPr>
                    <w:t>定期排污</w:t>
                  </w:r>
                  <w:r>
                    <w:rPr>
                      <w:rFonts w:hint="eastAsia" w:ascii="宋体" w:hAnsi="宋体" w:eastAsia="宋体" w:cs="宋体"/>
                      <w:color w:val="auto"/>
                      <w:sz w:val="21"/>
                      <w:szCs w:val="21"/>
                    </w:rPr>
                    <w:t>冷却循环</w:t>
                  </w:r>
                  <w:r>
                    <w:rPr>
                      <w:rFonts w:hint="eastAsia" w:ascii="宋体" w:hAnsi="宋体" w:eastAsia="宋体" w:cs="宋体"/>
                      <w:color w:val="auto"/>
                      <w:sz w:val="21"/>
                      <w:szCs w:val="21"/>
                      <w:lang w:val="en-US" w:eastAsia="zh-CN"/>
                    </w:rPr>
                    <w:t>废水依托</w:t>
                  </w:r>
                  <w:r>
                    <w:rPr>
                      <w:rFonts w:hint="eastAsia" w:ascii="宋体" w:hAnsi="宋体" w:eastAsia="宋体" w:cs="宋体"/>
                      <w:caps w:val="0"/>
                      <w:smallCaps w:val="0"/>
                      <w:color w:val="auto"/>
                      <w:kern w:val="2"/>
                      <w:sz w:val="21"/>
                      <w:szCs w:val="21"/>
                      <w:lang w:val="en-US" w:eastAsia="zh-CN" w:bidi="ar-SA"/>
                    </w:rPr>
                    <w:t>云南鹏达冠得有限公司</w:t>
                  </w:r>
                  <w:r>
                    <w:rPr>
                      <w:rFonts w:hint="eastAsia" w:ascii="宋体" w:hAnsi="宋体" w:eastAsia="宋体" w:cs="宋体"/>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sz w:val="21"/>
                      <w:szCs w:val="21"/>
                      <w:lang w:val="en-US" w:eastAsia="zh-CN"/>
                    </w:rPr>
                    <w:t>项目区</w:t>
                  </w:r>
                  <w:r>
                    <w:rPr>
                      <w:rFonts w:hint="default" w:ascii="Times New Roman" w:hAnsi="Times New Roman" w:eastAsia="宋体" w:cs="Times New Roman"/>
                      <w:color w:val="auto"/>
                      <w:kern w:val="0"/>
                      <w:sz w:val="21"/>
                      <w:szCs w:val="21"/>
                      <w:lang w:val="en-US" w:eastAsia="zh-CN" w:bidi="ar"/>
                    </w:rPr>
                    <w:t>绿化浇灌及道路洒水</w:t>
                  </w:r>
                  <w:r>
                    <w:rPr>
                      <w:rFonts w:hint="eastAsia" w:ascii="宋体" w:hAnsi="宋体" w:eastAsia="宋体" w:cs="宋体"/>
                      <w:color w:val="auto"/>
                      <w:sz w:val="21"/>
                      <w:szCs w:val="21"/>
                      <w:lang w:eastAsia="zh-CN"/>
                    </w:rPr>
                    <w:t>，</w:t>
                  </w:r>
                  <w:r>
                    <w:rPr>
                      <w:rFonts w:hint="eastAsia" w:cs="Times New Roman"/>
                      <w:color w:val="auto"/>
                      <w:sz w:val="21"/>
                      <w:szCs w:val="21"/>
                      <w:lang w:val="en-US" w:eastAsia="zh-CN"/>
                    </w:rPr>
                    <w:t>无生产废水外排</w:t>
                  </w:r>
                  <w:r>
                    <w:rPr>
                      <w:rFonts w:hint="default" w:ascii="Times New Roman" w:hAnsi="Times New Roman" w:eastAsia="宋体" w:cs="Times New Roman"/>
                      <w:color w:val="auto"/>
                      <w:sz w:val="21"/>
                      <w:szCs w:val="21"/>
                      <w:highlight w:val="none"/>
                      <w:lang w:val="en-US" w:eastAsia="zh-CN"/>
                    </w:rPr>
                    <w:t>。</w:t>
                  </w:r>
                </w:p>
              </w:tc>
              <w:tc>
                <w:tcPr>
                  <w:tcW w:w="438" w:type="pct"/>
                  <w:vMerge w:val="restart"/>
                  <w:noWrap w:val="0"/>
                  <w:vAlign w:val="center"/>
                </w:tcPr>
                <w:p w14:paraId="2A1B8646">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228A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292" w:type="pct"/>
                  <w:vMerge w:val="continue"/>
                  <w:noWrap w:val="0"/>
                  <w:vAlign w:val="center"/>
                </w:tcPr>
                <w:p w14:paraId="5686FB9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6418936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先进装备制造产业</w:t>
                  </w:r>
                </w:p>
              </w:tc>
              <w:tc>
                <w:tcPr>
                  <w:tcW w:w="2011" w:type="pct"/>
                  <w:vMerge w:val="continue"/>
                  <w:noWrap w:val="0"/>
                  <w:vAlign w:val="center"/>
                </w:tcPr>
                <w:p w14:paraId="78B3EE9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p>
              </w:tc>
              <w:tc>
                <w:tcPr>
                  <w:tcW w:w="1838" w:type="pct"/>
                  <w:vMerge w:val="continue"/>
                  <w:noWrap w:val="0"/>
                  <w:vAlign w:val="center"/>
                </w:tcPr>
                <w:p w14:paraId="6398289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rPr>
                  </w:pPr>
                </w:p>
              </w:tc>
              <w:tc>
                <w:tcPr>
                  <w:tcW w:w="438" w:type="pct"/>
                  <w:vMerge w:val="continue"/>
                  <w:noWrap w:val="0"/>
                  <w:vAlign w:val="center"/>
                </w:tcPr>
                <w:p w14:paraId="540D251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6D3B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92" w:type="pct"/>
                  <w:vMerge w:val="continue"/>
                  <w:noWrap w:val="0"/>
                  <w:vAlign w:val="center"/>
                </w:tcPr>
                <w:p w14:paraId="1E696E5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5F92A7C4">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非烟轻工产业</w:t>
                  </w:r>
                </w:p>
              </w:tc>
              <w:tc>
                <w:tcPr>
                  <w:tcW w:w="2011" w:type="pct"/>
                  <w:noWrap w:val="0"/>
                  <w:vAlign w:val="center"/>
                </w:tcPr>
                <w:p w14:paraId="3B590A15">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①木材加工及家具制造业：禁止含有制胶工艺的企业入驻。</w:t>
                  </w:r>
                </w:p>
                <w:p w14:paraId="23417EE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②食品业：要求规上企业工业用水重复利用率＞65%。</w:t>
                  </w:r>
                </w:p>
              </w:tc>
              <w:tc>
                <w:tcPr>
                  <w:tcW w:w="1838" w:type="pct"/>
                  <w:noWrap w:val="0"/>
                  <w:vAlign w:val="center"/>
                </w:tcPr>
                <w:p w14:paraId="41BB447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①本项目不属于含有制胶工艺的木材加工及家具制造。</w:t>
                  </w:r>
                </w:p>
                <w:p w14:paraId="17E641E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②本项目不属于食品业。</w:t>
                  </w:r>
                </w:p>
              </w:tc>
              <w:tc>
                <w:tcPr>
                  <w:tcW w:w="438" w:type="pct"/>
                  <w:noWrap w:val="0"/>
                  <w:vAlign w:val="center"/>
                </w:tcPr>
                <w:p w14:paraId="7CDB2D15">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636C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jc w:val="center"/>
              </w:trPr>
              <w:tc>
                <w:tcPr>
                  <w:tcW w:w="292" w:type="pct"/>
                  <w:vMerge w:val="continue"/>
                  <w:noWrap w:val="0"/>
                  <w:vAlign w:val="center"/>
                </w:tcPr>
                <w:p w14:paraId="15A4B86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06E56883">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绿色化工</w:t>
                  </w:r>
                </w:p>
              </w:tc>
              <w:tc>
                <w:tcPr>
                  <w:tcW w:w="2011" w:type="pct"/>
                  <w:noWrap w:val="0"/>
                  <w:vAlign w:val="center"/>
                </w:tcPr>
                <w:p w14:paraId="3A0B46DC">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①园区规划在金所片区天生桥组团设置化工园区，建议园区尽快按化工园区的设立要求设立化工园区，并申请省级业务主管部门进行认定。</w:t>
                  </w:r>
                </w:p>
                <w:p w14:paraId="0490006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②金所片区金所组团禁止新建、改建、扩建化工生产线项目。</w:t>
                  </w:r>
                </w:p>
              </w:tc>
              <w:tc>
                <w:tcPr>
                  <w:tcW w:w="1838" w:type="pct"/>
                  <w:noWrap w:val="0"/>
                  <w:vAlign w:val="center"/>
                </w:tcPr>
                <w:p w14:paraId="51AF8B6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本项目位于</w:t>
                  </w:r>
                  <w:r>
                    <w:rPr>
                      <w:rFonts w:hint="default" w:ascii="Times New Roman" w:hAnsi="Times New Roman" w:eastAsia="宋体" w:cs="Times New Roman"/>
                      <w:color w:val="auto"/>
                      <w:sz w:val="21"/>
                      <w:szCs w:val="21"/>
                      <w:lang w:eastAsia="zh-CN"/>
                    </w:rPr>
                    <w:t>云南</w:t>
                  </w:r>
                  <w:r>
                    <w:rPr>
                      <w:rFonts w:hint="default" w:ascii="Times New Roman" w:hAnsi="Times New Roman" w:eastAsia="宋体" w:cs="Times New Roman"/>
                      <w:color w:val="auto"/>
                      <w:sz w:val="21"/>
                      <w:szCs w:val="21"/>
                    </w:rPr>
                    <w:t>省</w:t>
                  </w:r>
                  <w:r>
                    <w:rPr>
                      <w:rFonts w:hint="default" w:ascii="Times New Roman" w:hAnsi="Times New Roman" w:eastAsia="宋体" w:cs="Times New Roman"/>
                      <w:color w:val="auto"/>
                      <w:sz w:val="21"/>
                      <w:szCs w:val="21"/>
                      <w:lang w:eastAsia="zh-CN"/>
                    </w:rPr>
                    <w:t>昆明</w:t>
                  </w:r>
                  <w:r>
                    <w:rPr>
                      <w:rFonts w:hint="default" w:ascii="Times New Roman" w:hAnsi="Times New Roman" w:eastAsia="宋体" w:cs="Times New Roman"/>
                      <w:color w:val="auto"/>
                      <w:sz w:val="21"/>
                      <w:szCs w:val="21"/>
                    </w:rPr>
                    <w:t>市</w:t>
                  </w:r>
                  <w:r>
                    <w:rPr>
                      <w:rFonts w:hint="default" w:ascii="Times New Roman" w:hAnsi="Times New Roman" w:eastAsia="宋体" w:cs="Times New Roman"/>
                      <w:color w:val="auto"/>
                      <w:sz w:val="21"/>
                      <w:szCs w:val="21"/>
                      <w:lang w:eastAsia="zh-CN"/>
                    </w:rPr>
                    <w:t>寻甸回族彝族自治县特色产业园区金所片区</w:t>
                  </w:r>
                  <w:r>
                    <w:rPr>
                      <w:rFonts w:hint="default" w:ascii="Times New Roman" w:hAnsi="Times New Roman" w:eastAsia="宋体" w:cs="Times New Roman"/>
                      <w:color w:val="auto"/>
                      <w:sz w:val="21"/>
                      <w:szCs w:val="21"/>
                      <w:lang w:val="en-US" w:eastAsia="zh-CN"/>
                    </w:rPr>
                    <w:t>金所组团，不属于化工生产线项目。</w:t>
                  </w:r>
                </w:p>
              </w:tc>
              <w:tc>
                <w:tcPr>
                  <w:tcW w:w="438" w:type="pct"/>
                  <w:noWrap w:val="0"/>
                  <w:vAlign w:val="center"/>
                </w:tcPr>
                <w:p w14:paraId="24719381">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9BE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92" w:type="pct"/>
                  <w:vMerge w:val="continue"/>
                  <w:noWrap w:val="0"/>
                  <w:vAlign w:val="center"/>
                </w:tcPr>
                <w:p w14:paraId="765BFBF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19" w:type="pct"/>
                  <w:noWrap w:val="0"/>
                  <w:vAlign w:val="center"/>
                </w:tcPr>
                <w:p w14:paraId="4177CA65">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生物医药</w:t>
                  </w:r>
                </w:p>
              </w:tc>
              <w:tc>
                <w:tcPr>
                  <w:tcW w:w="2011" w:type="pct"/>
                  <w:noWrap w:val="0"/>
                  <w:vAlign w:val="center"/>
                </w:tcPr>
                <w:p w14:paraId="7968FCB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满足《云南省“十四五”生物医药产业创新发展规划要求》。</w:t>
                  </w:r>
                </w:p>
              </w:tc>
              <w:tc>
                <w:tcPr>
                  <w:tcW w:w="1838" w:type="pct"/>
                  <w:noWrap w:val="0"/>
                  <w:vAlign w:val="center"/>
                </w:tcPr>
                <w:p w14:paraId="47FC6F04">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本项目不属于生物医疗项目，</w:t>
                  </w:r>
                  <w:r>
                    <w:rPr>
                      <w:rFonts w:hint="default" w:ascii="Times New Roman" w:hAnsi="Times New Roman" w:eastAsia="宋体" w:cs="Times New Roman"/>
                      <w:color w:val="auto"/>
                      <w:sz w:val="21"/>
                      <w:szCs w:val="21"/>
                      <w:highlight w:val="none"/>
                    </w:rPr>
                    <w:t>不涉及</w:t>
                  </w:r>
                  <w:r>
                    <w:rPr>
                      <w:rFonts w:hint="default" w:ascii="Times New Roman" w:hAnsi="Times New Roman" w:eastAsia="宋体" w:cs="Times New Roman"/>
                      <w:color w:val="auto"/>
                      <w:sz w:val="21"/>
                      <w:szCs w:val="21"/>
                      <w:highlight w:val="none"/>
                      <w:lang w:val="en-US" w:eastAsia="zh-CN"/>
                    </w:rPr>
                    <w:t>该条内容</w:t>
                  </w:r>
                  <w:r>
                    <w:rPr>
                      <w:rFonts w:hint="default" w:ascii="Times New Roman" w:hAnsi="Times New Roman" w:eastAsia="宋体" w:cs="Times New Roman"/>
                      <w:color w:val="auto"/>
                      <w:sz w:val="21"/>
                      <w:szCs w:val="21"/>
                      <w:highlight w:val="none"/>
                    </w:rPr>
                    <w:t>。</w:t>
                  </w:r>
                </w:p>
              </w:tc>
              <w:tc>
                <w:tcPr>
                  <w:tcW w:w="438" w:type="pct"/>
                  <w:noWrap w:val="0"/>
                  <w:vAlign w:val="center"/>
                </w:tcPr>
                <w:p w14:paraId="23CECAD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bl>
          <w:p w14:paraId="2287258A">
            <w:pPr>
              <w:pStyle w:val="22"/>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根据上表分析</w:t>
            </w:r>
            <w:r>
              <w:rPr>
                <w:rFonts w:hint="default" w:ascii="Times New Roman" w:hAnsi="Times New Roman" w:eastAsia="宋体" w:cs="Times New Roman"/>
                <w:color w:val="auto"/>
                <w:sz w:val="24"/>
                <w:szCs w:val="24"/>
                <w:highlight w:val="none"/>
              </w:rPr>
              <w:t>，本项目不属于园区</w:t>
            </w:r>
            <w:r>
              <w:rPr>
                <w:rFonts w:hint="default" w:ascii="Times New Roman" w:hAnsi="Times New Roman" w:eastAsia="宋体" w:cs="Times New Roman"/>
                <w:color w:val="auto"/>
                <w:sz w:val="24"/>
                <w:szCs w:val="24"/>
                <w:highlight w:val="none"/>
                <w:lang w:val="en-US" w:eastAsia="zh-CN"/>
              </w:rPr>
              <w:t>环境准入</w:t>
            </w:r>
            <w:r>
              <w:rPr>
                <w:rFonts w:hint="default" w:ascii="Times New Roman" w:hAnsi="Times New Roman" w:eastAsia="宋体" w:cs="Times New Roman"/>
                <w:color w:val="auto"/>
                <w:sz w:val="24"/>
                <w:szCs w:val="24"/>
                <w:highlight w:val="none"/>
              </w:rPr>
              <w:t>负面清单</w:t>
            </w:r>
            <w:r>
              <w:rPr>
                <w:rFonts w:hint="eastAsia"/>
                <w:color w:val="auto"/>
                <w:sz w:val="24"/>
                <w:szCs w:val="24"/>
                <w:lang w:val="en-US" w:eastAsia="zh-CN"/>
              </w:rPr>
              <w:t>所列禁止和限制类项目</w:t>
            </w:r>
            <w:r>
              <w:rPr>
                <w:rFonts w:hint="default" w:ascii="Times New Roman" w:hAnsi="Times New Roman" w:eastAsia="宋体" w:cs="Times New Roman"/>
                <w:color w:val="auto"/>
                <w:sz w:val="24"/>
                <w:szCs w:val="24"/>
                <w:highlight w:val="none"/>
              </w:rPr>
              <w:t>，符合环境准入负面清单要求。</w:t>
            </w:r>
          </w:p>
          <w:p w14:paraId="7470C773">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2"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val="0"/>
                <w:color w:val="auto"/>
                <w:sz w:val="24"/>
                <w:szCs w:val="24"/>
                <w:highlight w:val="none"/>
                <w:lang w:val="en-US" w:eastAsia="zh-CN"/>
              </w:rPr>
              <w:t>（3）本项目与规划环评审查意见（昆环审</w:t>
            </w:r>
            <w:r>
              <w:rPr>
                <w:rFonts w:hint="default" w:ascii="Times New Roman" w:hAnsi="Times New Roman" w:eastAsia="宋体" w:cs="Times New Roman"/>
                <w:b/>
                <w:bCs/>
                <w:color w:val="auto"/>
                <w:sz w:val="24"/>
                <w:szCs w:val="24"/>
                <w:highlight w:val="none"/>
                <w:lang w:val="en-US" w:eastAsia="zh-CN"/>
              </w:rPr>
              <w:t>〔2023〕</w:t>
            </w:r>
            <w:r>
              <w:rPr>
                <w:rFonts w:hint="default" w:ascii="Times New Roman" w:hAnsi="Times New Roman" w:eastAsia="宋体" w:cs="Times New Roman"/>
                <w:b/>
                <w:bCs w:val="0"/>
                <w:color w:val="auto"/>
                <w:sz w:val="24"/>
                <w:szCs w:val="24"/>
                <w:highlight w:val="none"/>
                <w:lang w:val="en-US" w:eastAsia="zh-CN"/>
              </w:rPr>
              <w:t>5号）的符合性分析</w:t>
            </w:r>
          </w:p>
          <w:p w14:paraId="65B8192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en-US" w:eastAsia="zh-CN"/>
              </w:rPr>
              <w:t>项目与规划环评审查意见</w:t>
            </w:r>
            <w:r>
              <w:rPr>
                <w:rFonts w:hint="default" w:ascii="Times New Roman" w:hAnsi="Times New Roman" w:eastAsia="宋体" w:cs="Times New Roman"/>
                <w:color w:val="auto"/>
                <w:sz w:val="24"/>
                <w:szCs w:val="24"/>
                <w:highlight w:val="none"/>
                <w:lang w:val="zh-CN"/>
              </w:rPr>
              <w:t>对照情况如下</w:t>
            </w:r>
            <w:r>
              <w:rPr>
                <w:rFonts w:hint="eastAsia" w:ascii="Times New Roman" w:hAnsi="Times New Roman" w:eastAsia="宋体" w:cs="Times New Roman"/>
                <w:color w:val="auto"/>
                <w:sz w:val="24"/>
                <w:szCs w:val="24"/>
                <w:highlight w:val="none"/>
                <w:lang w:val="zh-CN"/>
              </w:rPr>
              <w:t>。</w:t>
            </w:r>
          </w:p>
          <w:p w14:paraId="3519517C">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pacing w:val="-2"/>
                <w:sz w:val="21"/>
                <w:szCs w:val="21"/>
                <w:highlight w:val="none"/>
                <w:lang w:val="en-US" w:eastAsia="zh-CN"/>
              </w:rPr>
            </w:pPr>
            <w:r>
              <w:rPr>
                <w:rFonts w:hint="default" w:ascii="Times New Roman" w:hAnsi="Times New Roman" w:eastAsia="宋体" w:cs="Times New Roman"/>
                <w:b/>
                <w:bCs/>
                <w:color w:val="auto"/>
                <w:spacing w:val="-2"/>
                <w:sz w:val="21"/>
                <w:szCs w:val="21"/>
                <w:highlight w:val="none"/>
                <w:lang w:val="en-US" w:eastAsia="zh-CN"/>
              </w:rPr>
              <w:t>表1-</w:t>
            </w:r>
            <w:r>
              <w:rPr>
                <w:rFonts w:hint="eastAsia" w:ascii="Times New Roman" w:hAnsi="Times New Roman" w:eastAsia="宋体" w:cs="Times New Roman"/>
                <w:b/>
                <w:bCs/>
                <w:color w:val="auto"/>
                <w:spacing w:val="-2"/>
                <w:sz w:val="21"/>
                <w:szCs w:val="21"/>
                <w:highlight w:val="none"/>
                <w:lang w:val="en-US" w:eastAsia="zh-CN"/>
              </w:rPr>
              <w:t>4</w:t>
            </w:r>
            <w:r>
              <w:rPr>
                <w:rFonts w:hint="default" w:ascii="Times New Roman" w:hAnsi="Times New Roman" w:eastAsia="宋体" w:cs="Times New Roman"/>
                <w:b/>
                <w:bCs/>
                <w:color w:val="auto"/>
                <w:spacing w:val="-2"/>
                <w:sz w:val="21"/>
                <w:szCs w:val="21"/>
                <w:highlight w:val="none"/>
                <w:lang w:val="en-US" w:eastAsia="zh-CN"/>
              </w:rPr>
              <w:t xml:space="preserve">  与审查意见相符性分析</w:t>
            </w:r>
          </w:p>
          <w:tbl>
            <w:tblPr>
              <w:tblStyle w:val="36"/>
              <w:tblW w:w="7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7"/>
              <w:gridCol w:w="3301"/>
              <w:gridCol w:w="676"/>
            </w:tblGrid>
            <w:tr w14:paraId="1FF7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44136243">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审查意见提出要求</w:t>
                  </w:r>
                </w:p>
              </w:tc>
              <w:tc>
                <w:tcPr>
                  <w:tcW w:w="3301" w:type="dxa"/>
                  <w:noWrap w:val="0"/>
                  <w:vAlign w:val="center"/>
                </w:tcPr>
                <w:p w14:paraId="3C6B6329">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本项目情况</w:t>
                  </w:r>
                </w:p>
              </w:tc>
              <w:tc>
                <w:tcPr>
                  <w:tcW w:w="676" w:type="dxa"/>
                  <w:noWrap w:val="0"/>
                  <w:vAlign w:val="center"/>
                </w:tcPr>
                <w:p w14:paraId="0DB2C447">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相符性</w:t>
                  </w:r>
                </w:p>
              </w:tc>
            </w:tr>
            <w:tr w14:paraId="0431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535263C9">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lang w:val="en-US" w:eastAsia="zh-CN" w:bidi="ar"/>
                    </w:rPr>
                    <w:t>（一）加强规划引导，严格落实国家关于生态环境保护、高质量发展相关要求，坚持生态优先、绿色发展，落实生态环境分区管控要求，统筹保护好区域生态空间。根据区域发展战略，从长远考虑，合理控制园区产业发展规模，着力推动园区产业转型升级，促进实现生态环境保护与高质量发展、人居环境安全相协调。</w:t>
                  </w:r>
                </w:p>
              </w:tc>
              <w:tc>
                <w:tcPr>
                  <w:tcW w:w="3301" w:type="dxa"/>
                  <w:noWrap w:val="0"/>
                  <w:vAlign w:val="center"/>
                </w:tcPr>
                <w:p w14:paraId="1B07426C">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位于寻甸产业园金所片区，属于规划工业用地；项目严格落实区域生态环境分区管控要求，不占用生态保护红线、基本农田等生态空间。项目为塑料制品生产，属于园区允许发展的轻工类产业，不属于淘汰落后产业，符合园区产业转型升级方向；项目各项污染治理措施完善，污染物达标排放，可实现区域生态环境保护与产业协调发展。</w:t>
                  </w:r>
                </w:p>
              </w:tc>
              <w:tc>
                <w:tcPr>
                  <w:tcW w:w="676" w:type="dxa"/>
                  <w:noWrap w:val="0"/>
                  <w:vAlign w:val="center"/>
                </w:tcPr>
                <w:p w14:paraId="405427B3">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符合</w:t>
                  </w:r>
                </w:p>
              </w:tc>
            </w:tr>
            <w:tr w14:paraId="3B70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370F894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（二）进一步优化园区空间布局，加强空间管控，严禁不符合管控要求的各类开发和建设活动。 </w:t>
                  </w:r>
                </w:p>
                <w:p w14:paraId="6D6284E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严格执行《中华人民共和国长江保护法》、《长江经济带发展负面清单指南（试行，2022 年版）》、《云南省长江经济带发展负面清单指南实施细则（试行，2022 年版）》、《云南省牛栏江保护条例》、《云南省人民政府关于同意牛栏江流域（云南部分）水环境保护规划的批复》（云政复〔2010〕21 号）等相关规定，禁止新建、扩建不符合国家产业布局规划的项目。 </w:t>
                  </w:r>
                </w:p>
                <w:p w14:paraId="3B207AD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逐步淘汰搬迁园区内现有不符合产业定位和环境保护要求的企业，推进创新型产业发展，提升园区企业的生产技术水平和园区的绿色循环化水平。天生桥组团现有云南明盛养殖有限公司养殖项目实施限期搬迁。金所组团现有煤、磷、盐等化工企业不得新建、扩建，同时加快产业转型升级及安全环保提升改造。</w:t>
                  </w:r>
                </w:p>
              </w:tc>
              <w:tc>
                <w:tcPr>
                  <w:tcW w:w="3301" w:type="dxa"/>
                  <w:noWrap w:val="0"/>
                  <w:vAlign w:val="center"/>
                </w:tcPr>
                <w:p w14:paraId="5FBC6212">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选址位于金所组团规划工业用地，选址符合园区空间布局管控要求；不属于长江经济带、牛栏江流域负面清单禁止类项目；本项目为塑料制品生产，不属于煤、磷、盐类化工项目，不涉及化工扩建；不在天生桥组团，不涉及养殖搬迁相关要求；项目采用成熟生产工艺，注重原料回收利用，符合园区绿色循环化发展导向。</w:t>
                  </w:r>
                </w:p>
              </w:tc>
              <w:tc>
                <w:tcPr>
                  <w:tcW w:w="676" w:type="dxa"/>
                  <w:noWrap w:val="0"/>
                  <w:vAlign w:val="center"/>
                </w:tcPr>
                <w:p w14:paraId="70A7F814">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符合</w:t>
                  </w:r>
                </w:p>
              </w:tc>
            </w:tr>
            <w:tr w14:paraId="4A81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738CA4D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
                    </w:rPr>
                    <w:t>（三）</w:t>
                  </w:r>
                  <w:r>
                    <w:rPr>
                      <w:rFonts w:hint="eastAsia" w:ascii="宋体" w:hAnsi="宋体" w:eastAsia="宋体" w:cs="宋体"/>
                      <w:color w:val="auto"/>
                      <w:sz w:val="21"/>
                      <w:szCs w:val="21"/>
                      <w:highlight w:val="none"/>
                    </w:rPr>
                    <w:t>严守环境质量底线、严格新入园项目及现有项目环境管理。制定主要污染物区域削减方案，建立健全主要污染物管理台账，采取有效措施减少氮氧化物、二氧化硫、挥发性有机物、化学需氧量、氨氮等污染物排放总量，确保区域环境质量持续改善。</w:t>
                  </w:r>
                </w:p>
                <w:p w14:paraId="57926DD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入园企业应采用先进的生产工艺路线、设备、清洁能源与原料，从源头上控制污染物的产生。高度重视园区废水收集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处理、回用、排放的环境管理。实施“雨污分流”，加强天生桥组团、金所组团初期雨水的收集、处理，加快园区污水处理厂再生水处理设施及配套管网建设。严格落实牛栏江流域严禁新改扩建工业废水排污口的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强化园区生活污水收集处理回用，加强区域水环境综合整治，确保实现区域水环境质量改善</w:t>
                  </w:r>
                  <w:r>
                    <w:rPr>
                      <w:rFonts w:hint="eastAsia" w:ascii="宋体" w:hAnsi="宋体" w:eastAsia="宋体" w:cs="宋体"/>
                      <w:color w:val="auto"/>
                      <w:sz w:val="21"/>
                      <w:szCs w:val="21"/>
                      <w:highlight w:val="none"/>
                      <w:lang w:val="en-US" w:eastAsia="zh-CN"/>
                    </w:rPr>
                    <w:t>目标。</w:t>
                  </w:r>
                </w:p>
                <w:p w14:paraId="5D0C5DD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园区在产业布局和入园项目建设时应充分考虑对地下水环境影响，按照《报告书》提出的重点保护区、重点控制区、其他区域三类区域进行分级管控。严格水文地质、工程地质勘察做好地下水污染防治和监控，按相关规范要求采取针对性防渗措施，严格执行《地下水管理条例》等相关规定。</w:t>
                  </w:r>
                </w:p>
                <w:p w14:paraId="61AF9D0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将土壤污染防治工作纳入园区规划及相关生态环境保护规划，采取有效预防措施，防止、减少土壤污染，确保满足土壤环境管控要求。</w:t>
                  </w:r>
                </w:p>
              </w:tc>
              <w:tc>
                <w:tcPr>
                  <w:tcW w:w="3301" w:type="dxa"/>
                  <w:noWrap w:val="0"/>
                  <w:vAlign w:val="center"/>
                </w:tcPr>
                <w:p w14:paraId="398F839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本项目涉及主要污染物为挥发性有机物，项目挥</w:t>
                  </w:r>
                  <w:r>
                    <w:rPr>
                      <w:rFonts w:hint="eastAsia" w:ascii="宋体" w:hAnsi="宋体" w:cs="宋体"/>
                      <w:color w:val="auto"/>
                      <w:sz w:val="21"/>
                      <w:szCs w:val="21"/>
                      <w:highlight w:val="none"/>
                      <w:lang w:val="en-US" w:eastAsia="zh-CN"/>
                    </w:rPr>
                    <w:t>发性</w:t>
                  </w:r>
                  <w:bookmarkStart w:id="19" w:name="_GoBack"/>
                  <w:bookmarkEnd w:id="19"/>
                  <w:r>
                    <w:rPr>
                      <w:rFonts w:hint="eastAsia" w:ascii="宋体" w:hAnsi="宋体" w:eastAsia="宋体" w:cs="宋体"/>
                      <w:color w:val="auto"/>
                      <w:sz w:val="21"/>
                      <w:szCs w:val="21"/>
                      <w:highlight w:val="none"/>
                      <w:lang w:val="en-US" w:eastAsia="zh-CN"/>
                    </w:rPr>
                    <w:t>有机物排放量纳入总量控制指标；运营期严格落实废气治理措施；项目采用先进成熟热注塑工艺，使用电能为清洁能源，从源头削减污染物产生。项目落实雨污分流，雨水、污水分开收集；本项目位于金所片区，属于地下水重点防控区域，详见附图8；项目生产冷却水循环使用，</w:t>
                  </w:r>
                  <w:r>
                    <w:rPr>
                      <w:rFonts w:hint="eastAsia" w:ascii="宋体" w:hAnsi="宋体" w:cs="宋体"/>
                      <w:color w:val="auto"/>
                      <w:sz w:val="21"/>
                      <w:szCs w:val="21"/>
                      <w:highlight w:val="none"/>
                      <w:lang w:val="en-US" w:eastAsia="zh-CN"/>
                    </w:rPr>
                    <w:t>无生产废水外排，</w:t>
                  </w:r>
                  <w:r>
                    <w:rPr>
                      <w:rFonts w:hint="eastAsia" w:ascii="宋体" w:hAnsi="宋体" w:eastAsia="宋体" w:cs="宋体"/>
                      <w:color w:val="auto"/>
                      <w:sz w:val="21"/>
                      <w:szCs w:val="21"/>
                      <w:highlight w:val="none"/>
                      <w:lang w:val="en-US" w:eastAsia="zh-CN"/>
                    </w:rPr>
                    <w:t>不设置工业废水外排口，</w:t>
                  </w:r>
                  <w:r>
                    <w:rPr>
                      <w:rFonts w:hint="eastAsia" w:ascii="宋体" w:hAnsi="宋体" w:cs="宋体"/>
                      <w:color w:val="auto"/>
                      <w:sz w:val="21"/>
                      <w:szCs w:val="21"/>
                      <w:highlight w:val="none"/>
                      <w:lang w:val="en-US" w:eastAsia="zh-CN"/>
                    </w:rPr>
                    <w:t>间接冷却循环废水、</w:t>
                  </w:r>
                  <w:r>
                    <w:rPr>
                      <w:rFonts w:hint="eastAsia" w:ascii="宋体" w:hAnsi="宋体" w:eastAsia="宋体" w:cs="宋体"/>
                      <w:color w:val="auto"/>
                      <w:sz w:val="21"/>
                      <w:szCs w:val="21"/>
                      <w:highlight w:val="none"/>
                      <w:lang w:val="en-US" w:eastAsia="zh-CN"/>
                    </w:rPr>
                    <w:t>生活污水排入园区已建一体化污水处理设施处理；用水由市政管网供给，不抽取地下水。项目按照分区防渗要求落实防渗措施，一般生产区为一般防渗区，</w:t>
                  </w:r>
                  <w:r>
                    <w:rPr>
                      <w:rFonts w:hint="eastAsia" w:ascii="宋体" w:hAnsi="宋体" w:cs="宋体"/>
                      <w:color w:val="auto"/>
                      <w:sz w:val="21"/>
                      <w:szCs w:val="21"/>
                      <w:highlight w:val="none"/>
                      <w:lang w:val="en-US" w:eastAsia="zh-CN"/>
                    </w:rPr>
                    <w:t>危废贮存库</w:t>
                  </w:r>
                  <w:r>
                    <w:rPr>
                      <w:rFonts w:hint="eastAsia" w:ascii="宋体" w:hAnsi="宋体" w:eastAsia="宋体" w:cs="宋体"/>
                      <w:color w:val="auto"/>
                      <w:sz w:val="21"/>
                      <w:szCs w:val="21"/>
                      <w:highlight w:val="none"/>
                      <w:lang w:val="en-US" w:eastAsia="zh-CN"/>
                    </w:rPr>
                    <w:t>为重点防渗区，采取在现有硬化地面的基础上+防渗措施，落实地下水、土壤污染预防管控，避免污染物下渗污染地下水及土壤。</w:t>
                  </w:r>
                </w:p>
              </w:tc>
              <w:tc>
                <w:tcPr>
                  <w:tcW w:w="676" w:type="dxa"/>
                  <w:noWrap w:val="0"/>
                  <w:vAlign w:val="center"/>
                </w:tcPr>
                <w:p w14:paraId="7A938A6B">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符合</w:t>
                  </w:r>
                </w:p>
              </w:tc>
            </w:tr>
            <w:tr w14:paraId="09BF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3897" w:type="dxa"/>
                  <w:noWrap w:val="0"/>
                  <w:vAlign w:val="center"/>
                </w:tcPr>
                <w:p w14:paraId="5849AFA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
                    </w:rPr>
                    <w:t>（四）</w:t>
                  </w:r>
                  <w:r>
                    <w:rPr>
                      <w:rFonts w:hint="eastAsia" w:ascii="宋体" w:hAnsi="宋体" w:eastAsia="宋体" w:cs="宋体"/>
                      <w:color w:val="auto"/>
                      <w:sz w:val="21"/>
                      <w:szCs w:val="21"/>
                      <w:highlight w:val="none"/>
                      <w:lang w:val="en-US" w:eastAsia="zh-CN"/>
                    </w:rPr>
                    <w:t>建立环境风险防控体系，提高环境应急能力，加强区内重要环境风险源管控，严控高风险产业发展规模。强化园区危险化学品储运的环境风险管理，加强金所组团现有煤、磷盐化工企业和天生桥组团磷化工企业环境风险管控。制定厂区园区、区域三级防控措施，强化园区环境监测与预警能力建设环境风险应急与防范措施，建立应急响应联动机制和风险防控体系。重点关注地表水环境风险防控措施，应确保事故状态下工业废水零排放。编制突发环境事件应急预案，防范环境风险避免事故排放，保障区域环境安全。</w:t>
                  </w:r>
                </w:p>
              </w:tc>
              <w:tc>
                <w:tcPr>
                  <w:tcW w:w="3301" w:type="dxa"/>
                  <w:noWrap w:val="0"/>
                  <w:vAlign w:val="center"/>
                </w:tcPr>
                <w:p w14:paraId="77F8C84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原料主要为pp颗粒料和母料，</w:t>
                  </w:r>
                  <w:r>
                    <w:rPr>
                      <w:rFonts w:hint="default" w:ascii="Times New Roman" w:hAnsi="Times New Roman" w:eastAsia="宋体" w:cs="Times New Roman"/>
                      <w:color w:val="auto"/>
                      <w:sz w:val="21"/>
                      <w:szCs w:val="21"/>
                      <w:highlight w:val="none"/>
                    </w:rPr>
                    <w:t>不涉及危险化学品，</w:t>
                  </w:r>
                  <w:r>
                    <w:rPr>
                      <w:rFonts w:hint="default" w:ascii="Times New Roman" w:hAnsi="Times New Roman" w:cs="Times New Roman"/>
                      <w:color w:val="auto"/>
                      <w:lang w:val="en-US" w:eastAsia="zh-CN"/>
                    </w:rPr>
                    <w:t>项目运行产生废机油经收集后暂存于</w:t>
                  </w:r>
                  <w:r>
                    <w:rPr>
                      <w:rFonts w:hint="eastAsia" w:cs="Times New Roman"/>
                      <w:color w:val="auto"/>
                      <w:lang w:val="en-US" w:eastAsia="zh-CN"/>
                    </w:rPr>
                    <w:t>危废贮存库</w:t>
                  </w:r>
                  <w:r>
                    <w:rPr>
                      <w:rFonts w:hint="default" w:ascii="Times New Roman" w:hAnsi="Times New Roman" w:cs="Times New Roman"/>
                      <w:color w:val="auto"/>
                      <w:lang w:val="en-US" w:eastAsia="zh-CN"/>
                    </w:rPr>
                    <w:t>内，</w:t>
                  </w:r>
                  <w:r>
                    <w:rPr>
                      <w:rFonts w:hint="eastAsia" w:cs="Times New Roman"/>
                      <w:color w:val="auto"/>
                      <w:lang w:val="en-US" w:eastAsia="zh-CN"/>
                    </w:rPr>
                    <w:t>危废贮存库</w:t>
                  </w:r>
                  <w:r>
                    <w:rPr>
                      <w:rFonts w:hint="default" w:ascii="Times New Roman" w:hAnsi="Times New Roman" w:cs="Times New Roman"/>
                      <w:color w:val="auto"/>
                      <w:sz w:val="21"/>
                      <w:szCs w:val="21"/>
                      <w:lang w:val="en-US" w:eastAsia="zh-CN"/>
                    </w:rPr>
                    <w:t>严格按照</w:t>
                  </w:r>
                  <w:r>
                    <w:rPr>
                      <w:rFonts w:hint="default" w:ascii="Times New Roman" w:hAnsi="Times New Roman" w:eastAsia="宋体" w:cs="Times New Roman"/>
                      <w:color w:val="auto"/>
                      <w:kern w:val="0"/>
                      <w:sz w:val="21"/>
                      <w:szCs w:val="21"/>
                      <w:lang w:val="en-US" w:eastAsia="zh-CN" w:bidi="ar"/>
                    </w:rPr>
                    <w:t>《危险废物贮存污染控制标准》（GB18597-2023）</w:t>
                  </w:r>
                  <w:r>
                    <w:rPr>
                      <w:rFonts w:hint="default" w:ascii="Times New Roman" w:hAnsi="Times New Roman" w:cs="Times New Roman"/>
                      <w:color w:val="auto"/>
                      <w:sz w:val="21"/>
                      <w:szCs w:val="21"/>
                      <w:lang w:val="en-US" w:eastAsia="zh-CN"/>
                    </w:rPr>
                    <w:t>进行建设</w:t>
                  </w:r>
                  <w:r>
                    <w:rPr>
                      <w:rFonts w:hint="default" w:ascii="Times New Roman" w:hAnsi="Times New Roman" w:eastAsia="宋体" w:cs="Times New Roman"/>
                      <w:color w:val="auto"/>
                      <w:sz w:val="21"/>
                      <w:szCs w:val="21"/>
                      <w:highlight w:val="none"/>
                    </w:rPr>
                    <w:t>，环境风险一般，在采取相应的措施后，环境风险</w:t>
                  </w:r>
                  <w:r>
                    <w:rPr>
                      <w:rFonts w:hint="eastAsia" w:cs="Times New Roman"/>
                      <w:color w:val="auto"/>
                      <w:sz w:val="21"/>
                      <w:szCs w:val="21"/>
                      <w:highlight w:val="none"/>
                      <w:lang w:val="en-US" w:eastAsia="zh-CN"/>
                    </w:rPr>
                    <w:t>可控</w:t>
                  </w:r>
                  <w:r>
                    <w:rPr>
                      <w:rFonts w:hint="default" w:ascii="Times New Roman" w:hAnsi="Times New Roman" w:eastAsia="宋体" w:cs="Times New Roman"/>
                      <w:color w:val="auto"/>
                      <w:sz w:val="21"/>
                      <w:szCs w:val="21"/>
                      <w:highlight w:val="none"/>
                    </w:rPr>
                    <w:t>。</w:t>
                  </w:r>
                </w:p>
                <w:p w14:paraId="5C9E1BE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w:t>
                  </w:r>
                  <w:r>
                    <w:rPr>
                      <w:rFonts w:hint="eastAsia" w:ascii="宋体" w:hAnsi="宋体" w:eastAsia="宋体" w:cs="宋体"/>
                      <w:color w:val="auto"/>
                      <w:sz w:val="21"/>
                      <w:szCs w:val="21"/>
                      <w:highlight w:val="none"/>
                      <w:lang w:eastAsia="zh-CN"/>
                    </w:rPr>
                    <w:t>项目建成后</w:t>
                  </w:r>
                  <w:r>
                    <w:rPr>
                      <w:rFonts w:hint="eastAsia" w:ascii="宋体" w:hAnsi="宋体" w:eastAsia="宋体" w:cs="宋体"/>
                      <w:color w:val="auto"/>
                      <w:sz w:val="21"/>
                      <w:szCs w:val="21"/>
                      <w:highlight w:val="none"/>
                      <w:lang w:val="en-US" w:eastAsia="zh-CN"/>
                    </w:rPr>
                    <w:t>将编制突发环境事件应急预案，并报</w:t>
                  </w:r>
                  <w:r>
                    <w:rPr>
                      <w:rFonts w:hint="eastAsia" w:ascii="宋体" w:hAnsi="宋体" w:eastAsia="宋体" w:cs="宋体"/>
                      <w:color w:val="auto"/>
                      <w:sz w:val="21"/>
                      <w:szCs w:val="21"/>
                      <w:highlight w:val="none"/>
                      <w:lang w:eastAsia="zh-CN"/>
                    </w:rPr>
                    <w:t>昆明市生态环境局寻甸分局</w:t>
                  </w:r>
                  <w:r>
                    <w:rPr>
                      <w:rFonts w:hint="eastAsia" w:ascii="宋体" w:hAnsi="宋体" w:eastAsia="宋体" w:cs="宋体"/>
                      <w:color w:val="auto"/>
                      <w:sz w:val="21"/>
                      <w:szCs w:val="21"/>
                      <w:highlight w:val="none"/>
                      <w:lang w:val="en-US" w:eastAsia="zh-CN"/>
                    </w:rPr>
                    <w:t>备案。</w:t>
                  </w:r>
                </w:p>
              </w:tc>
              <w:tc>
                <w:tcPr>
                  <w:tcW w:w="676" w:type="dxa"/>
                  <w:noWrap w:val="0"/>
                  <w:vAlign w:val="center"/>
                </w:tcPr>
                <w:p w14:paraId="6E506CDB">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w:t>
                  </w:r>
                </w:p>
              </w:tc>
            </w:tr>
            <w:tr w14:paraId="5369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03E3ED2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（五）落实《关于“十四五”大宗固体废弃物综合利用的指导意见》（发改环资〔2021〕381 号）、《昆明市加快推动磷石膏综合利用二十条措施》等要求，按无害化、减量化、资源化的原则积极探索园区固体废弃物的源头减量、资源化综合利用途径，着力提升磷石膏综合利用率（量），化解磷石膏处理处置困难带来的环境问题。做好危险废物的收集、贮存、转运和处置各个环节的监管工作。园区固体废物暂存（处置）场的选址和建设必须按照相关要求严格落实污染防治措施，确保园区固废得到妥善处置。</w:t>
                  </w:r>
                </w:p>
              </w:tc>
              <w:tc>
                <w:tcPr>
                  <w:tcW w:w="3301" w:type="dxa"/>
                  <w:noWrap w:val="0"/>
                  <w:vAlign w:val="center"/>
                </w:tcPr>
                <w:p w14:paraId="5EA50C2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本项目生产过程产生不合格塑料边角料，全部在厂内破碎回用于生产，实现固体废物源头减量及资源化利用；项目产生少量</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eastAsia" w:ascii="宋体" w:hAnsi="宋体" w:eastAsia="宋体" w:cs="宋体"/>
                      <w:color w:val="auto"/>
                      <w:sz w:val="21"/>
                      <w:szCs w:val="21"/>
                      <w:highlight w:val="none"/>
                      <w:lang w:val="en-US" w:eastAsia="zh-CN"/>
                    </w:rPr>
                    <w:t>等危险废物，严格按照危废管理要求进行分类收集、密闭贮存，委托有资质单位转运处置；本项目不产生磷石膏，磷石膏相关管控为园区层面统筹实施，项目固废均可得到妥善处置。</w:t>
                  </w:r>
                </w:p>
              </w:tc>
              <w:tc>
                <w:tcPr>
                  <w:tcW w:w="676" w:type="dxa"/>
                  <w:noWrap w:val="0"/>
                  <w:vAlign w:val="center"/>
                </w:tcPr>
                <w:p w14:paraId="7B26D481">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w:t>
                  </w:r>
                </w:p>
              </w:tc>
            </w:tr>
            <w:tr w14:paraId="0D2D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68D7A94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（六）按照《工业领域碳达峰实施方案》等国家关于做好碳达峰碳中和工作的政策要求，积极开展园区减污降碳协同管控。</w:t>
                  </w:r>
                </w:p>
              </w:tc>
              <w:tc>
                <w:tcPr>
                  <w:tcW w:w="3301" w:type="dxa"/>
                  <w:noWrap w:val="0"/>
                  <w:vAlign w:val="center"/>
                </w:tcPr>
                <w:p w14:paraId="3063C94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选用低能耗生产设备，优先使用电能作为能源，不使用高污染燃料；生产边角料全部回收回用，减少原料消耗，从源头降低资源能源消耗，落实减污降碳相关要求；碳达峰碳中和整体管控由园区统一统筹推进。</w:t>
                  </w:r>
                </w:p>
              </w:tc>
              <w:tc>
                <w:tcPr>
                  <w:tcW w:w="676" w:type="dxa"/>
                  <w:noWrap w:val="0"/>
                  <w:vAlign w:val="center"/>
                </w:tcPr>
                <w:p w14:paraId="54CA2F23">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w:t>
                  </w:r>
                </w:p>
              </w:tc>
            </w:tr>
            <w:tr w14:paraId="0332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0F31CCE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七）逐步建立环境质量监测网络并共享数据。根据园区功能分区、产业布局、重点企业分布、特征污染物排放和环境敏感目标分布等情况，统筹安排环境监测监控网络建设。定期做好区域地表水、地下水和土壤等环境要素的跟踪监测与管理。根据监测结果、实际环境影响和不良环境影响减缓措施的有效性，完善环境管理并适时优化调整《规划》。</w:t>
                  </w:r>
                </w:p>
              </w:tc>
              <w:tc>
                <w:tcPr>
                  <w:tcW w:w="3301" w:type="dxa"/>
                  <w:noWrap w:val="0"/>
                  <w:vAlign w:val="center"/>
                </w:tcPr>
                <w:p w14:paraId="4B666FE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本项目按环评及排污许可要求落实自身污染源监测计划，配合园区环境监测管理工作。</w:t>
                  </w:r>
                </w:p>
              </w:tc>
              <w:tc>
                <w:tcPr>
                  <w:tcW w:w="676" w:type="dxa"/>
                  <w:noWrap w:val="0"/>
                  <w:vAlign w:val="center"/>
                </w:tcPr>
                <w:p w14:paraId="24D53FDD">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w:t>
                  </w:r>
                </w:p>
              </w:tc>
            </w:tr>
            <w:tr w14:paraId="09A8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1AB8719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（八）定期发布环境信息，建立畅通的公众参与平台。加强与周边公众的沟通，主动接受社会监督，及时解决公众关心的环境问题，按要求公开环境信息，满足公众合理的环境诉求。</w:t>
                  </w:r>
                </w:p>
              </w:tc>
              <w:tc>
                <w:tcPr>
                  <w:tcW w:w="3301" w:type="dxa"/>
                  <w:noWrap w:val="0"/>
                  <w:vAlign w:val="center"/>
                </w:tcPr>
                <w:p w14:paraId="4F957C7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w:t>
                  </w:r>
                  <w:r>
                    <w:rPr>
                      <w:rFonts w:hint="eastAsia" w:ascii="宋体" w:hAnsi="宋体" w:eastAsia="宋体" w:cs="宋体"/>
                      <w:color w:val="auto"/>
                      <w:kern w:val="0"/>
                      <w:sz w:val="21"/>
                      <w:szCs w:val="21"/>
                      <w:lang w:val="en-US" w:eastAsia="zh-CN" w:bidi="ar"/>
                    </w:rPr>
                    <w:t>加强与周边公众的沟通，定期发布环境信息</w:t>
                  </w:r>
                  <w:r>
                    <w:rPr>
                      <w:rFonts w:hint="eastAsia" w:ascii="宋体" w:hAnsi="宋体" w:eastAsia="宋体" w:cs="宋体"/>
                      <w:color w:val="auto"/>
                      <w:sz w:val="21"/>
                      <w:szCs w:val="21"/>
                      <w:highlight w:val="none"/>
                      <w:lang w:val="en-US" w:eastAsia="zh-CN"/>
                    </w:rPr>
                    <w:t>，建成后按排污许可制度要求开展企业环境信息公开，主动接受社会公众监督。</w:t>
                  </w:r>
                </w:p>
              </w:tc>
              <w:tc>
                <w:tcPr>
                  <w:tcW w:w="676" w:type="dxa"/>
                  <w:noWrap w:val="0"/>
                  <w:vAlign w:val="center"/>
                </w:tcPr>
                <w:p w14:paraId="51042DC3">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w:t>
                  </w:r>
                </w:p>
              </w:tc>
            </w:tr>
            <w:tr w14:paraId="7C4C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97" w:type="dxa"/>
                  <w:noWrap w:val="0"/>
                  <w:vAlign w:val="center"/>
                </w:tcPr>
                <w:p w14:paraId="111EE69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拟入园建设项目，应结合规划环评提出的指导意见做好环境影响评价工作，严格落实《报告书》提出的要求，加强与规划环评的联动。在项目环境影响评价中应重点开展工程分析、污染物允许排放量测算和环保措施的可行性论证等内容，执行污染物排放总量控制制度，强化环境监测和环境管理措施的落实。对符合规划环评环境管控要求和生态环境准入清单的具体建设项目，环评文件中选址、环境现状调查与评价结果仍具有时效性时，建设项目相应环境影响评价内容可结合实际情况</w:t>
                  </w:r>
                  <w:r>
                    <w:rPr>
                      <w:rFonts w:hint="eastAsia" w:ascii="宋体" w:hAnsi="宋体" w:eastAsia="宋体" w:cs="宋体"/>
                      <w:color w:val="auto"/>
                      <w:sz w:val="21"/>
                      <w:szCs w:val="21"/>
                      <w:highlight w:val="none"/>
                      <w:lang w:eastAsia="zh-CN"/>
                    </w:rPr>
                    <w:t>予以</w:t>
                  </w:r>
                  <w:r>
                    <w:rPr>
                      <w:rFonts w:hint="eastAsia" w:ascii="宋体" w:hAnsi="宋体" w:eastAsia="宋体" w:cs="宋体"/>
                      <w:color w:val="auto"/>
                      <w:sz w:val="21"/>
                      <w:szCs w:val="21"/>
                      <w:highlight w:val="none"/>
                    </w:rPr>
                    <w:t>简化。</w:t>
                  </w:r>
                </w:p>
              </w:tc>
              <w:tc>
                <w:tcPr>
                  <w:tcW w:w="3301" w:type="dxa"/>
                  <w:noWrap w:val="0"/>
                  <w:vAlign w:val="center"/>
                </w:tcPr>
                <w:p w14:paraId="76BCAA0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评价结合了规划环评提出的指导意见，落实了规划环评提出的要求，加强与规划环评的联动，重点开展了工程分析、污染物允许排放量测算和环保措施的可行性论证等内容，强化环境监测和环境保护相关措施的落实。</w:t>
                  </w:r>
                </w:p>
              </w:tc>
              <w:tc>
                <w:tcPr>
                  <w:tcW w:w="676" w:type="dxa"/>
                  <w:noWrap w:val="0"/>
                  <w:vAlign w:val="center"/>
                </w:tcPr>
                <w:p w14:paraId="1A7B504F">
                  <w:pPr>
                    <w:keepNext w:val="0"/>
                    <w:keepLines w:val="0"/>
                    <w:suppressLineNumbers w:val="0"/>
                    <w:shd w:val="clear" w:color="auto" w:fill="auto"/>
                    <w:spacing w:before="0" w:beforeAutospacing="0" w:after="0" w:afterAutospacing="0" w:line="240" w:lineRule="auto"/>
                    <w:ind w:left="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w:t>
                  </w:r>
                </w:p>
              </w:tc>
            </w:tr>
          </w:tbl>
          <w:p w14:paraId="16568334">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sz w:val="24"/>
                <w:szCs w:val="24"/>
                <w:highlight w:val="none"/>
              </w:rPr>
              <w:t>综上所述，项目建设与《云南寻甸产业园区总体规划修编（2021-2035）环境影响报告书》审查意见的函（昆环审</w:t>
            </w:r>
            <w:r>
              <w:rPr>
                <w:rFonts w:hint="default" w:ascii="Times New Roman" w:hAnsi="Times New Roman" w:eastAsia="宋体" w:cs="Times New Roman"/>
                <w:b w:val="0"/>
                <w:bCs w:val="0"/>
                <w:color w:val="auto"/>
                <w:sz w:val="24"/>
                <w:szCs w:val="24"/>
                <w:lang w:val="en-US" w:eastAsia="zh-CN"/>
              </w:rPr>
              <w:t>〔2023〕</w:t>
            </w:r>
            <w:r>
              <w:rPr>
                <w:rFonts w:hint="default" w:ascii="Times New Roman" w:hAnsi="Times New Roman" w:eastAsia="宋体" w:cs="Times New Roman"/>
                <w:color w:val="auto"/>
                <w:sz w:val="24"/>
                <w:szCs w:val="24"/>
                <w:highlight w:val="none"/>
              </w:rPr>
              <w:t>5号）</w:t>
            </w:r>
            <w:r>
              <w:rPr>
                <w:rFonts w:hint="default" w:ascii="Times New Roman" w:hAnsi="Times New Roman" w:eastAsia="宋体" w:cs="Times New Roman"/>
                <w:b w:val="0"/>
                <w:bCs w:val="0"/>
                <w:color w:val="auto"/>
                <w:sz w:val="24"/>
                <w:highlight w:val="none"/>
              </w:rPr>
              <w:t>相</w:t>
            </w:r>
            <w:r>
              <w:rPr>
                <w:rFonts w:hint="default" w:ascii="Times New Roman" w:hAnsi="Times New Roman" w:eastAsia="宋体" w:cs="Times New Roman"/>
                <w:color w:val="auto"/>
                <w:sz w:val="24"/>
                <w:highlight w:val="none"/>
              </w:rPr>
              <w:t>符。</w:t>
            </w:r>
          </w:p>
        </w:tc>
      </w:tr>
      <w:tr w14:paraId="191D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15" w:type="dxa"/>
            <w:noWrap w:val="0"/>
            <w:vAlign w:val="center"/>
          </w:tcPr>
          <w:p w14:paraId="49CB35A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其他符合性分析</w:t>
            </w:r>
          </w:p>
        </w:tc>
        <w:tc>
          <w:tcPr>
            <w:tcW w:w="8124" w:type="dxa"/>
            <w:gridSpan w:val="3"/>
            <w:noWrap w:val="0"/>
            <w:vAlign w:val="center"/>
          </w:tcPr>
          <w:p w14:paraId="3C2FD3F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1</w:t>
            </w:r>
            <w:r>
              <w:rPr>
                <w:rFonts w:hint="default" w:ascii="Times New Roman" w:hAnsi="Times New Roman" w:eastAsia="宋体" w:cs="Times New Roman"/>
                <w:b/>
                <w:bCs/>
                <w:color w:val="auto"/>
                <w:sz w:val="24"/>
              </w:rPr>
              <w:t>、产业政策符合性分析</w:t>
            </w:r>
          </w:p>
          <w:p w14:paraId="05ACF2E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auto"/>
                <w:kern w:val="0"/>
                <w:sz w:val="24"/>
                <w:lang w:bidi="ar"/>
              </w:rPr>
              <w:t>项目主要生产</w:t>
            </w:r>
            <w:r>
              <w:rPr>
                <w:rFonts w:hint="default" w:ascii="Times New Roman" w:hAnsi="Times New Roman" w:eastAsia="宋体" w:cs="Times New Roman"/>
                <w:color w:val="auto"/>
                <w:kern w:val="0"/>
                <w:sz w:val="24"/>
                <w:lang w:val="en-US" w:eastAsia="zh-CN" w:bidi="ar"/>
              </w:rPr>
              <w:t>塑料框</w:t>
            </w:r>
            <w:r>
              <w:rPr>
                <w:rFonts w:hint="default" w:ascii="Times New Roman" w:hAnsi="Times New Roman" w:eastAsia="宋体" w:cs="Times New Roman"/>
                <w:color w:val="auto"/>
                <w:kern w:val="0"/>
                <w:sz w:val="24"/>
                <w:lang w:bidi="ar"/>
              </w:rPr>
              <w:t>，属于《国民经济行业分类》（GB/T4754-2017）中的塑料包装箱及容器制造（C2926）</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根据《产业结构调整指导目录（2024年本）》，项目不属于鼓励类、限制类和淘汰类，根据国务院《促进产业结构调整暂行规定》（国发〔2005〕40号）第十三条“不属于鼓励类、限制类及淘汰类，且符合国家有关法律、法规和政策规定的，可视为允许类”</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项目不涉及《市场准入负面清单（2025年版）》中的禁止准入事项和准入要求。</w:t>
            </w:r>
            <w:r>
              <w:rPr>
                <w:rFonts w:hint="default" w:ascii="Times New Roman" w:hAnsi="Times New Roman" w:eastAsia="宋体" w:cs="Times New Roman"/>
                <w:color w:val="auto"/>
                <w:kern w:val="0"/>
                <w:sz w:val="24"/>
                <w:lang w:val="en-US" w:eastAsia="zh-CN" w:bidi="ar"/>
              </w:rPr>
              <w:t>同时，项目已于2026年8月11日取得寻甸回族彝族自治县发展和改革局出具的投资项目备案证，项目代码：2608-530129-04-01-108178。</w:t>
            </w:r>
            <w:r>
              <w:rPr>
                <w:rFonts w:hint="default" w:ascii="Times New Roman" w:hAnsi="Times New Roman" w:eastAsia="宋体" w:cs="Times New Roman"/>
                <w:color w:val="auto"/>
                <w:kern w:val="0"/>
                <w:sz w:val="24"/>
                <w:lang w:bidi="ar"/>
              </w:rPr>
              <w:t>综上所述，项目符合国家产业政策。</w:t>
            </w:r>
          </w:p>
          <w:p w14:paraId="0D4DE4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sz w:val="24"/>
                <w:szCs w:val="24"/>
                <w:highlight w:val="none"/>
                <w:lang w:val="en-US"/>
              </w:rPr>
            </w:pPr>
            <w:r>
              <w:rPr>
                <w:rFonts w:hint="default" w:ascii="Times New Roman" w:hAnsi="Times New Roman" w:eastAsia="宋体" w:cs="Times New Roman"/>
                <w:b/>
                <w:color w:val="000000"/>
                <w:sz w:val="24"/>
                <w:szCs w:val="24"/>
                <w:highlight w:val="none"/>
                <w:lang w:val="en-US" w:eastAsia="zh-CN"/>
              </w:rPr>
              <w:t>2、</w:t>
            </w:r>
            <w:r>
              <w:rPr>
                <w:rFonts w:hint="default" w:ascii="Times New Roman" w:hAnsi="Times New Roman" w:eastAsia="宋体" w:cs="Times New Roman"/>
                <w:b/>
                <w:color w:val="000000"/>
                <w:sz w:val="24"/>
                <w:szCs w:val="24"/>
                <w:highlight w:val="none"/>
              </w:rPr>
              <w:t>项目与</w:t>
            </w:r>
            <w:r>
              <w:rPr>
                <w:rFonts w:hint="default" w:ascii="Times New Roman" w:hAnsi="Times New Roman" w:eastAsia="宋体" w:cs="Times New Roman"/>
                <w:b/>
                <w:bCs/>
                <w:color w:val="000000"/>
                <w:kern w:val="0"/>
                <w:sz w:val="24"/>
                <w:szCs w:val="24"/>
                <w:highlight w:val="none"/>
                <w:lang w:val="en-US" w:eastAsia="zh-CN" w:bidi="ar"/>
              </w:rPr>
              <w:t>《中华人民共和国生态环境法典》（2026年8月15日起实施）符合性分析</w:t>
            </w:r>
          </w:p>
          <w:p w14:paraId="76F537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bCs w:val="0"/>
                <w:sz w:val="24"/>
                <w:szCs w:val="24"/>
                <w:highlight w:val="none"/>
              </w:rPr>
              <w:t>《中华人民共和国生态环境法典》</w:t>
            </w:r>
            <w:r>
              <w:rPr>
                <w:rFonts w:hint="default" w:ascii="Times New Roman" w:hAnsi="Times New Roman" w:eastAsia="宋体" w:cs="Times New Roman"/>
                <w:b w:val="0"/>
                <w:bCs w:val="0"/>
                <w:color w:val="000000"/>
                <w:kern w:val="0"/>
                <w:sz w:val="24"/>
                <w:szCs w:val="24"/>
                <w:highlight w:val="none"/>
                <w:lang w:val="en-US" w:eastAsia="zh-CN" w:bidi="ar"/>
              </w:rPr>
              <w:t>2026年3月12日第十四届全国人民代表大会第四次会议通过，2026年8月15日起实施，</w:t>
            </w:r>
            <w:r>
              <w:rPr>
                <w:rFonts w:hint="default" w:ascii="Times New Roman" w:hAnsi="Times New Roman" w:eastAsia="宋体" w:cs="Times New Roman"/>
                <w:b w:val="0"/>
                <w:bCs w:val="0"/>
                <w:sz w:val="24"/>
                <w:szCs w:val="24"/>
                <w:highlight w:val="none"/>
              </w:rPr>
              <w:t>系统规定了生态环境保护的基本原则、监督管理、污染防治、生态保护、绿色低碳发展、生态环境责任等内容。项目</w:t>
            </w:r>
            <w:r>
              <w:rPr>
                <w:rFonts w:hint="default" w:ascii="Times New Roman" w:hAnsi="Times New Roman" w:eastAsia="宋体" w:cs="Times New Roman"/>
                <w:b w:val="0"/>
                <w:bCs w:val="0"/>
                <w:color w:val="000000"/>
                <w:sz w:val="24"/>
                <w:szCs w:val="24"/>
                <w:highlight w:val="none"/>
              </w:rPr>
              <w:t>与</w:t>
            </w:r>
            <w:r>
              <w:rPr>
                <w:rFonts w:hint="default" w:ascii="Times New Roman" w:hAnsi="Times New Roman" w:eastAsia="宋体" w:cs="Times New Roman"/>
                <w:b w:val="0"/>
                <w:bCs w:val="0"/>
                <w:color w:val="000000"/>
                <w:kern w:val="0"/>
                <w:sz w:val="24"/>
                <w:szCs w:val="24"/>
                <w:highlight w:val="none"/>
                <w:lang w:val="en-US" w:eastAsia="zh-CN" w:bidi="ar"/>
              </w:rPr>
              <w:t>《中华人民共和国生态环境法典》符合性分析详见表1-</w:t>
            </w:r>
            <w:r>
              <w:rPr>
                <w:rFonts w:hint="eastAsia" w:ascii="Times New Roman" w:hAnsi="Times New Roman" w:eastAsia="宋体" w:cs="Times New Roman"/>
                <w:b w:val="0"/>
                <w:bCs w:val="0"/>
                <w:color w:val="000000"/>
                <w:kern w:val="0"/>
                <w:sz w:val="24"/>
                <w:szCs w:val="24"/>
                <w:highlight w:val="none"/>
                <w:lang w:val="en-US" w:eastAsia="zh-CN" w:bidi="ar"/>
              </w:rPr>
              <w:t>5</w:t>
            </w:r>
            <w:r>
              <w:rPr>
                <w:rFonts w:hint="default" w:ascii="Times New Roman" w:hAnsi="Times New Roman" w:eastAsia="宋体" w:cs="Times New Roman"/>
                <w:b w:val="0"/>
                <w:bCs w:val="0"/>
                <w:sz w:val="24"/>
                <w:szCs w:val="24"/>
                <w:highlight w:val="none"/>
              </w:rPr>
              <w:t>。</w:t>
            </w:r>
          </w:p>
          <w:p w14:paraId="625E5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val="0"/>
                <w:sz w:val="21"/>
                <w:szCs w:val="21"/>
                <w:highlight w:val="yellow"/>
              </w:rPr>
            </w:pPr>
            <w:r>
              <w:rPr>
                <w:rFonts w:hint="default" w:ascii="Times New Roman" w:hAnsi="Times New Roman" w:eastAsia="宋体" w:cs="Times New Roman"/>
                <w:b/>
                <w:bCs/>
                <w:color w:val="000000"/>
                <w:kern w:val="0"/>
                <w:sz w:val="21"/>
                <w:szCs w:val="21"/>
                <w:lang w:val="en-US" w:eastAsia="zh-CN" w:bidi="ar"/>
              </w:rPr>
              <w:t>表1-</w:t>
            </w:r>
            <w:r>
              <w:rPr>
                <w:rFonts w:hint="eastAsia" w:ascii="Times New Roman" w:hAnsi="Times New Roman" w:eastAsia="宋体" w:cs="Times New Roman"/>
                <w:b/>
                <w:bCs/>
                <w:color w:val="000000"/>
                <w:kern w:val="0"/>
                <w:sz w:val="21"/>
                <w:szCs w:val="21"/>
                <w:lang w:val="en-US" w:eastAsia="zh-CN" w:bidi="ar"/>
              </w:rPr>
              <w:t xml:space="preserve">5 </w:t>
            </w:r>
            <w:r>
              <w:rPr>
                <w:rFonts w:hint="default" w:ascii="Times New Roman" w:hAnsi="Times New Roman" w:eastAsia="宋体" w:cs="Times New Roman"/>
                <w:b/>
                <w:bCs/>
                <w:color w:val="000000"/>
                <w:kern w:val="0"/>
                <w:sz w:val="21"/>
                <w:szCs w:val="21"/>
                <w:lang w:val="en-US" w:eastAsia="zh-CN" w:bidi="ar"/>
              </w:rPr>
              <w:t xml:space="preserve"> 项目与《中华人民共和国生态环境法典》符合性分析</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7"/>
              <w:gridCol w:w="3234"/>
              <w:gridCol w:w="704"/>
            </w:tblGrid>
            <w:tr w14:paraId="4889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5993A1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sz w:val="21"/>
                      <w:szCs w:val="21"/>
                      <w:highlight w:val="none"/>
                    </w:rPr>
                    <w:t>法典要求（要点）</w:t>
                  </w:r>
                </w:p>
              </w:tc>
              <w:tc>
                <w:tcPr>
                  <w:tcW w:w="2048" w:type="pct"/>
                  <w:noWrap w:val="0"/>
                  <w:vAlign w:val="center"/>
                </w:tcPr>
                <w:p w14:paraId="4E9D21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项目情况</w:t>
                  </w:r>
                </w:p>
              </w:tc>
              <w:tc>
                <w:tcPr>
                  <w:tcW w:w="445" w:type="pct"/>
                  <w:noWrap w:val="0"/>
                  <w:vAlign w:val="center"/>
                </w:tcPr>
                <w:p w14:paraId="3195F7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符合性</w:t>
                  </w:r>
                </w:p>
              </w:tc>
            </w:tr>
            <w:tr w14:paraId="04F7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2C6E72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总则</w:t>
                  </w:r>
                </w:p>
              </w:tc>
            </w:tr>
            <w:tr w14:paraId="7C1F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30E44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第六十条 国家建立健全生态保护红线管理制度，优先将生态功能极重要区域、生态极敏感脆弱区域等区域划入生态保护红线，实行严格保护。</w:t>
                  </w:r>
                </w:p>
                <w:p w14:paraId="641F3E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开发利用自然资源或者从事影响生态环境的建设活动，应当严守生态保护红线，不得造成生态环境的损害。</w:t>
                  </w:r>
                </w:p>
              </w:tc>
              <w:tc>
                <w:tcPr>
                  <w:tcW w:w="2048" w:type="pct"/>
                  <w:noWrap w:val="0"/>
                  <w:vAlign w:val="center"/>
                </w:tcPr>
                <w:p w14:paraId="20998F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本项目选址</w:t>
                  </w:r>
                  <w:r>
                    <w:rPr>
                      <w:rFonts w:hint="eastAsia" w:cs="Times New Roman"/>
                      <w:b w:val="0"/>
                      <w:color w:val="auto"/>
                      <w:sz w:val="21"/>
                      <w:szCs w:val="21"/>
                      <w:highlight w:val="none"/>
                      <w:lang w:val="en-US" w:eastAsia="zh-CN"/>
                    </w:rPr>
                    <w:t>位于</w:t>
                  </w:r>
                  <w:r>
                    <w:rPr>
                      <w:rFonts w:hint="default" w:ascii="Times New Roman" w:hAnsi="Times New Roman" w:eastAsia="宋体" w:cs="Times New Roman"/>
                      <w:b w:val="0"/>
                      <w:color w:val="auto"/>
                      <w:sz w:val="21"/>
                      <w:szCs w:val="21"/>
                      <w:highlight w:val="none"/>
                    </w:rPr>
                    <w:t>寻甸特色产业园区金所片区，属于</w:t>
                  </w:r>
                  <w:r>
                    <w:rPr>
                      <w:rFonts w:hint="eastAsia" w:cs="Times New Roman"/>
                      <w:b w:val="0"/>
                      <w:color w:val="auto"/>
                      <w:sz w:val="21"/>
                      <w:szCs w:val="21"/>
                      <w:highlight w:val="none"/>
                      <w:lang w:eastAsia="zh-CN"/>
                    </w:rPr>
                    <w:t>《</w:t>
                  </w:r>
                  <w:r>
                    <w:rPr>
                      <w:rFonts w:hint="default" w:cs="Times New Roman"/>
                      <w:b w:val="0"/>
                      <w:color w:val="auto"/>
                      <w:sz w:val="21"/>
                      <w:szCs w:val="21"/>
                      <w:highlight w:val="none"/>
                      <w:lang w:val="zh-CN" w:eastAsia="zh-CN"/>
                    </w:rPr>
                    <w:t>云南寻甸产业园区总体规划修编（2021-2035）</w:t>
                  </w:r>
                  <w:r>
                    <w:rPr>
                      <w:rFonts w:hint="eastAsia" w:cs="Times New Roman"/>
                      <w:b w:val="0"/>
                      <w:color w:val="auto"/>
                      <w:sz w:val="21"/>
                      <w:szCs w:val="21"/>
                      <w:highlight w:val="none"/>
                      <w:lang w:eastAsia="zh-CN"/>
                    </w:rPr>
                    <w:t>》</w:t>
                  </w:r>
                  <w:r>
                    <w:rPr>
                      <w:rFonts w:hint="default" w:cs="Times New Roman"/>
                      <w:b w:val="0"/>
                      <w:color w:val="auto"/>
                      <w:sz w:val="21"/>
                      <w:szCs w:val="21"/>
                      <w:highlight w:val="none"/>
                      <w:lang w:eastAsia="zh-CN"/>
                    </w:rPr>
                    <w:t>规</w:t>
                  </w:r>
                  <w:r>
                    <w:rPr>
                      <w:rFonts w:hint="default" w:ascii="Times New Roman" w:hAnsi="Times New Roman" w:eastAsia="宋体" w:cs="Times New Roman"/>
                      <w:b w:val="0"/>
                      <w:color w:val="auto"/>
                      <w:sz w:val="21"/>
                      <w:szCs w:val="21"/>
                      <w:highlight w:val="none"/>
                    </w:rPr>
                    <w:t>划工业园区</w:t>
                  </w:r>
                  <w:r>
                    <w:rPr>
                      <w:rFonts w:hint="eastAsia" w:cs="Times New Roman"/>
                      <w:b w:val="0"/>
                      <w:color w:val="auto"/>
                      <w:sz w:val="21"/>
                      <w:szCs w:val="21"/>
                      <w:highlight w:val="none"/>
                      <w:lang w:val="en-US" w:eastAsia="zh-CN"/>
                    </w:rPr>
                    <w:t>范围</w:t>
                  </w:r>
                  <w:r>
                    <w:rPr>
                      <w:rFonts w:hint="default" w:ascii="Times New Roman" w:hAnsi="Times New Roman" w:eastAsia="宋体" w:cs="Times New Roman"/>
                      <w:b w:val="0"/>
                      <w:color w:val="auto"/>
                      <w:sz w:val="21"/>
                      <w:szCs w:val="21"/>
                      <w:highlight w:val="none"/>
                    </w:rPr>
                    <w:t>，不在生态保护红线范围之内，项目建设不涉及生态保护红线，不会对生态保护红线区域产生扰动与损害。</w:t>
                  </w:r>
                </w:p>
              </w:tc>
              <w:tc>
                <w:tcPr>
                  <w:tcW w:w="445" w:type="pct"/>
                  <w:noWrap w:val="0"/>
                  <w:vAlign w:val="center"/>
                </w:tcPr>
                <w:p w14:paraId="312F27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lang w:val="en-US" w:eastAsia="zh-CN"/>
                    </w:rPr>
                  </w:pPr>
                  <w:r>
                    <w:rPr>
                      <w:rFonts w:hint="default" w:ascii="Times New Roman" w:hAnsi="Times New Roman" w:eastAsia="宋体" w:cs="Times New Roman"/>
                      <w:b w:val="0"/>
                      <w:sz w:val="21"/>
                      <w:szCs w:val="21"/>
                      <w:highlight w:val="none"/>
                      <w:lang w:val="en-US" w:eastAsia="zh-CN"/>
                    </w:rPr>
                    <w:t>符合</w:t>
                  </w:r>
                </w:p>
              </w:tc>
            </w:tr>
            <w:tr w14:paraId="465E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6F74BC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 xml:space="preserve">第一百零五条 建设项目有下列情形之一的，生态环境主管部门应当对生态环境影响报告书、生态环境影响报告表作出不予批准的决定： </w:t>
                  </w:r>
                </w:p>
                <w:p w14:paraId="2BA3FC68">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建设项目类型及其选址、布局、规模等不符合生态环境法律法规规定和相关法定规划；</w:t>
                  </w:r>
                </w:p>
                <w:p w14:paraId="110F0C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right="0" w:right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（二）所在区域、流域、海域生态环境质量未达到生态环境质量标准，且建设项目拟采取的措施不能满足生态环境质量改善目标管理要求；</w:t>
                  </w:r>
                </w:p>
                <w:p w14:paraId="427BA0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（三）建设项目采取的污染防治措施无法确保污染物排放达到排放标准，或者未采取必要措施预防和控制生态破坏；</w:t>
                  </w:r>
                </w:p>
                <w:p w14:paraId="29032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（四）改建、扩建和技术改造项目，未针对项目原有环境污染和生态破坏提出有效防治措施；</w:t>
                  </w:r>
                </w:p>
                <w:p w14:paraId="460BB5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（五）建设项目的生态环境影响报告书、生态环境影响报告表存在基础资料明显不实，内容存在重大缺陷、遗漏或者虚假，生态环境影响评价结论不正确或者不合理等严重质量问题。</w:t>
                  </w:r>
                </w:p>
              </w:tc>
              <w:tc>
                <w:tcPr>
                  <w:tcW w:w="2048" w:type="pct"/>
                  <w:noWrap w:val="0"/>
                  <w:vAlign w:val="center"/>
                </w:tcPr>
                <w:p w14:paraId="30F0E1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（一）</w:t>
                  </w:r>
                  <w:r>
                    <w:rPr>
                      <w:rFonts w:hint="default" w:ascii="Times New Roman" w:hAnsi="Times New Roman" w:eastAsia="宋体" w:cs="Times New Roman"/>
                      <w:color w:val="auto"/>
                      <w:kern w:val="0"/>
                      <w:sz w:val="21"/>
                      <w:szCs w:val="21"/>
                      <w:highlight w:val="none"/>
                      <w:lang w:val="en-US" w:eastAsia="zh-CN" w:bidi="ar"/>
                    </w:rPr>
                    <w:t>本项目为新建塑料制品项目，选址位于寻甸产业园金所片区工业园区内，选址、布局、建设规模符合园区总体规划及生态环境分区管控要求；</w:t>
                  </w:r>
                </w:p>
                <w:p w14:paraId="69AD59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（二）</w:t>
                  </w:r>
                  <w:r>
                    <w:rPr>
                      <w:rFonts w:hint="default" w:ascii="Times New Roman" w:hAnsi="Times New Roman" w:eastAsia="宋体" w:cs="Times New Roman"/>
                      <w:color w:val="auto"/>
                      <w:kern w:val="0"/>
                      <w:sz w:val="21"/>
                      <w:szCs w:val="21"/>
                      <w:highlight w:val="none"/>
                      <w:lang w:val="en-US" w:eastAsia="zh-CN" w:bidi="ar"/>
                    </w:rPr>
                    <w:t>所在区域环境质量能够满足相应功能区标准；</w:t>
                  </w:r>
                </w:p>
                <w:p w14:paraId="56963C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（三）</w:t>
                  </w:r>
                  <w:r>
                    <w:rPr>
                      <w:rFonts w:hint="default" w:ascii="Times New Roman" w:hAnsi="Times New Roman" w:eastAsia="宋体" w:cs="Times New Roman"/>
                      <w:color w:val="auto"/>
                      <w:kern w:val="0"/>
                      <w:sz w:val="21"/>
                      <w:szCs w:val="21"/>
                      <w:highlight w:val="none"/>
                      <w:lang w:val="en-US" w:eastAsia="zh-CN" w:bidi="ar"/>
                    </w:rPr>
                    <w:t>项目配套完善废气、废水、固废、噪声污染防治措施，污染物可实现达标排放，同时落实分区防渗等措施预防土壤、地下水污染；</w:t>
                  </w:r>
                </w:p>
                <w:p w14:paraId="1F1E18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（四）</w:t>
                  </w:r>
                  <w:r>
                    <w:rPr>
                      <w:rFonts w:hint="default" w:ascii="Times New Roman" w:hAnsi="Times New Roman" w:eastAsia="宋体" w:cs="Times New Roman"/>
                      <w:color w:val="auto"/>
                      <w:kern w:val="0"/>
                      <w:sz w:val="21"/>
                      <w:szCs w:val="21"/>
                      <w:highlight w:val="none"/>
                      <w:lang w:val="en-US" w:eastAsia="zh-CN" w:bidi="ar"/>
                    </w:rPr>
                    <w:t>本项目属于新建项目，无原有工程污染问题；</w:t>
                  </w:r>
                </w:p>
                <w:p w14:paraId="09B797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（五）</w:t>
                  </w:r>
                  <w:r>
                    <w:rPr>
                      <w:rFonts w:hint="default" w:ascii="Times New Roman" w:hAnsi="Times New Roman" w:eastAsia="宋体" w:cs="Times New Roman"/>
                      <w:color w:val="auto"/>
                      <w:kern w:val="0"/>
                      <w:sz w:val="21"/>
                      <w:szCs w:val="21"/>
                      <w:highlight w:val="none"/>
                      <w:lang w:val="en-US" w:eastAsia="zh-CN" w:bidi="ar"/>
                    </w:rPr>
                    <w:t>项目环评</w:t>
                  </w:r>
                  <w:r>
                    <w:rPr>
                      <w:rFonts w:hint="eastAsia" w:cs="Times New Roman"/>
                      <w:color w:val="auto"/>
                      <w:kern w:val="0"/>
                      <w:sz w:val="21"/>
                      <w:szCs w:val="21"/>
                      <w:highlight w:val="none"/>
                      <w:lang w:val="en-US" w:eastAsia="zh-CN" w:bidi="ar"/>
                    </w:rPr>
                    <w:t>委托</w:t>
                  </w:r>
                  <w:r>
                    <w:rPr>
                      <w:rFonts w:hint="default" w:ascii="Times New Roman" w:hAnsi="Times New Roman" w:eastAsia="宋体" w:cs="Times New Roman"/>
                      <w:color w:val="auto"/>
                      <w:kern w:val="0"/>
                      <w:sz w:val="21"/>
                      <w:szCs w:val="21"/>
                      <w:highlight w:val="none"/>
                      <w:lang w:val="en-US" w:eastAsia="zh-CN" w:bidi="ar"/>
                    </w:rPr>
                    <w:t>具备相应技术能力的单位编制，环评基础资料真实，内容完整，评价结论合理。</w:t>
                  </w:r>
                </w:p>
                <w:p w14:paraId="518BC9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本项目不存在法条所列不予审批的情形。</w:t>
                  </w:r>
                </w:p>
              </w:tc>
              <w:tc>
                <w:tcPr>
                  <w:tcW w:w="445" w:type="pct"/>
                  <w:noWrap w:val="0"/>
                  <w:vAlign w:val="center"/>
                </w:tcPr>
                <w:p w14:paraId="206675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lang w:val="en-US" w:eastAsia="zh-CN"/>
                    </w:rPr>
                  </w:pPr>
                  <w:r>
                    <w:rPr>
                      <w:rFonts w:hint="default" w:ascii="Times New Roman" w:hAnsi="Times New Roman" w:eastAsia="宋体" w:cs="Times New Roman"/>
                      <w:b w:val="0"/>
                      <w:sz w:val="21"/>
                      <w:szCs w:val="21"/>
                      <w:highlight w:val="none"/>
                      <w:lang w:val="en-US" w:eastAsia="zh-CN"/>
                    </w:rPr>
                    <w:t>符合</w:t>
                  </w:r>
                </w:p>
              </w:tc>
            </w:tr>
            <w:tr w14:paraId="60C8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144B51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第一百一十七条 各级人民政府及其有关部门、企业事业单位和其他生产经营者，应当依法做好突发生态环境事件的预防准备、监测预警、应急处置、调查评估、事后恢复等工作。</w:t>
                  </w:r>
                </w:p>
                <w:p w14:paraId="4C4B1E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第一百二十三条 企业事业单位和其他生产经营者应当按照国家规定制定突发生态环境事件应急预案，报生态环境等有关部门备案。</w:t>
                  </w:r>
                </w:p>
              </w:tc>
              <w:tc>
                <w:tcPr>
                  <w:tcW w:w="2048" w:type="pct"/>
                  <w:noWrap w:val="0"/>
                  <w:vAlign w:val="center"/>
                </w:tcPr>
                <w:p w14:paraId="03FD6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厂区</w:t>
                  </w:r>
                  <w:r>
                    <w:rPr>
                      <w:rFonts w:hint="default" w:ascii="Times New Roman" w:hAnsi="Times New Roman" w:eastAsia="宋体" w:cs="Times New Roman"/>
                      <w:b w:val="0"/>
                      <w:color w:val="auto"/>
                      <w:sz w:val="21"/>
                      <w:szCs w:val="21"/>
                      <w:highlight w:val="none"/>
                      <w:lang w:val="en-US" w:eastAsia="zh-CN"/>
                    </w:rPr>
                    <w:t>设置</w:t>
                  </w:r>
                  <w:r>
                    <w:rPr>
                      <w:rFonts w:hint="default" w:ascii="Times New Roman" w:hAnsi="Times New Roman" w:eastAsia="宋体" w:cs="Times New Roman"/>
                      <w:b w:val="0"/>
                      <w:color w:val="auto"/>
                      <w:sz w:val="21"/>
                      <w:szCs w:val="21"/>
                      <w:highlight w:val="none"/>
                    </w:rPr>
                    <w:t>分区防渗、</w:t>
                  </w:r>
                  <w:r>
                    <w:rPr>
                      <w:rFonts w:hint="default" w:ascii="Times New Roman" w:hAnsi="Times New Roman" w:eastAsia="宋体" w:cs="Times New Roman"/>
                      <w:b w:val="0"/>
                      <w:color w:val="auto"/>
                      <w:sz w:val="21"/>
                      <w:szCs w:val="21"/>
                      <w:highlight w:val="none"/>
                      <w:lang w:val="en-US" w:eastAsia="zh-CN"/>
                    </w:rPr>
                    <w:t>清污分流</w:t>
                  </w:r>
                  <w:r>
                    <w:rPr>
                      <w:rFonts w:hint="default" w:ascii="Times New Roman" w:hAnsi="Times New Roman" w:eastAsia="宋体" w:cs="Times New Roman"/>
                      <w:b w:val="0"/>
                      <w:color w:val="auto"/>
                      <w:sz w:val="21"/>
                      <w:szCs w:val="21"/>
                      <w:highlight w:val="none"/>
                    </w:rPr>
                    <w:t>、危废规范暂存间</w:t>
                  </w:r>
                  <w:r>
                    <w:rPr>
                      <w:rFonts w:hint="default" w:ascii="Times New Roman" w:hAnsi="Times New Roman" w:eastAsia="宋体" w:cs="Times New Roman"/>
                      <w:b w:val="0"/>
                      <w:color w:val="auto"/>
                      <w:sz w:val="21"/>
                      <w:szCs w:val="21"/>
                      <w:highlight w:val="none"/>
                      <w:lang w:val="en-US" w:eastAsia="zh-CN"/>
                    </w:rPr>
                    <w:t>等措施</w:t>
                  </w:r>
                  <w:r>
                    <w:rPr>
                      <w:rFonts w:hint="default" w:ascii="Times New Roman" w:hAnsi="Times New Roman" w:eastAsia="宋体" w:cs="Times New Roman"/>
                      <w:b w:val="0"/>
                      <w:color w:val="auto"/>
                      <w:sz w:val="21"/>
                      <w:szCs w:val="21"/>
                      <w:highlight w:val="none"/>
                    </w:rPr>
                    <w:t>，</w:t>
                  </w:r>
                  <w:r>
                    <w:rPr>
                      <w:rFonts w:hint="default" w:ascii="Times New Roman" w:hAnsi="Times New Roman" w:eastAsia="宋体" w:cs="Times New Roman"/>
                      <w:b w:val="0"/>
                      <w:color w:val="auto"/>
                      <w:sz w:val="21"/>
                      <w:szCs w:val="21"/>
                      <w:highlight w:val="none"/>
                      <w:lang w:val="en-US" w:eastAsia="zh-CN"/>
                    </w:rPr>
                    <w:t>项目建成后</w:t>
                  </w:r>
                  <w:r>
                    <w:rPr>
                      <w:rFonts w:hint="default" w:ascii="Times New Roman" w:hAnsi="Times New Roman" w:eastAsia="宋体" w:cs="Times New Roman"/>
                      <w:b w:val="0"/>
                      <w:color w:val="auto"/>
                      <w:sz w:val="21"/>
                      <w:szCs w:val="21"/>
                      <w:highlight w:val="none"/>
                    </w:rPr>
                    <w:t>同步制定突发环境事件应急预案，满足法典</w:t>
                  </w:r>
                  <w:r>
                    <w:rPr>
                      <w:rFonts w:hint="default" w:ascii="Times New Roman" w:hAnsi="Times New Roman" w:eastAsia="宋体" w:cs="Times New Roman"/>
                      <w:b w:val="0"/>
                      <w:color w:val="auto"/>
                      <w:sz w:val="21"/>
                      <w:szCs w:val="21"/>
                      <w:highlight w:val="none"/>
                      <w:lang w:val="en-US" w:eastAsia="zh-CN"/>
                    </w:rPr>
                    <w:t>中</w:t>
                  </w:r>
                  <w:r>
                    <w:rPr>
                      <w:rFonts w:hint="default" w:ascii="Times New Roman" w:hAnsi="Times New Roman" w:eastAsia="宋体" w:cs="Times New Roman"/>
                      <w:color w:val="auto"/>
                      <w:kern w:val="0"/>
                      <w:sz w:val="21"/>
                      <w:szCs w:val="21"/>
                      <w:highlight w:val="none"/>
                      <w:lang w:val="en-US" w:eastAsia="zh-CN" w:bidi="ar"/>
                    </w:rPr>
                    <w:t>突发生态环境事件应对</w:t>
                  </w:r>
                  <w:r>
                    <w:rPr>
                      <w:rFonts w:hint="default" w:ascii="Times New Roman" w:hAnsi="Times New Roman" w:eastAsia="宋体" w:cs="Times New Roman"/>
                      <w:b w:val="0"/>
                      <w:color w:val="auto"/>
                      <w:sz w:val="21"/>
                      <w:szCs w:val="21"/>
                      <w:highlight w:val="none"/>
                    </w:rPr>
                    <w:t>法定要求。</w:t>
                  </w:r>
                </w:p>
              </w:tc>
              <w:tc>
                <w:tcPr>
                  <w:tcW w:w="445" w:type="pct"/>
                  <w:noWrap w:val="0"/>
                  <w:vAlign w:val="center"/>
                </w:tcPr>
                <w:p w14:paraId="156DE8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lang w:val="en-US" w:eastAsia="zh-CN"/>
                    </w:rPr>
                  </w:pPr>
                  <w:r>
                    <w:rPr>
                      <w:rFonts w:hint="default" w:ascii="Times New Roman" w:hAnsi="Times New Roman" w:eastAsia="宋体" w:cs="Times New Roman"/>
                      <w:b w:val="0"/>
                      <w:sz w:val="21"/>
                      <w:szCs w:val="21"/>
                      <w:highlight w:val="none"/>
                      <w:lang w:val="en-US" w:eastAsia="zh-CN"/>
                    </w:rPr>
                    <w:t>符合</w:t>
                  </w:r>
                </w:p>
              </w:tc>
            </w:tr>
            <w:tr w14:paraId="1C13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3B45DC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工业大气污染防治</w:t>
                  </w:r>
                </w:p>
              </w:tc>
            </w:tr>
            <w:tr w14:paraId="3983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5882DD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二百一十一条钢铁、建材、有色金属、石油、化工等企业生产过程中排放粉尘、硫化物和氮氧化物的，应当采用清洁生产工艺，配套建设除尘、脱硫、脱硝等装置，或者采取技术改造等其他控制大气污染物排放的措施。</w:t>
                  </w:r>
                </w:p>
              </w:tc>
              <w:tc>
                <w:tcPr>
                  <w:tcW w:w="2048" w:type="pct"/>
                  <w:noWrap w:val="0"/>
                  <w:vAlign w:val="center"/>
                </w:tcPr>
                <w:p w14:paraId="3A8CD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本项目为塑料制品制造，</w:t>
                  </w:r>
                  <w:r>
                    <w:rPr>
                      <w:rFonts w:hint="eastAsia" w:ascii="Times New Roman" w:hAnsi="Times New Roman" w:eastAsia="宋体" w:cs="Times New Roman"/>
                      <w:color w:val="auto"/>
                      <w:kern w:val="0"/>
                      <w:sz w:val="21"/>
                      <w:szCs w:val="21"/>
                      <w:highlight w:val="none"/>
                      <w:lang w:val="en-US" w:eastAsia="zh-CN" w:bidi="ar"/>
                    </w:rPr>
                    <w:t>不属于</w:t>
                  </w:r>
                  <w:r>
                    <w:rPr>
                      <w:rFonts w:hint="default" w:ascii="Times New Roman" w:hAnsi="Times New Roman" w:eastAsia="宋体" w:cs="Times New Roman"/>
                      <w:color w:val="auto"/>
                      <w:kern w:val="0"/>
                      <w:sz w:val="21"/>
                      <w:szCs w:val="21"/>
                      <w:highlight w:val="none"/>
                      <w:lang w:val="en-US" w:eastAsia="zh-CN" w:bidi="ar"/>
                    </w:rPr>
                    <w:t>第二百一十一条钢铁、建材、有色金属、石油、化工等企业</w:t>
                  </w:r>
                  <w:r>
                    <w:rPr>
                      <w:rFonts w:hint="eastAsia" w:ascii="Times New Roman" w:hAnsi="Times New Roman" w:eastAsia="宋体" w:cs="Times New Roman"/>
                      <w:color w:val="auto"/>
                      <w:kern w:val="0"/>
                      <w:sz w:val="21"/>
                      <w:szCs w:val="21"/>
                      <w:highlight w:val="none"/>
                      <w:lang w:val="en-US" w:eastAsia="zh-CN" w:bidi="ar"/>
                    </w:rPr>
                    <w:t>。生产过程中</w:t>
                  </w:r>
                  <w:r>
                    <w:rPr>
                      <w:rFonts w:hint="default" w:ascii="Times New Roman" w:hAnsi="Times New Roman" w:eastAsia="宋体" w:cs="Times New Roman"/>
                      <w:color w:val="auto"/>
                      <w:kern w:val="0"/>
                      <w:sz w:val="21"/>
                      <w:szCs w:val="21"/>
                      <w:highlight w:val="none"/>
                      <w:lang w:val="en-US" w:eastAsia="zh-CN" w:bidi="ar"/>
                    </w:rPr>
                    <w:t>拌料、上料、破碎工序产生颗粒物（粉尘），通过采用</w:t>
                  </w:r>
                  <w:r>
                    <w:rPr>
                      <w:rFonts w:hint="default" w:ascii="Times New Roman" w:hAnsi="Times New Roman" w:eastAsia="宋体" w:cs="Times New Roman"/>
                      <w:color w:val="auto"/>
                      <w:sz w:val="21"/>
                      <w:szCs w:val="21"/>
                      <w:highlight w:val="none"/>
                      <w:lang w:val="en-US" w:eastAsia="zh-CN"/>
                    </w:rPr>
                    <w:t>在密闭装置内进行，同时</w:t>
                  </w:r>
                  <w:r>
                    <w:rPr>
                      <w:rFonts w:hint="default" w:ascii="Times New Roman" w:hAnsi="Times New Roman" w:eastAsia="宋体" w:cs="Times New Roman"/>
                      <w:color w:val="auto"/>
                      <w:kern w:val="0"/>
                      <w:sz w:val="21"/>
                      <w:szCs w:val="21"/>
                      <w:highlight w:val="none"/>
                      <w:lang w:val="en-US" w:eastAsia="zh-CN" w:bidi="ar"/>
                    </w:rPr>
                    <w:t>拌料、上料、破碎工序均置于封闭式厂房（仅预留出入口）内，经厂房隔挡、自然沉降后对环境影响较小。</w:t>
                  </w:r>
                </w:p>
              </w:tc>
              <w:tc>
                <w:tcPr>
                  <w:tcW w:w="445" w:type="pct"/>
                  <w:noWrap w:val="0"/>
                  <w:vAlign w:val="center"/>
                </w:tcPr>
                <w:p w14:paraId="37772E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符合</w:t>
                  </w:r>
                </w:p>
              </w:tc>
            </w:tr>
            <w:tr w14:paraId="6931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23705D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第二百一十四条生产、使用含挥发性有机物的原辅材料和产品，应当按照国家规定，在密闭空间、设备中进行并安装、使用污染防治设施，或者采取有效措施减少废气排放。</w:t>
                  </w:r>
                </w:p>
              </w:tc>
              <w:tc>
                <w:tcPr>
                  <w:tcW w:w="2048" w:type="pct"/>
                  <w:noWrap w:val="0"/>
                  <w:vAlign w:val="center"/>
                </w:tcPr>
                <w:p w14:paraId="31480C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本项目使用</w:t>
                  </w:r>
                  <w:r>
                    <w:rPr>
                      <w:rFonts w:hint="eastAsia" w:ascii="Times New Roman" w:hAnsi="Times New Roman" w:eastAsia="宋体" w:cs="Times New Roman"/>
                      <w:color w:val="auto"/>
                      <w:kern w:val="0"/>
                      <w:sz w:val="21"/>
                      <w:szCs w:val="21"/>
                      <w:highlight w:val="none"/>
                      <w:lang w:val="en-US" w:eastAsia="zh-CN" w:bidi="ar"/>
                    </w:rPr>
                    <w:t>母料和颗粒料均为</w:t>
                  </w:r>
                  <w:r>
                    <w:rPr>
                      <w:rFonts w:hint="default" w:ascii="Times New Roman" w:hAnsi="Times New Roman" w:eastAsia="宋体" w:cs="Times New Roman"/>
                      <w:color w:val="auto"/>
                      <w:kern w:val="0"/>
                      <w:sz w:val="21"/>
                      <w:szCs w:val="21"/>
                      <w:lang w:val="en-US" w:eastAsia="zh-CN"/>
                    </w:rPr>
                    <w:t>低</w:t>
                  </w:r>
                  <w:r>
                    <w:rPr>
                      <w:rFonts w:hint="default" w:ascii="Times New Roman" w:hAnsi="Times New Roman" w:eastAsia="宋体" w:cs="Times New Roman"/>
                      <w:color w:val="auto"/>
                      <w:kern w:val="0"/>
                      <w:sz w:val="21"/>
                      <w:szCs w:val="21"/>
                      <w:lang w:val="en-US" w:bidi="ar"/>
                    </w:rPr>
                    <w:t>VOCs</w:t>
                  </w:r>
                  <w:r>
                    <w:rPr>
                      <w:rFonts w:hint="eastAsia"/>
                      <w:color w:val="auto"/>
                      <w:lang w:val="en-US" w:eastAsia="zh-CN"/>
                    </w:rPr>
                    <w:t>含量</w:t>
                  </w:r>
                  <w:r>
                    <w:rPr>
                      <w:rFonts w:hint="default" w:ascii="Times New Roman" w:hAnsi="Times New Roman" w:eastAsia="宋体" w:cs="Times New Roman"/>
                      <w:color w:val="auto"/>
                      <w:kern w:val="0"/>
                      <w:sz w:val="21"/>
                      <w:szCs w:val="21"/>
                      <w:lang w:val="en-US" w:eastAsia="zh-CN" w:bidi="ar"/>
                    </w:rPr>
                    <w:t>的原辅料</w:t>
                  </w:r>
                  <w:r>
                    <w:rPr>
                      <w:rFonts w:hint="default" w:ascii="Times New Roman" w:hAnsi="Times New Roman" w:eastAsia="宋体" w:cs="Times New Roman"/>
                      <w:color w:val="auto"/>
                      <w:kern w:val="0"/>
                      <w:sz w:val="21"/>
                      <w:szCs w:val="21"/>
                      <w:highlight w:val="none"/>
                      <w:lang w:val="en-US" w:eastAsia="zh-CN" w:bidi="ar"/>
                    </w:rPr>
                    <w:t>，热熔注塑工序产生</w:t>
                  </w:r>
                  <w:r>
                    <w:rPr>
                      <w:rFonts w:hint="eastAsia" w:ascii="Times New Roman" w:hAnsi="Times New Roman" w:eastAsia="宋体" w:cs="Times New Roman"/>
                      <w:color w:val="auto"/>
                      <w:kern w:val="0"/>
                      <w:sz w:val="21"/>
                      <w:szCs w:val="21"/>
                      <w:highlight w:val="none"/>
                      <w:lang w:val="en-US" w:eastAsia="zh-CN" w:bidi="ar"/>
                    </w:rPr>
                    <w:t>及排放</w:t>
                  </w:r>
                  <w:r>
                    <w:rPr>
                      <w:rFonts w:hint="default" w:ascii="Times New Roman" w:hAnsi="Times New Roman" w:eastAsia="宋体" w:cs="Times New Roman"/>
                      <w:color w:val="auto"/>
                      <w:kern w:val="0"/>
                      <w:sz w:val="21"/>
                      <w:szCs w:val="21"/>
                      <w:highlight w:val="none"/>
                      <w:lang w:val="en-US" w:eastAsia="zh-CN" w:bidi="ar"/>
                    </w:rPr>
                    <w:t>非甲烷总烃</w:t>
                  </w:r>
                  <w:r>
                    <w:rPr>
                      <w:rFonts w:hint="eastAsia" w:cs="Times New Roman"/>
                      <w:color w:val="auto"/>
                      <w:kern w:val="0"/>
                      <w:sz w:val="21"/>
                      <w:szCs w:val="21"/>
                      <w:highlight w:val="none"/>
                      <w:lang w:val="en-US" w:eastAsia="zh-CN" w:bidi="ar"/>
                    </w:rPr>
                    <w:t>，项目</w:t>
                  </w:r>
                  <w:r>
                    <w:rPr>
                      <w:rFonts w:hint="eastAsia"/>
                      <w:color w:val="auto"/>
                      <w:lang w:val="en-US" w:eastAsia="zh-CN"/>
                    </w:rPr>
                    <w:t>热熔、注塑工序在密闭设备内作业</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同时</w:t>
                  </w:r>
                  <w:r>
                    <w:rPr>
                      <w:rFonts w:hint="default" w:ascii="Times New Roman" w:hAnsi="Times New Roman" w:eastAsia="宋体" w:cs="Times New Roman"/>
                      <w:color w:val="auto"/>
                      <w:kern w:val="0"/>
                      <w:sz w:val="21"/>
                      <w:szCs w:val="21"/>
                      <w:highlight w:val="none"/>
                      <w:lang w:val="en-US" w:eastAsia="zh-CN" w:bidi="ar"/>
                    </w:rPr>
                    <w:t>对注塑机上方设置</w:t>
                  </w:r>
                  <w:r>
                    <w:rPr>
                      <w:rFonts w:hint="eastAsia" w:ascii="Times New Roman" w:hAnsi="Times New Roman" w:eastAsia="宋体" w:cs="Times New Roman"/>
                      <w:color w:val="auto"/>
                      <w:kern w:val="0"/>
                      <w:sz w:val="21"/>
                      <w:szCs w:val="21"/>
                      <w:highlight w:val="none"/>
                      <w:lang w:val="en-US" w:eastAsia="zh-CN" w:bidi="ar"/>
                    </w:rPr>
                    <w:t>有</w:t>
                  </w:r>
                  <w:r>
                    <w:rPr>
                      <w:rFonts w:hint="default" w:ascii="Times New Roman" w:hAnsi="Times New Roman" w:eastAsia="宋体" w:cs="Times New Roman"/>
                      <w:color w:val="auto"/>
                      <w:kern w:val="0"/>
                      <w:sz w:val="21"/>
                      <w:szCs w:val="21"/>
                      <w:highlight w:val="none"/>
                      <w:lang w:val="en-US" w:eastAsia="zh-CN" w:bidi="ar"/>
                    </w:rPr>
                    <w:t>集气罩收集有机废气，</w:t>
                  </w:r>
                  <w:r>
                    <w:rPr>
                      <w:rFonts w:hint="eastAsia" w:cs="Times New Roman"/>
                      <w:color w:val="auto"/>
                      <w:kern w:val="0"/>
                      <w:sz w:val="21"/>
                      <w:szCs w:val="21"/>
                      <w:highlight w:val="none"/>
                      <w:lang w:val="en-US" w:eastAsia="zh-CN" w:bidi="ar"/>
                    </w:rPr>
                    <w:t>产生的非甲烷总烃</w:t>
                  </w:r>
                  <w:r>
                    <w:rPr>
                      <w:rFonts w:hint="default" w:ascii="Times New Roman" w:hAnsi="Times New Roman" w:eastAsia="宋体" w:cs="Times New Roman"/>
                      <w:color w:val="auto"/>
                      <w:kern w:val="0"/>
                      <w:sz w:val="21"/>
                      <w:szCs w:val="21"/>
                      <w:highlight w:val="none"/>
                      <w:lang w:val="en-US" w:eastAsia="zh-CN" w:bidi="ar"/>
                    </w:rPr>
                    <w:t>经三级活性炭吸附装置处理后通过排气筒达标排放，有效减少了非甲烷总烃无组织排放。</w:t>
                  </w:r>
                </w:p>
              </w:tc>
              <w:tc>
                <w:tcPr>
                  <w:tcW w:w="445" w:type="pct"/>
                  <w:noWrap w:val="0"/>
                  <w:vAlign w:val="center"/>
                </w:tcPr>
                <w:p w14:paraId="58C71C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lang w:val="en-US" w:eastAsia="zh-CN"/>
                    </w:rPr>
                    <w:t>符合</w:t>
                  </w:r>
                </w:p>
              </w:tc>
            </w:tr>
            <w:tr w14:paraId="4EBA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333C30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第二百一十七条钢铁、建材、有色金属、石油、化工、制药、矿产开采企业和其他工业生产企业，应当加强精细化管理，采取集中收集处理等措施，严格控制粉尘和气态污染物的排放。</w:t>
                  </w:r>
                </w:p>
                <w:p w14:paraId="7D8DF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工业生产企业应当采取密闭、围挡、遮盖、清扫、洒水等措施，减少内部物料的堆存、传输、装卸等环节产生的粉尘和气态污染物的排放。</w:t>
                  </w:r>
                </w:p>
              </w:tc>
              <w:tc>
                <w:tcPr>
                  <w:tcW w:w="2048" w:type="pct"/>
                  <w:noWrap w:val="0"/>
                  <w:vAlign w:val="center"/>
                </w:tcPr>
                <w:p w14:paraId="07DB1A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本项目属于塑料制品工业生产项目</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热熔注塑工序</w:t>
                  </w:r>
                  <w:r>
                    <w:rPr>
                      <w:rFonts w:hint="eastAsia" w:cs="Times New Roman"/>
                      <w:color w:val="auto"/>
                      <w:kern w:val="0"/>
                      <w:sz w:val="21"/>
                      <w:szCs w:val="21"/>
                      <w:highlight w:val="none"/>
                      <w:lang w:val="en-US" w:eastAsia="zh-CN" w:bidi="ar"/>
                    </w:rPr>
                    <w:t>有</w:t>
                  </w:r>
                  <w:r>
                    <w:rPr>
                      <w:rFonts w:hint="default" w:ascii="Times New Roman" w:hAnsi="Times New Roman" w:eastAsia="宋体" w:cs="Times New Roman"/>
                      <w:color w:val="auto"/>
                      <w:kern w:val="0"/>
                      <w:sz w:val="21"/>
                      <w:szCs w:val="21"/>
                      <w:highlight w:val="none"/>
                      <w:lang w:val="en-US" w:eastAsia="zh-CN" w:bidi="ar"/>
                    </w:rPr>
                    <w:t>非甲烷总烃产生，注塑工位设置上方</w:t>
                  </w:r>
                  <w:r>
                    <w:rPr>
                      <w:rFonts w:hint="eastAsia" w:cs="Times New Roman"/>
                      <w:color w:val="auto"/>
                      <w:kern w:val="0"/>
                      <w:sz w:val="21"/>
                      <w:szCs w:val="21"/>
                      <w:highlight w:val="none"/>
                      <w:lang w:val="en-US" w:eastAsia="zh-CN" w:bidi="ar"/>
                    </w:rPr>
                    <w:t>设置的</w:t>
                  </w:r>
                  <w:r>
                    <w:rPr>
                      <w:rFonts w:hint="default" w:ascii="Times New Roman" w:hAnsi="Times New Roman" w:eastAsia="宋体" w:cs="Times New Roman"/>
                      <w:color w:val="auto"/>
                      <w:kern w:val="0"/>
                      <w:sz w:val="21"/>
                      <w:szCs w:val="21"/>
                      <w:highlight w:val="none"/>
                      <w:lang w:val="en-US" w:eastAsia="zh-CN" w:bidi="ar"/>
                    </w:rPr>
                    <w:t>集气罩对有机废气集中收集，收集后经三级活性炭吸附装置处理，通过排气筒达标排放，减少气态污染物无组织逸散；原料颗粒密闭袋装贮存，</w:t>
                  </w:r>
                  <w:r>
                    <w:rPr>
                      <w:rFonts w:hint="eastAsia" w:cs="Times New Roman"/>
                      <w:color w:val="auto"/>
                      <w:kern w:val="0"/>
                      <w:sz w:val="21"/>
                      <w:szCs w:val="21"/>
                      <w:highlight w:val="none"/>
                      <w:lang w:val="en-US" w:eastAsia="zh-CN" w:bidi="ar"/>
                    </w:rPr>
                    <w:t>拌料、上料</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不合格品</w:t>
                  </w:r>
                  <w:r>
                    <w:rPr>
                      <w:rFonts w:hint="default" w:ascii="Times New Roman" w:hAnsi="Times New Roman" w:eastAsia="宋体" w:cs="Times New Roman"/>
                      <w:color w:val="auto"/>
                      <w:kern w:val="0"/>
                      <w:sz w:val="21"/>
                      <w:szCs w:val="21"/>
                      <w:highlight w:val="none"/>
                      <w:lang w:val="en-US" w:eastAsia="zh-CN" w:bidi="ar"/>
                    </w:rPr>
                    <w:t>破碎工序</w:t>
                  </w:r>
                  <w:r>
                    <w:rPr>
                      <w:rFonts w:hint="eastAsia" w:cs="Times New Roman"/>
                      <w:color w:val="auto"/>
                      <w:kern w:val="0"/>
                      <w:sz w:val="21"/>
                      <w:szCs w:val="21"/>
                      <w:highlight w:val="none"/>
                      <w:lang w:val="en-US" w:eastAsia="zh-CN" w:bidi="ar"/>
                    </w:rPr>
                    <w:t>均为</w:t>
                  </w:r>
                  <w:r>
                    <w:rPr>
                      <w:rFonts w:hint="default" w:ascii="Times New Roman" w:hAnsi="Times New Roman" w:eastAsia="宋体" w:cs="Times New Roman"/>
                      <w:color w:val="auto"/>
                      <w:kern w:val="0"/>
                      <w:sz w:val="21"/>
                      <w:szCs w:val="21"/>
                      <w:highlight w:val="none"/>
                      <w:lang w:val="en-US" w:eastAsia="zh-CN" w:bidi="ar"/>
                    </w:rPr>
                    <w:t>密闭</w:t>
                  </w:r>
                  <w:r>
                    <w:rPr>
                      <w:rFonts w:hint="eastAsia" w:cs="Times New Roman"/>
                      <w:color w:val="auto"/>
                      <w:kern w:val="0"/>
                      <w:sz w:val="21"/>
                      <w:szCs w:val="21"/>
                      <w:highlight w:val="none"/>
                      <w:lang w:val="en-US" w:eastAsia="zh-CN" w:bidi="ar"/>
                    </w:rPr>
                    <w:t>设置</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拌料、上料</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不合格品</w:t>
                  </w:r>
                  <w:r>
                    <w:rPr>
                      <w:rFonts w:hint="default" w:ascii="Times New Roman" w:hAnsi="Times New Roman" w:eastAsia="宋体" w:cs="Times New Roman"/>
                      <w:color w:val="auto"/>
                      <w:kern w:val="0"/>
                      <w:sz w:val="21"/>
                      <w:szCs w:val="21"/>
                      <w:highlight w:val="none"/>
                      <w:lang w:val="en-US" w:eastAsia="zh-CN" w:bidi="ar"/>
                    </w:rPr>
                    <w:t>破碎工序产生少量粉尘依靠厂房沉降，日常加强车间清扫保洁，从源头减少粉尘、气态污染物的逸散排放，落实精细化废气管控要求。</w:t>
                  </w:r>
                </w:p>
              </w:tc>
              <w:tc>
                <w:tcPr>
                  <w:tcW w:w="445" w:type="pct"/>
                  <w:noWrap w:val="0"/>
                  <w:vAlign w:val="center"/>
                </w:tcPr>
                <w:p w14:paraId="3CC0C9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lang w:val="en-US" w:eastAsia="zh-CN"/>
                    </w:rPr>
                    <w:t>符合</w:t>
                  </w:r>
                </w:p>
              </w:tc>
            </w:tr>
            <w:tr w14:paraId="4CF2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45E9C7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工业固体废物污染防治</w:t>
                  </w:r>
                </w:p>
              </w:tc>
            </w:tr>
            <w:tr w14:paraId="30F9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601E6B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第四百六十八条 产生、收集、贮存、运输、利用、处置固体废物的单位和个人，应当采取有效措施，防止或者减少固体废物污染，对所造成的污染依法承担责任。</w:t>
                  </w:r>
                </w:p>
                <w:p w14:paraId="1AF01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贮存固体废物，是指将固体废物临时置于特定设施或者场所中的活动</w:t>
                  </w:r>
                  <w:r>
                    <w:rPr>
                      <w:rFonts w:hint="eastAsia" w:cs="Times New Roman"/>
                      <w:color w:val="auto"/>
                      <w:kern w:val="0"/>
                      <w:sz w:val="21"/>
                      <w:szCs w:val="21"/>
                      <w:highlight w:val="none"/>
                      <w:lang w:val="en-US" w:eastAsia="zh-CN" w:bidi="ar"/>
                    </w:rPr>
                    <w:t>。</w:t>
                  </w:r>
                </w:p>
                <w:p w14:paraId="1356D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利用固体废物，是指将固体废物直接作为替代原材料或者燃料使用、从固体废物中提取物质作为原材料或者燃料的活动。</w:t>
                  </w:r>
                </w:p>
                <w:p w14:paraId="4B2B47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yellow"/>
                      <w:lang w:val="en-US" w:eastAsia="zh-CN" w:bidi="ar"/>
                    </w:rPr>
                  </w:pPr>
                  <w:r>
                    <w:rPr>
                      <w:rFonts w:hint="default" w:ascii="Times New Roman" w:hAnsi="Times New Roman" w:eastAsia="宋体" w:cs="Times New Roman"/>
                      <w:color w:val="auto"/>
                      <w:kern w:val="0"/>
                      <w:sz w:val="21"/>
                      <w:szCs w:val="21"/>
                      <w:highlight w:val="none"/>
                      <w:lang w:val="en-US" w:eastAsia="zh-CN" w:bidi="ar"/>
                    </w:rPr>
                    <w:t>处置固体废物，是指将固体废物焚烧和用其他改变固体废物的物理、化学、生物特性的方法，达到减少已产生的固体废物数量、缩小固体废物体积、减少或者消除其危险成分的活动，或者将固体废物最终置于符合生态环境保护规定要求的填埋场的活动。</w:t>
                  </w:r>
                </w:p>
              </w:tc>
              <w:tc>
                <w:tcPr>
                  <w:tcW w:w="2048" w:type="pct"/>
                  <w:noWrap w:val="0"/>
                  <w:vAlign w:val="center"/>
                </w:tcPr>
                <w:p w14:paraId="0B957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本项目生产产生塑料边角料、不合格品等一般工业固废，厂内破碎后回用于生产，实现固体废物资源化利用；危险废物在专用</w:t>
                  </w:r>
                  <w:r>
                    <w:rPr>
                      <w:rFonts w:hint="eastAsia" w:cs="Times New Roman"/>
                      <w:color w:val="auto"/>
                      <w:kern w:val="0"/>
                      <w:sz w:val="21"/>
                      <w:szCs w:val="21"/>
                      <w:highlight w:val="none"/>
                      <w:lang w:val="en-US" w:eastAsia="zh-CN" w:bidi="ar"/>
                    </w:rPr>
                    <w:t>危废贮存库</w:t>
                  </w:r>
                  <w:r>
                    <w:rPr>
                      <w:rFonts w:hint="default" w:ascii="Times New Roman" w:hAnsi="Times New Roman" w:eastAsia="宋体" w:cs="Times New Roman"/>
                      <w:color w:val="auto"/>
                      <w:kern w:val="0"/>
                      <w:sz w:val="21"/>
                      <w:szCs w:val="21"/>
                      <w:highlight w:val="none"/>
                      <w:lang w:val="en-US" w:eastAsia="zh-CN" w:bidi="ar"/>
                    </w:rPr>
                    <w:t>密闭、分区临时贮存；各类固废在收集、贮存、转运、利用全过程均采取防洒落、防渗漏等污染防控措施，防范固废污染环境，落实固体废物污染防治主体责任。</w:t>
                  </w:r>
                </w:p>
              </w:tc>
              <w:tc>
                <w:tcPr>
                  <w:tcW w:w="445" w:type="pct"/>
                  <w:noWrap w:val="0"/>
                  <w:vAlign w:val="center"/>
                </w:tcPr>
                <w:p w14:paraId="164E2E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lang w:val="en-US" w:eastAsia="zh-CN"/>
                    </w:rPr>
                  </w:pPr>
                  <w:r>
                    <w:rPr>
                      <w:rFonts w:hint="eastAsia" w:cs="Times New Roman"/>
                      <w:b w:val="0"/>
                      <w:sz w:val="21"/>
                      <w:szCs w:val="21"/>
                      <w:highlight w:val="none"/>
                      <w:lang w:val="en-US" w:eastAsia="zh-CN"/>
                    </w:rPr>
                    <w:t>符合</w:t>
                  </w:r>
                </w:p>
              </w:tc>
            </w:tr>
            <w:tr w14:paraId="2CDB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551EEB3A">
                  <w:pPr>
                    <w:keepNext w:val="0"/>
                    <w:keepLines w:val="0"/>
                    <w:widowControl/>
                    <w:suppressLineNumbers w:val="0"/>
                    <w:spacing w:before="0" w:beforeAutospacing="0" w:after="0" w:afterAutospacing="0"/>
                    <w:ind w:left="0" w:right="0"/>
                    <w:jc w:val="left"/>
                    <w:rPr>
                      <w:rFonts w:hint="default"/>
                      <w:color w:val="auto"/>
                      <w:sz w:val="21"/>
                      <w:szCs w:val="21"/>
                    </w:rPr>
                  </w:pPr>
                  <w:r>
                    <w:rPr>
                      <w:rFonts w:hint="default" w:ascii="瀹嬩綋" w:hAnsi="瀹嬩綋" w:eastAsia="瀹嬩綋" w:cs="瀹嬩綋"/>
                      <w:color w:val="auto"/>
                      <w:kern w:val="0"/>
                      <w:sz w:val="21"/>
                      <w:szCs w:val="21"/>
                      <w:lang w:val="en-US" w:eastAsia="zh-CN" w:bidi="ar"/>
                    </w:rPr>
                    <w:t xml:space="preserve">第四百八十九条 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 </w:t>
                  </w:r>
                </w:p>
                <w:p w14:paraId="2F56DD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highlight w:val="yellow"/>
                      <w:lang w:val="en-US" w:eastAsia="zh-CN" w:bidi="ar"/>
                    </w:rPr>
                  </w:pPr>
                  <w:r>
                    <w:rPr>
                      <w:rFonts w:hint="default" w:ascii="瀹嬩綋" w:hAnsi="瀹嬩綋" w:eastAsia="瀹嬩綋" w:cs="瀹嬩綋"/>
                      <w:color w:val="auto"/>
                      <w:kern w:val="0"/>
                      <w:sz w:val="21"/>
                      <w:szCs w:val="21"/>
                      <w:lang w:val="en-US" w:eastAsia="zh-CN" w:bidi="ar"/>
                    </w:rPr>
                    <w:t>禁止向生活垃圾收集设施中投放工业固体废物。</w:t>
                  </w:r>
                </w:p>
              </w:tc>
              <w:tc>
                <w:tcPr>
                  <w:tcW w:w="2048" w:type="pct"/>
                  <w:shd w:val="clear" w:color="auto" w:fill="auto"/>
                  <w:noWrap w:val="0"/>
                  <w:vAlign w:val="center"/>
                </w:tcPr>
                <w:p w14:paraId="3F393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项目建立工业固废全过程污染防治责任制度，设置规范的固体废物管理台账，完整记录固废种类、产生量、贮存、转运、回用处置等信息，做到固废情况可追溯可查询；项目一般工业固废、危险废物均单独收集处置，不将工业固体废物投入生活垃圾收集设施，落实固废污染防控措施。</w:t>
                  </w:r>
                </w:p>
              </w:tc>
              <w:tc>
                <w:tcPr>
                  <w:tcW w:w="445" w:type="pct"/>
                  <w:shd w:val="clear" w:color="auto" w:fill="auto"/>
                  <w:noWrap w:val="0"/>
                  <w:vAlign w:val="center"/>
                </w:tcPr>
                <w:p w14:paraId="1689B8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kern w:val="2"/>
                      <w:sz w:val="21"/>
                      <w:szCs w:val="21"/>
                      <w:highlight w:val="none"/>
                      <w:lang w:val="en-US" w:eastAsia="zh-CN" w:bidi="ar-SA"/>
                    </w:rPr>
                  </w:pPr>
                  <w:r>
                    <w:rPr>
                      <w:rFonts w:hint="default" w:ascii="Times New Roman" w:hAnsi="Times New Roman" w:eastAsia="宋体" w:cs="Times New Roman"/>
                      <w:b w:val="0"/>
                      <w:sz w:val="21"/>
                      <w:szCs w:val="21"/>
                      <w:highlight w:val="none"/>
                      <w:lang w:val="en-US" w:eastAsia="zh-CN"/>
                    </w:rPr>
                    <w:t>符合</w:t>
                  </w:r>
                </w:p>
              </w:tc>
            </w:tr>
            <w:tr w14:paraId="2BEE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783BBEAE">
                  <w:pPr>
                    <w:keepNext w:val="0"/>
                    <w:keepLines w:val="0"/>
                    <w:widowControl/>
                    <w:suppressLineNumbers w:val="0"/>
                    <w:spacing w:before="0" w:beforeAutospacing="0" w:after="0" w:afterAutospacing="0"/>
                    <w:ind w:left="0" w:right="0"/>
                    <w:jc w:val="left"/>
                    <w:rPr>
                      <w:rFonts w:hint="default"/>
                      <w:color w:val="auto"/>
                      <w:sz w:val="21"/>
                      <w:szCs w:val="21"/>
                    </w:rPr>
                  </w:pPr>
                  <w:r>
                    <w:rPr>
                      <w:rFonts w:hint="default" w:ascii="瀹嬩綋" w:hAnsi="瀹嬩綋" w:eastAsia="瀹嬩綋" w:cs="瀹嬩綋"/>
                      <w:color w:val="auto"/>
                      <w:kern w:val="0"/>
                      <w:sz w:val="21"/>
                      <w:szCs w:val="21"/>
                      <w:lang w:val="en-US" w:eastAsia="zh-CN" w:bidi="ar"/>
                    </w:rPr>
                    <w:t xml:space="preserve">第四百九十条 产生工业固体废物的单位委托他人运输、利用、处置工业固体废物的，应当对受托方的主体资格和技术能力进行核实，依法签订书面合同，在合同中约定污染防治要求。 </w:t>
                  </w:r>
                </w:p>
                <w:p w14:paraId="4AB74B94">
                  <w:pPr>
                    <w:keepNext w:val="0"/>
                    <w:keepLines w:val="0"/>
                    <w:widowControl/>
                    <w:suppressLineNumbers w:val="0"/>
                    <w:spacing w:before="0" w:beforeAutospacing="0" w:after="0" w:afterAutospacing="0"/>
                    <w:ind w:left="0" w:right="0"/>
                    <w:jc w:val="left"/>
                    <w:rPr>
                      <w:rFonts w:hint="default" w:ascii="瀹嬩綋" w:hAnsi="瀹嬩綋" w:eastAsia="瀹嬩綋" w:cs="瀹嬩綋"/>
                      <w:color w:val="auto"/>
                      <w:kern w:val="0"/>
                      <w:sz w:val="21"/>
                      <w:szCs w:val="21"/>
                      <w:lang w:val="en-US" w:eastAsia="zh-CN" w:bidi="ar"/>
                    </w:rPr>
                  </w:pPr>
                  <w:r>
                    <w:rPr>
                      <w:rFonts w:hint="default" w:ascii="瀹嬩綋" w:hAnsi="瀹嬩綋" w:eastAsia="瀹嬩綋" w:cs="瀹嬩綋"/>
                      <w:color w:val="auto"/>
                      <w:kern w:val="0"/>
                      <w:sz w:val="21"/>
                      <w:szCs w:val="21"/>
                      <w:lang w:val="en-US" w:eastAsia="zh-CN" w:bidi="ar"/>
                    </w:rPr>
                    <w:t>受托方运输、利用、处置工业固体废物，应当依照法律法规规定和合同约定履行污染防治要求，并将运输、利用、处置情况告知产生工业固体废物的单位。</w:t>
                  </w:r>
                </w:p>
              </w:tc>
              <w:tc>
                <w:tcPr>
                  <w:tcW w:w="2048" w:type="pct"/>
                  <w:shd w:val="clear" w:color="auto" w:fill="auto"/>
                  <w:noWrap w:val="0"/>
                  <w:vAlign w:val="center"/>
                </w:tcPr>
                <w:p w14:paraId="19AB4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项目危险废物委托具备相应资质的单位开展转运处置工作，委托前核实受托单位资质与技术能力；签订正式书面委托合同</w:t>
                  </w:r>
                  <w:r>
                    <w:rPr>
                      <w:rFonts w:hint="eastAsia" w:cs="Times New Roman"/>
                      <w:color w:val="auto"/>
                      <w:kern w:val="0"/>
                      <w:sz w:val="21"/>
                      <w:szCs w:val="21"/>
                      <w:highlight w:val="none"/>
                      <w:lang w:val="en-US" w:eastAsia="zh-CN" w:bidi="ar"/>
                    </w:rPr>
                    <w:t>，在</w:t>
                  </w:r>
                  <w:r>
                    <w:rPr>
                      <w:rFonts w:hint="default" w:ascii="Times New Roman" w:hAnsi="Times New Roman" w:eastAsia="宋体" w:cs="Times New Roman"/>
                      <w:color w:val="auto"/>
                      <w:kern w:val="0"/>
                      <w:sz w:val="21"/>
                      <w:szCs w:val="21"/>
                      <w:highlight w:val="none"/>
                      <w:lang w:val="en-US" w:eastAsia="zh-CN" w:bidi="ar"/>
                    </w:rPr>
                    <w:t xml:space="preserve">合同中明确约定相关污染防治责任及要求；受托单位完成转运处置后，将处置相关回执资料交回本项目单位存档。 </w:t>
                  </w:r>
                </w:p>
              </w:tc>
              <w:tc>
                <w:tcPr>
                  <w:tcW w:w="445" w:type="pct"/>
                  <w:shd w:val="clear" w:color="auto" w:fill="auto"/>
                  <w:noWrap w:val="0"/>
                  <w:vAlign w:val="center"/>
                </w:tcPr>
                <w:p w14:paraId="3FB52C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sz w:val="21"/>
                      <w:szCs w:val="21"/>
                      <w:highlight w:val="none"/>
                      <w:lang w:val="en-US" w:eastAsia="zh-CN"/>
                    </w:rPr>
                  </w:pPr>
                  <w:r>
                    <w:rPr>
                      <w:rFonts w:hint="eastAsia" w:cs="Times New Roman"/>
                      <w:b w:val="0"/>
                      <w:sz w:val="21"/>
                      <w:szCs w:val="21"/>
                      <w:highlight w:val="none"/>
                      <w:lang w:val="en-US" w:eastAsia="zh-CN"/>
                    </w:rPr>
                    <w:t>符合</w:t>
                  </w:r>
                </w:p>
              </w:tc>
            </w:tr>
            <w:tr w14:paraId="6319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7523B1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四百九十四条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标准的防护措施。</w:t>
                  </w:r>
                </w:p>
              </w:tc>
              <w:tc>
                <w:tcPr>
                  <w:tcW w:w="2048" w:type="pct"/>
                  <w:noWrap w:val="0"/>
                  <w:vAlign w:val="center"/>
                </w:tcPr>
                <w:p w14:paraId="5B3543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一般工业固体废物（</w:t>
                  </w:r>
                  <w:r>
                    <w:rPr>
                      <w:rFonts w:hint="eastAsia" w:cs="Times New Roman"/>
                      <w:color w:val="auto"/>
                      <w:kern w:val="0"/>
                      <w:sz w:val="21"/>
                      <w:szCs w:val="21"/>
                      <w:highlight w:val="none"/>
                      <w:lang w:val="en-US" w:eastAsia="zh-CN" w:bidi="ar"/>
                    </w:rPr>
                    <w:t>生产边角料及</w:t>
                  </w:r>
                  <w:r>
                    <w:rPr>
                      <w:rFonts w:hint="default" w:ascii="Times New Roman" w:hAnsi="Times New Roman" w:eastAsia="宋体" w:cs="Times New Roman"/>
                      <w:color w:val="auto"/>
                      <w:kern w:val="0"/>
                      <w:sz w:val="21"/>
                      <w:szCs w:val="21"/>
                      <w:highlight w:val="none"/>
                      <w:lang w:val="en-US" w:eastAsia="zh-CN" w:bidi="ar"/>
                    </w:rPr>
                    <w:t>不合格产品、废包装材料）</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废包装材料分类收集后外售综合利用，</w:t>
                  </w:r>
                  <w:r>
                    <w:rPr>
                      <w:rFonts w:hint="eastAsia" w:cs="Times New Roman"/>
                      <w:color w:val="auto"/>
                      <w:kern w:val="0"/>
                      <w:sz w:val="21"/>
                      <w:szCs w:val="21"/>
                      <w:highlight w:val="none"/>
                      <w:lang w:val="en-US" w:eastAsia="zh-CN" w:bidi="ar"/>
                    </w:rPr>
                    <w:t>生产边角料及</w:t>
                  </w:r>
                  <w:r>
                    <w:rPr>
                      <w:rFonts w:hint="default" w:ascii="Times New Roman" w:hAnsi="Times New Roman" w:eastAsia="宋体" w:cs="Times New Roman"/>
                      <w:color w:val="auto"/>
                      <w:kern w:val="0"/>
                      <w:sz w:val="21"/>
                      <w:szCs w:val="21"/>
                      <w:highlight w:val="none"/>
                      <w:lang w:val="en-US" w:eastAsia="zh-CN" w:bidi="ar"/>
                    </w:rPr>
                    <w:t>不合格产品破碎后重新作为原料回用于生产线；</w:t>
                  </w:r>
                </w:p>
                <w:p w14:paraId="4FBD5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危险废物（</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暂存于规范</w:t>
                  </w:r>
                  <w:r>
                    <w:rPr>
                      <w:rFonts w:hint="eastAsia" w:cs="Times New Roman"/>
                      <w:color w:val="auto"/>
                      <w:kern w:val="0"/>
                      <w:sz w:val="21"/>
                      <w:szCs w:val="21"/>
                      <w:highlight w:val="none"/>
                      <w:lang w:val="en-US" w:eastAsia="zh-CN" w:bidi="ar"/>
                    </w:rPr>
                    <w:t>危废贮存库</w:t>
                  </w:r>
                  <w:r>
                    <w:rPr>
                      <w:rFonts w:hint="default" w:ascii="Times New Roman" w:hAnsi="Times New Roman" w:eastAsia="宋体" w:cs="Times New Roman"/>
                      <w:color w:val="auto"/>
                      <w:kern w:val="0"/>
                      <w:sz w:val="21"/>
                      <w:szCs w:val="21"/>
                      <w:highlight w:val="none"/>
                      <w:lang w:val="en-US" w:eastAsia="zh-CN" w:bidi="ar"/>
                    </w:rPr>
                    <w:t>，定期委托有资质单位清运处置。</w:t>
                  </w:r>
                </w:p>
                <w:p w14:paraId="44F87E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各类固废均按要求分类贮存、安全处置，固废处置率100%。</w:t>
                  </w:r>
                </w:p>
              </w:tc>
              <w:tc>
                <w:tcPr>
                  <w:tcW w:w="445" w:type="pct"/>
                  <w:noWrap w:val="0"/>
                  <w:vAlign w:val="center"/>
                </w:tcPr>
                <w:p w14:paraId="65C84C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lang w:val="en-US" w:eastAsia="zh-CN"/>
                    </w:rPr>
                    <w:t>符合</w:t>
                  </w:r>
                </w:p>
              </w:tc>
            </w:tr>
            <w:tr w14:paraId="30F8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6333C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危险废物污染防治</w:t>
                  </w:r>
                </w:p>
              </w:tc>
            </w:tr>
            <w:tr w14:paraId="2ED7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258DAA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第五百三十一条对危险废物的容器和包装物以及收集、贮存、运输、利用、处置危险废物的设施、场所，应当按照规定设置危险废物识别标志。</w:t>
                  </w:r>
                </w:p>
              </w:tc>
              <w:tc>
                <w:tcPr>
                  <w:tcW w:w="2048" w:type="pct"/>
                  <w:noWrap w:val="0"/>
                  <w:vAlign w:val="center"/>
                </w:tcPr>
                <w:p w14:paraId="27BD27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项目严格按照《危险废物贮存污染控制标准》（GB18597-2023）设置危险废物暂存间，危废容器、贮存场所、转运设施均规范布设危险废物识别标识。</w:t>
                  </w:r>
                </w:p>
              </w:tc>
              <w:tc>
                <w:tcPr>
                  <w:tcW w:w="445" w:type="pct"/>
                  <w:noWrap w:val="0"/>
                  <w:vAlign w:val="center"/>
                </w:tcPr>
                <w:p w14:paraId="4A74CA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lang w:val="en-US" w:eastAsia="zh-CN"/>
                    </w:rPr>
                    <w:t>符合</w:t>
                  </w:r>
                </w:p>
              </w:tc>
            </w:tr>
            <w:tr w14:paraId="3B43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77E44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
                    </w:rPr>
                    <w:t>第五百三十二条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tc>
              <w:tc>
                <w:tcPr>
                  <w:tcW w:w="2048" w:type="pct"/>
                  <w:noWrap w:val="0"/>
                  <w:vAlign w:val="center"/>
                </w:tcPr>
                <w:p w14:paraId="051B40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项目建成后按要求制定危废管理计划，建立危废管理台账</w:t>
                  </w:r>
                  <w:r>
                    <w:rPr>
                      <w:rFonts w:hint="eastAsia" w:ascii="Times New Roman" w:hAnsi="Times New Roman" w:eastAsia="宋体" w:cs="Times New Roman"/>
                      <w:color w:val="000000"/>
                      <w:kern w:val="0"/>
                      <w:sz w:val="21"/>
                      <w:szCs w:val="21"/>
                      <w:highlight w:val="none"/>
                      <w:lang w:val="en-US" w:eastAsia="zh-CN" w:bidi="ar"/>
                    </w:rPr>
                    <w:t>，</w:t>
                  </w:r>
                  <w:r>
                    <w:rPr>
                      <w:rFonts w:hint="default" w:ascii="Times New Roman" w:hAnsi="Times New Roman" w:eastAsia="宋体" w:cs="Times New Roman"/>
                      <w:color w:val="000000"/>
                      <w:kern w:val="0"/>
                      <w:sz w:val="21"/>
                      <w:szCs w:val="21"/>
                      <w:highlight w:val="none"/>
                      <w:lang w:val="en-US" w:eastAsia="zh-CN" w:bidi="ar"/>
                    </w:rPr>
                    <w:t>完整记录产废、贮存、转运、处置信息，按时在国家危废管理系统完成申报。</w:t>
                  </w:r>
                </w:p>
              </w:tc>
              <w:tc>
                <w:tcPr>
                  <w:tcW w:w="445" w:type="pct"/>
                  <w:noWrap w:val="0"/>
                  <w:vAlign w:val="center"/>
                </w:tcPr>
                <w:p w14:paraId="58FDF0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lang w:val="en-US" w:eastAsia="zh-CN"/>
                    </w:rPr>
                    <w:t>符合</w:t>
                  </w:r>
                </w:p>
              </w:tc>
            </w:tr>
            <w:tr w14:paraId="0000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526240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第五百三十三条产生危险废物的单位，应当按照国家规定和生态环境保护标准的要求贮存、利用、处置危险废物。</w:t>
                  </w:r>
                </w:p>
              </w:tc>
              <w:tc>
                <w:tcPr>
                  <w:tcW w:w="2048" w:type="pct"/>
                  <w:noWrap w:val="0"/>
                  <w:vAlign w:val="center"/>
                </w:tcPr>
                <w:p w14:paraId="5336D8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项目严格按照《危险废物贮存污染控制标准》（GB18597-2023）设置危险废物暂存间，委托资质单位清运处置。</w:t>
                  </w:r>
                </w:p>
              </w:tc>
              <w:tc>
                <w:tcPr>
                  <w:tcW w:w="445" w:type="pct"/>
                  <w:noWrap w:val="0"/>
                  <w:vAlign w:val="center"/>
                </w:tcPr>
                <w:p w14:paraId="6BB6B1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符合</w:t>
                  </w:r>
                </w:p>
              </w:tc>
            </w:tr>
            <w:tr w14:paraId="3DD4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430B544E">
                  <w:pPr>
                    <w:keepNext w:val="0"/>
                    <w:keepLines w:val="0"/>
                    <w:widowControl/>
                    <w:suppressLineNumbers w:val="0"/>
                    <w:spacing w:before="0" w:beforeAutospacing="0" w:after="0" w:afterAutospacing="0"/>
                    <w:ind w:left="0" w:right="0"/>
                    <w:jc w:val="left"/>
                    <w:rPr>
                      <w:rFonts w:hint="default"/>
                      <w:color w:val="auto"/>
                      <w:sz w:val="21"/>
                      <w:szCs w:val="21"/>
                    </w:rPr>
                  </w:pPr>
                  <w:r>
                    <w:rPr>
                      <w:rFonts w:hint="default" w:ascii="瀹嬩綋" w:hAnsi="瀹嬩綋" w:eastAsia="瀹嬩綋" w:cs="瀹嬩綋"/>
                      <w:color w:val="auto"/>
                      <w:kern w:val="0"/>
                      <w:sz w:val="21"/>
                      <w:szCs w:val="21"/>
                      <w:lang w:val="en-US" w:eastAsia="zh-CN" w:bidi="ar"/>
                    </w:rPr>
                    <w:t xml:space="preserve">第五百三十五条 收集、贮存危险废物，应当按照危险废物特性分类进行。禁止混合收集、贮存、运输或者处置性质不相容而未经安全性处置的危险废物。 </w:t>
                  </w:r>
                </w:p>
                <w:p w14:paraId="27512959">
                  <w:pPr>
                    <w:keepNext w:val="0"/>
                    <w:keepLines w:val="0"/>
                    <w:widowControl/>
                    <w:suppressLineNumbers w:val="0"/>
                    <w:spacing w:before="0" w:beforeAutospacing="0" w:after="0" w:afterAutospacing="0"/>
                    <w:ind w:left="0" w:right="0"/>
                    <w:jc w:val="left"/>
                    <w:rPr>
                      <w:rFonts w:hint="default"/>
                      <w:color w:val="auto"/>
                      <w:sz w:val="21"/>
                      <w:szCs w:val="21"/>
                    </w:rPr>
                  </w:pPr>
                  <w:r>
                    <w:rPr>
                      <w:rFonts w:hint="default" w:ascii="瀹嬩綋" w:hAnsi="瀹嬩綋" w:eastAsia="瀹嬩綋" w:cs="瀹嬩綋"/>
                      <w:color w:val="auto"/>
                      <w:kern w:val="0"/>
                      <w:sz w:val="21"/>
                      <w:szCs w:val="21"/>
                      <w:lang w:val="en-US" w:eastAsia="zh-CN" w:bidi="ar"/>
                    </w:rPr>
                    <w:t xml:space="preserve">贮存危险废物应当采取符合国家生态环境保护标准的防护措施。禁止将危险废物混入非危险废物中贮存。 </w:t>
                  </w:r>
                </w:p>
                <w:p w14:paraId="2287B7A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bidi="ar"/>
                    </w:rPr>
                  </w:pPr>
                  <w:r>
                    <w:rPr>
                      <w:rFonts w:hint="default" w:ascii="瀹嬩綋" w:hAnsi="瀹嬩綋" w:eastAsia="瀹嬩綋" w:cs="瀹嬩綋"/>
                      <w:color w:val="auto"/>
                      <w:kern w:val="0"/>
                      <w:sz w:val="21"/>
                      <w:szCs w:val="21"/>
                      <w:lang w:val="en-US" w:eastAsia="zh-CN" w:bidi="ar"/>
                    </w:rPr>
                    <w:t>从事收集、贮存、利用、处置危险废物经营活动的单位，贮存危险废物不得超过一年；确需延长期限的，应当报经颁发许可证的生态环境主管部门批准；法律、行政法规另有规定的除外。</w:t>
                  </w:r>
                </w:p>
              </w:tc>
              <w:tc>
                <w:tcPr>
                  <w:tcW w:w="2048" w:type="pct"/>
                  <w:noWrap w:val="0"/>
                  <w:vAlign w:val="center"/>
                </w:tcPr>
                <w:p w14:paraId="556B0F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项目产生</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default" w:ascii="Times New Roman" w:hAnsi="Times New Roman" w:eastAsia="宋体" w:cs="Times New Roman"/>
                      <w:color w:val="auto"/>
                      <w:kern w:val="0"/>
                      <w:sz w:val="21"/>
                      <w:szCs w:val="21"/>
                      <w:highlight w:val="none"/>
                      <w:lang w:val="en-US" w:eastAsia="zh-CN" w:bidi="ar"/>
                    </w:rPr>
                    <w:t>等危险废物，在专门</w:t>
                  </w:r>
                  <w:r>
                    <w:rPr>
                      <w:rFonts w:hint="eastAsia" w:cs="Times New Roman"/>
                      <w:color w:val="auto"/>
                      <w:kern w:val="0"/>
                      <w:sz w:val="21"/>
                      <w:szCs w:val="21"/>
                      <w:highlight w:val="none"/>
                      <w:lang w:val="en-US" w:eastAsia="zh-CN" w:bidi="ar"/>
                    </w:rPr>
                    <w:t>危废贮存库</w:t>
                  </w:r>
                  <w:r>
                    <w:rPr>
                      <w:rFonts w:hint="default" w:ascii="Times New Roman" w:hAnsi="Times New Roman" w:eastAsia="宋体" w:cs="Times New Roman"/>
                      <w:color w:val="auto"/>
                      <w:kern w:val="0"/>
                      <w:sz w:val="21"/>
                      <w:szCs w:val="21"/>
                      <w:highlight w:val="none"/>
                      <w:lang w:val="en-US" w:eastAsia="zh-CN" w:bidi="ar"/>
                    </w:rPr>
                    <w:t>内分区、分类存放；不同类别危废设置专用收集容器，做到分类贮存，不混存性质不相容危废；</w:t>
                  </w:r>
                  <w:r>
                    <w:rPr>
                      <w:rFonts w:hint="eastAsia" w:cs="Times New Roman"/>
                      <w:color w:val="auto"/>
                      <w:kern w:val="0"/>
                      <w:sz w:val="21"/>
                      <w:szCs w:val="21"/>
                      <w:highlight w:val="none"/>
                      <w:lang w:val="en-US" w:eastAsia="zh-CN" w:bidi="ar"/>
                    </w:rPr>
                    <w:t>危废贮存库</w:t>
                  </w:r>
                  <w:r>
                    <w:rPr>
                      <w:rFonts w:hint="default" w:ascii="Times New Roman" w:hAnsi="Times New Roman" w:eastAsia="宋体" w:cs="Times New Roman"/>
                      <w:color w:val="auto"/>
                      <w:kern w:val="0"/>
                      <w:sz w:val="21"/>
                      <w:szCs w:val="21"/>
                      <w:highlight w:val="none"/>
                      <w:lang w:val="en-US" w:eastAsia="zh-CN" w:bidi="ar"/>
                    </w:rPr>
                    <w:t>落实防渗、防雨、防泄漏防护措施，严禁危废与一般固废混合存放；严格控制危险废物贮存期限，贮存周期不超过1年，到期及时委托有资质单位转运处置。</w:t>
                  </w:r>
                </w:p>
              </w:tc>
              <w:tc>
                <w:tcPr>
                  <w:tcW w:w="445" w:type="pct"/>
                  <w:noWrap w:val="0"/>
                  <w:vAlign w:val="center"/>
                </w:tcPr>
                <w:p w14:paraId="658EDE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符合</w:t>
                  </w:r>
                </w:p>
              </w:tc>
            </w:tr>
            <w:tr w14:paraId="35B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07708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第五百三十九条产生、收集、贮存、运输、利用、处置危险废物的单位，应当依法制定意外事故的防范措施和应急预案，并报所在地生态环境主管部门和其他负有固体废物污染防治监督管理职责的部门备案</w:t>
                  </w:r>
                  <w:r>
                    <w:rPr>
                      <w:rFonts w:hint="eastAsia" w:cs="Times New Roman"/>
                      <w:color w:val="auto"/>
                      <w:kern w:val="0"/>
                      <w:sz w:val="21"/>
                      <w:szCs w:val="21"/>
                      <w:highlight w:val="none"/>
                      <w:lang w:val="en-US" w:eastAsia="zh-CN" w:bidi="ar"/>
                    </w:rPr>
                    <w:t>。</w:t>
                  </w:r>
                </w:p>
              </w:tc>
              <w:tc>
                <w:tcPr>
                  <w:tcW w:w="2048" w:type="pct"/>
                  <w:noWrap w:val="0"/>
                  <w:vAlign w:val="center"/>
                </w:tcPr>
                <w:p w14:paraId="68093F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项目建成后建设单位编制突发环境事件应急预案，落实危险废物泄漏等环境风险防范措施，按规定报昆明市生态环境局寻甸分局备案，定期开展应急演练，强化环境风险防控管理。</w:t>
                  </w:r>
                </w:p>
              </w:tc>
              <w:tc>
                <w:tcPr>
                  <w:tcW w:w="445" w:type="pct"/>
                  <w:noWrap w:val="0"/>
                  <w:vAlign w:val="center"/>
                </w:tcPr>
                <w:p w14:paraId="30389B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符合</w:t>
                  </w:r>
                </w:p>
              </w:tc>
            </w:tr>
            <w:tr w14:paraId="0F52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34C108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lang w:val="en-US" w:eastAsia="zh-CN"/>
                    </w:rPr>
                  </w:pPr>
                  <w:r>
                    <w:rPr>
                      <w:rFonts w:hint="default" w:ascii="瀹嬩綋" w:hAnsi="瀹嬩綋" w:eastAsia="瀹嬩綋" w:cs="瀹嬩綋"/>
                      <w:color w:val="auto"/>
                      <w:kern w:val="0"/>
                      <w:sz w:val="21"/>
                      <w:szCs w:val="21"/>
                      <w:lang w:val="en-US" w:eastAsia="zh-CN" w:bidi="ar"/>
                    </w:rPr>
                    <w:t>噪声污染防治</w:t>
                  </w:r>
                </w:p>
              </w:tc>
            </w:tr>
            <w:tr w14:paraId="375D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379DA0A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bidi="ar"/>
                    </w:rPr>
                  </w:pPr>
                  <w:r>
                    <w:rPr>
                      <w:rFonts w:hint="default" w:ascii="瀹嬩綋" w:hAnsi="瀹嬩綋" w:eastAsia="瀹嬩綋" w:cs="瀹嬩綋"/>
                      <w:color w:val="auto"/>
                      <w:kern w:val="0"/>
                      <w:sz w:val="21"/>
                      <w:szCs w:val="21"/>
                      <w:lang w:val="en-US" w:eastAsia="zh-CN" w:bidi="ar"/>
                    </w:rPr>
                    <w:t>第五百六十五条 工业企业选址应当符合国土空间规划以及相关规划要求，县级以上地方人民政府应当按照规划要求优化工业企业布局，防止工业噪声污染。</w:t>
                  </w:r>
                </w:p>
              </w:tc>
              <w:tc>
                <w:tcPr>
                  <w:tcW w:w="2048" w:type="pct"/>
                  <w:noWrap w:val="0"/>
                  <w:vAlign w:val="center"/>
                </w:tcPr>
                <w:p w14:paraId="7B5870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本项目选址</w:t>
                  </w:r>
                  <w:r>
                    <w:rPr>
                      <w:rFonts w:hint="eastAsia" w:cs="Times New Roman"/>
                      <w:color w:val="auto"/>
                      <w:kern w:val="0"/>
                      <w:sz w:val="21"/>
                      <w:szCs w:val="21"/>
                      <w:highlight w:val="none"/>
                      <w:lang w:val="en-US" w:eastAsia="zh-CN" w:bidi="ar"/>
                    </w:rPr>
                    <w:t>位于</w:t>
                  </w:r>
                  <w:r>
                    <w:rPr>
                      <w:rFonts w:hint="default" w:ascii="Times New Roman" w:hAnsi="Times New Roman" w:eastAsia="宋体" w:cs="Times New Roman"/>
                      <w:color w:val="auto"/>
                      <w:kern w:val="0"/>
                      <w:sz w:val="21"/>
                      <w:szCs w:val="21"/>
                      <w:highlight w:val="none"/>
                      <w:lang w:val="en-US" w:eastAsia="zh-CN" w:bidi="ar"/>
                    </w:rPr>
                    <w:t>寻甸特色产业园区金所片区，属于规划工业用地，选址符合国土空间规划与园区产业布局规划；周边以工业企业为主，从选址布局层面规避工业噪声对居住敏感点的影响。</w:t>
                  </w:r>
                </w:p>
              </w:tc>
              <w:tc>
                <w:tcPr>
                  <w:tcW w:w="445" w:type="pct"/>
                  <w:noWrap w:val="0"/>
                  <w:vAlign w:val="center"/>
                </w:tcPr>
                <w:p w14:paraId="39F879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符合</w:t>
                  </w:r>
                </w:p>
              </w:tc>
            </w:tr>
            <w:tr w14:paraId="458D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6" w:type="pct"/>
                  <w:noWrap w:val="0"/>
                  <w:vAlign w:val="center"/>
                </w:tcPr>
                <w:p w14:paraId="42BB86E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highlight w:val="none"/>
                      <w:lang w:val="en-US" w:eastAsia="zh-CN" w:bidi="ar"/>
                    </w:rPr>
                  </w:pPr>
                  <w:r>
                    <w:rPr>
                      <w:rFonts w:hint="default" w:ascii="瀹嬩綋" w:hAnsi="瀹嬩綋" w:eastAsia="瀹嬩綋" w:cs="瀹嬩綋"/>
                      <w:color w:val="auto"/>
                      <w:kern w:val="0"/>
                      <w:sz w:val="21"/>
                      <w:szCs w:val="21"/>
                      <w:lang w:val="en-US" w:eastAsia="zh-CN" w:bidi="ar"/>
                    </w:rPr>
                    <w:t>第五百六十七条 排放工业噪声的企业事业单位和其他生产经营者，应当采取有效措施，减少振动、降低噪声。</w:t>
                  </w:r>
                </w:p>
              </w:tc>
              <w:tc>
                <w:tcPr>
                  <w:tcW w:w="2048" w:type="pct"/>
                  <w:noWrap w:val="0"/>
                  <w:vAlign w:val="center"/>
                </w:tcPr>
                <w:p w14:paraId="77ACBC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项目生产设备产生工业噪声，设备选用低噪声型号；对高噪声设备设置减震基座，车间墙体隔声，通过减振、隔声等措施降低噪声排放，厂界噪声可满足排放标准要求。</w:t>
                  </w:r>
                </w:p>
              </w:tc>
              <w:tc>
                <w:tcPr>
                  <w:tcW w:w="445" w:type="pct"/>
                  <w:noWrap w:val="0"/>
                  <w:vAlign w:val="center"/>
                </w:tcPr>
                <w:p w14:paraId="2D45F0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符合</w:t>
                  </w:r>
                </w:p>
              </w:tc>
            </w:tr>
          </w:tbl>
          <w:p w14:paraId="18CF0A5B">
            <w:pPr>
              <w:pStyle w:val="59"/>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firstLine="480" w:firstLineChars="200"/>
              <w:jc w:val="both"/>
              <w:textAlignment w:val="auto"/>
              <w:rPr>
                <w:rFonts w:hint="default" w:ascii="Times New Roman" w:hAnsi="Times New Roman" w:eastAsia="宋体" w:cs="Times New Roman"/>
                <w:b w:val="0"/>
                <w:bCs w:val="0"/>
                <w:color w:val="auto"/>
                <w:sz w:val="24"/>
                <w:szCs w:val="24"/>
                <w:highlight w:val="yellow"/>
              </w:rPr>
            </w:pPr>
            <w:r>
              <w:rPr>
                <w:rFonts w:hint="default" w:ascii="Times New Roman" w:hAnsi="Times New Roman" w:eastAsia="宋体" w:cs="Times New Roman"/>
                <w:b w:val="0"/>
                <w:bCs w:val="0"/>
                <w:color w:val="auto"/>
                <w:sz w:val="24"/>
                <w:highlight w:val="none"/>
                <w:lang w:val="en-US" w:eastAsia="zh-CN"/>
              </w:rPr>
              <w:t>综上</w:t>
            </w:r>
            <w:r>
              <w:rPr>
                <w:rFonts w:hint="default" w:ascii="Times New Roman" w:hAnsi="Times New Roman" w:eastAsia="宋体" w:cs="Times New Roman"/>
                <w:b w:val="0"/>
                <w:bCs w:val="0"/>
                <w:color w:val="auto"/>
                <w:sz w:val="24"/>
                <w:highlight w:val="none"/>
              </w:rPr>
              <w:t>，本项目建设</w:t>
            </w:r>
            <w:r>
              <w:rPr>
                <w:rFonts w:hint="default" w:ascii="Times New Roman" w:hAnsi="Times New Roman" w:eastAsia="宋体" w:cs="Times New Roman"/>
                <w:b w:val="0"/>
                <w:bCs w:val="0"/>
                <w:color w:val="auto"/>
                <w:sz w:val="24"/>
                <w:highlight w:val="none"/>
                <w:lang w:val="en-US" w:eastAsia="zh-CN"/>
              </w:rPr>
              <w:t>与</w:t>
            </w:r>
            <w:r>
              <w:rPr>
                <w:rFonts w:hint="default" w:ascii="Times New Roman" w:hAnsi="Times New Roman" w:eastAsia="宋体" w:cs="Times New Roman"/>
                <w:b w:val="0"/>
                <w:bCs w:val="0"/>
                <w:color w:val="auto"/>
                <w:kern w:val="0"/>
                <w:sz w:val="24"/>
                <w:szCs w:val="24"/>
                <w:lang w:val="en-US" w:eastAsia="zh-CN" w:bidi="ar"/>
              </w:rPr>
              <w:t>《中华人民共和国生态环境法典》中</w:t>
            </w:r>
            <w:r>
              <w:rPr>
                <w:rFonts w:hint="eastAsia" w:hAnsi="Times New Roman" w:cs="Times New Roman"/>
                <w:b w:val="0"/>
                <w:bCs w:val="0"/>
                <w:color w:val="auto"/>
                <w:kern w:val="0"/>
                <w:sz w:val="24"/>
                <w:szCs w:val="24"/>
                <w:lang w:val="en-US" w:eastAsia="zh-CN" w:bidi="ar"/>
              </w:rPr>
              <w:t>相关</w:t>
            </w:r>
            <w:r>
              <w:rPr>
                <w:rFonts w:hint="default" w:ascii="Times New Roman" w:hAnsi="Times New Roman" w:eastAsia="宋体" w:cs="Times New Roman"/>
                <w:b w:val="0"/>
                <w:bCs w:val="0"/>
                <w:color w:val="auto"/>
                <w:kern w:val="0"/>
                <w:sz w:val="24"/>
                <w:szCs w:val="24"/>
                <w:lang w:val="en-US" w:eastAsia="zh-CN" w:bidi="ar"/>
              </w:rPr>
              <w:t>条款不冲突。</w:t>
            </w:r>
          </w:p>
          <w:p w14:paraId="24124C57">
            <w:pPr>
              <w:keepNext w:val="0"/>
              <w:keepLines w:val="0"/>
              <w:suppressLineNumbers w:val="0"/>
              <w:autoSpaceDE w:val="0"/>
              <w:autoSpaceDN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lang w:val="en-US" w:eastAsia="zh-CN"/>
              </w:rPr>
              <w:t>3</w:t>
            </w:r>
            <w:r>
              <w:rPr>
                <w:rFonts w:hint="default" w:ascii="Times New Roman" w:hAnsi="Times New Roman" w:eastAsia="宋体" w:cs="Times New Roman"/>
                <w:b/>
                <w:bCs/>
                <w:color w:val="auto"/>
                <w:sz w:val="24"/>
              </w:rPr>
              <w:t>、项目与昆明市生态环境局关于印发《昆明市生态环境分区管控动态更新方案（2023年）》的通知（2024年11月12日）的相符性分析</w:t>
            </w:r>
          </w:p>
          <w:p w14:paraId="265ACE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2024年11月12日，昆明市生态环境局发布了《昆明市生态环境分区管控动态更新方案（2023年）》，</w:t>
            </w:r>
            <w:r>
              <w:rPr>
                <w:rFonts w:hint="default" w:ascii="Times New Roman" w:hAnsi="Times New Roman" w:eastAsia="宋体" w:cs="Times New Roman"/>
                <w:color w:val="auto"/>
                <w:sz w:val="24"/>
                <w:szCs w:val="24"/>
              </w:rPr>
              <w:t>项目选址位于</w:t>
            </w:r>
            <w:r>
              <w:rPr>
                <w:rFonts w:hint="default" w:ascii="Times New Roman" w:hAnsi="Times New Roman" w:eastAsia="宋体" w:cs="Times New Roman"/>
                <w:color w:val="auto"/>
                <w:kern w:val="0"/>
                <w:sz w:val="24"/>
                <w:szCs w:val="24"/>
                <w:highlight w:val="none"/>
              </w:rPr>
              <w:t>云南省昆明市寻甸</w:t>
            </w:r>
            <w:r>
              <w:rPr>
                <w:rFonts w:hint="eastAsia" w:cs="Times New Roman"/>
                <w:color w:val="auto"/>
                <w:kern w:val="0"/>
                <w:sz w:val="24"/>
                <w:szCs w:val="24"/>
                <w:highlight w:val="none"/>
                <w:lang w:val="en-US" w:eastAsia="zh-CN"/>
              </w:rPr>
              <w:t>县</w:t>
            </w:r>
            <w:r>
              <w:rPr>
                <w:rFonts w:hint="default" w:ascii="Times New Roman" w:hAnsi="Times New Roman" w:eastAsia="宋体" w:cs="Times New Roman"/>
                <w:color w:val="auto"/>
                <w:kern w:val="0"/>
                <w:sz w:val="24"/>
                <w:szCs w:val="24"/>
                <w:highlight w:val="none"/>
              </w:rPr>
              <w:t>金所街道办事处竹沟社区居委会魏所工业园区01号</w:t>
            </w:r>
            <w:r>
              <w:rPr>
                <w:rFonts w:hint="default" w:ascii="Times New Roman" w:hAnsi="Times New Roman" w:eastAsia="宋体" w:cs="Times New Roman"/>
                <w:color w:val="auto"/>
                <w:sz w:val="24"/>
                <w:szCs w:val="24"/>
              </w:rPr>
              <w:t>，根据云南省生态环境分区管控公共服务查询平台查询结果可知，项目涉及“</w:t>
            </w:r>
            <w:r>
              <w:rPr>
                <w:rFonts w:hint="eastAsia" w:ascii="宋体" w:hAnsi="宋体" w:eastAsia="宋体" w:cs="宋体"/>
                <w:color w:val="000000"/>
                <w:kern w:val="0"/>
                <w:sz w:val="24"/>
                <w:szCs w:val="24"/>
                <w:lang w:val="en-US" w:eastAsia="zh-CN" w:bidi="ar"/>
              </w:rPr>
              <w:t>云南寻甸产业园区重点管控单元</w:t>
            </w:r>
            <w:r>
              <w:rPr>
                <w:rFonts w:hint="default" w:ascii="Times New Roman" w:hAnsi="Times New Roman" w:eastAsia="宋体" w:cs="Times New Roman"/>
                <w:color w:val="auto"/>
                <w:sz w:val="24"/>
                <w:szCs w:val="24"/>
              </w:rPr>
              <w:t>”，单元编码为</w:t>
            </w:r>
            <w:r>
              <w:rPr>
                <w:rFonts w:hint="default" w:ascii="Cambria" w:hAnsi="Cambria" w:eastAsia="Cambria" w:cs="Cambria"/>
                <w:color w:val="000000"/>
                <w:kern w:val="0"/>
                <w:sz w:val="24"/>
                <w:szCs w:val="24"/>
                <w:lang w:val="en-US" w:eastAsia="zh-CN" w:bidi="ar"/>
              </w:rPr>
              <w:t>ZH53012920002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000000"/>
                <w:kern w:val="0"/>
                <w:sz w:val="24"/>
                <w:szCs w:val="24"/>
                <w:lang w:val="en-US" w:eastAsia="zh-CN" w:bidi="ar"/>
              </w:rPr>
              <w:t>项目生态环境分区管控单元查询见图1-1：</w:t>
            </w:r>
          </w:p>
          <w:p w14:paraId="49AA876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drawing>
                <wp:inline distT="0" distB="0" distL="114300" distR="114300">
                  <wp:extent cx="4763135" cy="5413375"/>
                  <wp:effectExtent l="0" t="0" r="18415" b="15875"/>
                  <wp:docPr id="5" name="图片 37" descr="管控单元截图20260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7" descr="管控单元截图20260821"/>
                          <pic:cNvPicPr>
                            <a:picLocks noChangeAspect="1"/>
                          </pic:cNvPicPr>
                        </pic:nvPicPr>
                        <pic:blipFill>
                          <a:blip r:embed="rId8"/>
                          <a:stretch>
                            <a:fillRect/>
                          </a:stretch>
                        </pic:blipFill>
                        <pic:spPr>
                          <a:xfrm>
                            <a:off x="0" y="0"/>
                            <a:ext cx="4763135" cy="5413375"/>
                          </a:xfrm>
                          <a:prstGeom prst="rect">
                            <a:avLst/>
                          </a:prstGeom>
                          <a:noFill/>
                          <a:ln>
                            <a:noFill/>
                          </a:ln>
                        </pic:spPr>
                      </pic:pic>
                    </a:graphicData>
                  </a:graphic>
                </wp:inline>
              </w:drawing>
            </w:r>
          </w:p>
          <w:p w14:paraId="385AB5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auto"/>
                <w:sz w:val="21"/>
                <w:szCs w:val="21"/>
                <w:highlight w:val="none"/>
                <w:lang w:val="en-US" w:eastAsia="zh-CN"/>
              </w:rPr>
              <w:t>图1-1  生态环境管控单元查询图</w:t>
            </w:r>
          </w:p>
          <w:p w14:paraId="7D183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000000"/>
                <w:kern w:val="0"/>
                <w:sz w:val="24"/>
                <w:szCs w:val="24"/>
                <w:lang w:val="en-US" w:eastAsia="zh-CN" w:bidi="ar"/>
              </w:rPr>
              <w:t>项目与《昆明市生态环境分区管控动态更新方案（2023年）》符合性分析详见表1-</w:t>
            </w:r>
            <w:r>
              <w:rPr>
                <w:rFonts w:hint="eastAsia" w:cs="Times New Roman"/>
                <w:color w:val="000000"/>
                <w:kern w:val="0"/>
                <w:sz w:val="24"/>
                <w:szCs w:val="24"/>
                <w:lang w:val="en-US" w:eastAsia="zh-CN" w:bidi="ar"/>
              </w:rPr>
              <w:t>6</w:t>
            </w:r>
            <w:r>
              <w:rPr>
                <w:rFonts w:hint="default" w:ascii="Times New Roman" w:hAnsi="Times New Roman" w:eastAsia="宋体" w:cs="Times New Roman"/>
                <w:color w:val="000000"/>
                <w:kern w:val="0"/>
                <w:sz w:val="24"/>
                <w:szCs w:val="24"/>
                <w:lang w:val="en-US" w:eastAsia="zh-CN" w:bidi="ar"/>
              </w:rPr>
              <w:t>：</w:t>
            </w:r>
          </w:p>
          <w:p w14:paraId="330A04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表1-</w:t>
            </w:r>
            <w:r>
              <w:rPr>
                <w:rFonts w:hint="eastAsia" w:cs="Times New Roman"/>
                <w:b/>
                <w:bCs/>
                <w:color w:val="auto"/>
                <w:sz w:val="21"/>
                <w:szCs w:val="21"/>
                <w:lang w:val="en-US" w:eastAsia="zh-CN"/>
              </w:rPr>
              <w:t>6</w:t>
            </w:r>
            <w:r>
              <w:rPr>
                <w:rFonts w:hint="default" w:ascii="Times New Roman" w:hAnsi="Times New Roman" w:eastAsia="宋体" w:cs="Times New Roman"/>
                <w:b/>
                <w:bCs/>
                <w:color w:val="auto"/>
                <w:sz w:val="21"/>
                <w:szCs w:val="21"/>
                <w:lang w:val="en-US" w:eastAsia="zh-CN"/>
              </w:rPr>
              <w:t xml:space="preserve">  项目与《昆明市生态环境分区管控动态更新方案（2023年）》相符性分析</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11"/>
              <w:gridCol w:w="366"/>
              <w:gridCol w:w="378"/>
              <w:gridCol w:w="2906"/>
              <w:gridCol w:w="3045"/>
              <w:gridCol w:w="789"/>
            </w:tblGrid>
            <w:tr w14:paraId="0B98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92" w:type="pct"/>
                  <w:gridSpan w:val="2"/>
                  <w:tcBorders>
                    <w:top w:val="single" w:color="auto" w:sz="4" w:space="0"/>
                    <w:left w:val="single" w:color="auto" w:sz="4" w:space="0"/>
                    <w:bottom w:val="single" w:color="auto" w:sz="4" w:space="0"/>
                    <w:right w:val="single" w:color="auto" w:sz="4" w:space="0"/>
                  </w:tcBorders>
                  <w:noWrap w:val="0"/>
                  <w:vAlign w:val="center"/>
                </w:tcPr>
                <w:p w14:paraId="44B3EE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类别</w:t>
                  </w:r>
                </w:p>
              </w:tc>
              <w:tc>
                <w:tcPr>
                  <w:tcW w:w="2079" w:type="pct"/>
                  <w:gridSpan w:val="2"/>
                  <w:tcBorders>
                    <w:top w:val="single" w:color="auto" w:sz="4" w:space="0"/>
                    <w:left w:val="single" w:color="auto" w:sz="4" w:space="0"/>
                    <w:bottom w:val="single" w:color="auto" w:sz="4" w:space="0"/>
                    <w:right w:val="single" w:color="auto" w:sz="4" w:space="0"/>
                  </w:tcBorders>
                  <w:noWrap w:val="0"/>
                  <w:vAlign w:val="center"/>
                </w:tcPr>
                <w:p w14:paraId="252CA51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文件要求</w:t>
                  </w:r>
                </w:p>
              </w:tc>
              <w:tc>
                <w:tcPr>
                  <w:tcW w:w="1928" w:type="pct"/>
                  <w:tcBorders>
                    <w:top w:val="single" w:color="auto" w:sz="4" w:space="0"/>
                    <w:left w:val="single" w:color="auto" w:sz="4" w:space="0"/>
                    <w:bottom w:val="single" w:color="auto" w:sz="4" w:space="0"/>
                    <w:right w:val="single" w:color="auto" w:sz="4" w:space="0"/>
                  </w:tcBorders>
                  <w:noWrap w:val="0"/>
                  <w:vAlign w:val="center"/>
                </w:tcPr>
                <w:p w14:paraId="1935DC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相符性分析</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22A84B1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符合性</w:t>
                  </w:r>
                </w:p>
              </w:tc>
            </w:tr>
            <w:tr w14:paraId="07EC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92" w:type="pct"/>
                  <w:gridSpan w:val="2"/>
                  <w:tcBorders>
                    <w:top w:val="single" w:color="auto" w:sz="4" w:space="0"/>
                    <w:left w:val="single" w:color="auto" w:sz="4" w:space="0"/>
                    <w:bottom w:val="single" w:color="auto" w:sz="4" w:space="0"/>
                    <w:right w:val="single" w:color="auto" w:sz="4" w:space="0"/>
                  </w:tcBorders>
                  <w:noWrap w:val="0"/>
                  <w:vAlign w:val="center"/>
                </w:tcPr>
                <w:p w14:paraId="3E9564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000000"/>
                      <w:kern w:val="0"/>
                      <w:sz w:val="20"/>
                      <w:szCs w:val="20"/>
                      <w:lang w:val="en-US" w:eastAsia="zh-CN" w:bidi="ar"/>
                    </w:rPr>
                    <w:t>生态保护红线及一般生态空间更新结果</w:t>
                  </w:r>
                </w:p>
              </w:tc>
              <w:tc>
                <w:tcPr>
                  <w:tcW w:w="2079" w:type="pct"/>
                  <w:gridSpan w:val="2"/>
                  <w:tcBorders>
                    <w:top w:val="single" w:color="auto" w:sz="4" w:space="0"/>
                    <w:left w:val="single" w:color="auto" w:sz="4" w:space="0"/>
                    <w:bottom w:val="single" w:color="auto" w:sz="4" w:space="0"/>
                    <w:right w:val="single" w:color="auto" w:sz="4" w:space="0"/>
                  </w:tcBorders>
                  <w:noWrap w:val="0"/>
                  <w:vAlign w:val="center"/>
                </w:tcPr>
                <w:p w14:paraId="5845E51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0"/>
                      <w:szCs w:val="20"/>
                      <w:lang w:val="en-US" w:eastAsia="zh-CN" w:bidi="ar"/>
                    </w:rPr>
                    <w:t>生态保护红线全面与《昆明市国土空间总体规划（2021—2</w:t>
                  </w:r>
                  <w:r>
                    <w:rPr>
                      <w:rFonts w:hint="default" w:ascii="Times New Roman" w:hAnsi="Times New Roman" w:eastAsia="宋体" w:cs="Times New Roman"/>
                      <w:color w:val="auto"/>
                      <w:kern w:val="0"/>
                      <w:sz w:val="21"/>
                      <w:szCs w:val="21"/>
                      <w:lang w:val="en-US" w:eastAsia="zh-CN" w:bidi="ar"/>
                    </w:rPr>
                    <w:t>035年）》衔接，全市生态保护红线面积4274.70平方公里，占全市国土面积的20.34%，较原有面积占比减少1.85%。全市一般生态空间面积5151.56km</w:t>
                  </w:r>
                  <w:r>
                    <w:rPr>
                      <w:rFonts w:hint="default" w:ascii="Times New Roman" w:hAnsi="Times New Roman" w:eastAsia="宋体" w:cs="Times New Roman"/>
                      <w:color w:val="auto"/>
                      <w:kern w:val="0"/>
                      <w:sz w:val="21"/>
                      <w:szCs w:val="21"/>
                      <w:vertAlign w:val="superscript"/>
                      <w:lang w:val="en-US" w:eastAsia="zh-CN" w:bidi="ar"/>
                    </w:rPr>
                    <w:t>2</w:t>
                  </w:r>
                  <w:r>
                    <w:rPr>
                      <w:rFonts w:hint="default" w:ascii="Times New Roman" w:hAnsi="Times New Roman" w:eastAsia="宋体" w:cs="Times New Roman"/>
                      <w:color w:val="auto"/>
                      <w:kern w:val="0"/>
                      <w:sz w:val="21"/>
                      <w:szCs w:val="21"/>
                      <w:lang w:val="en-US" w:eastAsia="zh-CN" w:bidi="ar"/>
                    </w:rPr>
                    <w:t>，占国土空间面积的24.37%，较原有面积占比增加2.45%。</w:t>
                  </w:r>
                </w:p>
              </w:tc>
              <w:tc>
                <w:tcPr>
                  <w:tcW w:w="1928" w:type="pct"/>
                  <w:tcBorders>
                    <w:top w:val="single" w:color="auto" w:sz="4" w:space="0"/>
                    <w:left w:val="single" w:color="auto" w:sz="4" w:space="0"/>
                    <w:bottom w:val="single" w:color="auto" w:sz="4" w:space="0"/>
                    <w:right w:val="single" w:color="auto" w:sz="4" w:space="0"/>
                  </w:tcBorders>
                  <w:noWrap w:val="0"/>
                  <w:vAlign w:val="center"/>
                </w:tcPr>
                <w:p w14:paraId="1171481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项目选址位于</w:t>
                  </w:r>
                  <w:r>
                    <w:rPr>
                      <w:rFonts w:hint="default" w:ascii="Times New Roman" w:hAnsi="Times New Roman" w:eastAsia="宋体" w:cs="Times New Roman"/>
                      <w:color w:val="auto"/>
                      <w:kern w:val="0"/>
                      <w:sz w:val="21"/>
                      <w:szCs w:val="21"/>
                      <w:highlight w:val="none"/>
                      <w:lang w:val="en-US" w:eastAsia="zh-CN" w:bidi="ar"/>
                    </w:rPr>
                    <w:t>寻甸产业园金所片区</w:t>
                  </w:r>
                  <w:r>
                    <w:rPr>
                      <w:rFonts w:hint="default" w:ascii="Times New Roman" w:hAnsi="Times New Roman" w:eastAsia="宋体" w:cs="Times New Roman"/>
                      <w:color w:val="auto"/>
                      <w:sz w:val="21"/>
                      <w:szCs w:val="21"/>
                      <w:lang w:val="en-US" w:eastAsia="zh-CN"/>
                    </w:rPr>
                    <w:t>，项目用地性质为二类工业用地，不涉及划定的生态保护红线</w:t>
                  </w:r>
                  <w:r>
                    <w:rPr>
                      <w:rFonts w:hint="default" w:ascii="Times New Roman" w:hAnsi="Times New Roman" w:eastAsia="宋体" w:cs="Times New Roman"/>
                      <w:color w:val="auto"/>
                      <w:sz w:val="21"/>
                      <w:szCs w:val="21"/>
                    </w:rPr>
                    <w:t>。</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63BA664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34D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92" w:type="pct"/>
                  <w:gridSpan w:val="2"/>
                  <w:tcBorders>
                    <w:top w:val="nil"/>
                    <w:left w:val="single" w:color="auto" w:sz="4" w:space="0"/>
                    <w:right w:val="single" w:color="auto" w:sz="4" w:space="0"/>
                  </w:tcBorders>
                  <w:noWrap w:val="0"/>
                  <w:vAlign w:val="center"/>
                </w:tcPr>
                <w:p w14:paraId="6873E3E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环境质量底线</w:t>
                  </w:r>
                </w:p>
              </w:tc>
              <w:tc>
                <w:tcPr>
                  <w:tcW w:w="2079" w:type="pct"/>
                  <w:gridSpan w:val="2"/>
                  <w:tcBorders>
                    <w:top w:val="single" w:color="auto" w:sz="4" w:space="0"/>
                    <w:left w:val="single" w:color="auto" w:sz="4" w:space="0"/>
                    <w:right w:val="single" w:color="auto" w:sz="4" w:space="0"/>
                  </w:tcBorders>
                  <w:noWrap w:val="0"/>
                  <w:vAlign w:val="center"/>
                </w:tcPr>
                <w:p w14:paraId="6C85BC2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到2025年，昆明市地表水国控断面达到或好于Ⅲ类水体比例应达到81.5%，45个省控断面达到或好于Ⅲ类水体比例应达到80%，</w:t>
                  </w:r>
                  <w:r>
                    <w:rPr>
                      <w:rFonts w:hint="eastAsia" w:ascii="Times New Roman" w:cs="Times New Roman"/>
                      <w:color w:val="auto"/>
                      <w:sz w:val="21"/>
                      <w:szCs w:val="21"/>
                      <w:lang w:val="en-US" w:eastAsia="zh-CN"/>
                    </w:rPr>
                    <w:t>劣Ⅴ类水体</w:t>
                  </w:r>
                  <w:r>
                    <w:rPr>
                      <w:rFonts w:hint="default" w:ascii="Times New Roman" w:hAnsi="Times New Roman" w:eastAsia="宋体" w:cs="Times New Roman"/>
                      <w:color w:val="auto"/>
                      <w:sz w:val="21"/>
                      <w:szCs w:val="21"/>
                      <w:lang w:val="en-US" w:eastAsia="zh-CN"/>
                    </w:rPr>
                    <w:t>全面消除，县级及以上集中式饮用水水源地水质达标率100%；空气质量优良天数比率达99.1%，细颗粒物（PM</w:t>
                  </w:r>
                  <w:r>
                    <w:rPr>
                      <w:rFonts w:hint="default" w:ascii="Times New Roman" w:hAnsi="Times New Roman" w:eastAsia="宋体" w:cs="Times New Roman"/>
                      <w:color w:val="auto"/>
                      <w:sz w:val="21"/>
                      <w:szCs w:val="21"/>
                      <w:vertAlign w:val="subscript"/>
                      <w:lang w:val="en-US" w:eastAsia="zh-CN"/>
                    </w:rPr>
                    <w:t>2.5</w:t>
                  </w:r>
                  <w:r>
                    <w:rPr>
                      <w:rFonts w:hint="default" w:ascii="Times New Roman" w:hAnsi="Times New Roman" w:eastAsia="宋体" w:cs="Times New Roman"/>
                      <w:color w:val="auto"/>
                      <w:sz w:val="21"/>
                      <w:szCs w:val="21"/>
                      <w:lang w:val="en-US" w:eastAsia="zh-CN"/>
                    </w:rPr>
                    <w:t>）浓度不高于24微克/立方米，重污染天数为0；全市土壤环境质量总体保持稳定，局部稳中向好，受污染耕地安全利用率不低于90%，重点建设用地安全利用得到有效保障。</w:t>
                  </w:r>
                </w:p>
              </w:tc>
              <w:tc>
                <w:tcPr>
                  <w:tcW w:w="1928" w:type="pct"/>
                  <w:tcBorders>
                    <w:top w:val="single" w:color="auto" w:sz="4" w:space="0"/>
                    <w:left w:val="single" w:color="auto" w:sz="4" w:space="0"/>
                    <w:right w:val="single" w:color="auto" w:sz="4" w:space="0"/>
                  </w:tcBorders>
                  <w:noWrap w:val="0"/>
                  <w:vAlign w:val="center"/>
                </w:tcPr>
                <w:p w14:paraId="4E5730EF">
                  <w:pPr>
                    <w:pStyle w:val="8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jc w:val="both"/>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val="en-US" w:eastAsia="zh-CN"/>
                    </w:rPr>
                    <w:t>②项目区属于环境空气质量达标区，</w:t>
                  </w:r>
                  <w:r>
                    <w:rPr>
                      <w:rFonts w:hint="default" w:ascii="Times New Roman" w:hAnsi="Times New Roman" w:eastAsia="宋体" w:cs="Times New Roman"/>
                      <w:color w:val="auto"/>
                      <w:kern w:val="0"/>
                      <w:sz w:val="21"/>
                      <w:szCs w:val="21"/>
                    </w:rPr>
                    <w:t>项目</w:t>
                  </w:r>
                  <w:r>
                    <w:rPr>
                      <w:rFonts w:hint="default" w:ascii="Times New Roman" w:hAnsi="Times New Roman" w:eastAsia="宋体" w:cs="Times New Roman"/>
                      <w:color w:val="auto"/>
                      <w:kern w:val="0"/>
                      <w:sz w:val="21"/>
                      <w:szCs w:val="21"/>
                      <w:lang w:val="en-US" w:eastAsia="zh-CN"/>
                    </w:rPr>
                    <w:t>运营期注塑工序产生的</w:t>
                  </w:r>
                  <w:r>
                    <w:rPr>
                      <w:rFonts w:hint="default" w:ascii="Times New Roman" w:hAnsi="Times New Roman" w:eastAsia="宋体" w:cs="Times New Roman"/>
                      <w:color w:val="auto"/>
                      <w:kern w:val="0"/>
                      <w:sz w:val="21"/>
                      <w:szCs w:val="21"/>
                    </w:rPr>
                    <w:t>非甲烷总烃</w:t>
                  </w:r>
                  <w:r>
                    <w:rPr>
                      <w:rFonts w:hint="default" w:ascii="Times New Roman" w:hAnsi="Times New Roman" w:eastAsia="宋体" w:cs="Times New Roman"/>
                      <w:color w:val="auto"/>
                      <w:kern w:val="0"/>
                      <w:sz w:val="21"/>
                      <w:szCs w:val="21"/>
                      <w:lang w:val="en-US" w:eastAsia="zh-CN"/>
                    </w:rPr>
                    <w:t>和</w:t>
                  </w:r>
                  <w:r>
                    <w:rPr>
                      <w:rFonts w:hint="eastAsia" w:ascii="Times New Roman" w:cs="Times New Roman"/>
                      <w:color w:val="auto"/>
                      <w:kern w:val="0"/>
                      <w:sz w:val="21"/>
                      <w:szCs w:val="21"/>
                      <w:lang w:val="en-US" w:eastAsia="zh-CN"/>
                    </w:rPr>
                    <w:t>臭气浓度</w:t>
                  </w:r>
                  <w:r>
                    <w:rPr>
                      <w:rFonts w:hint="default" w:ascii="Times New Roman" w:hAnsi="Times New Roman" w:eastAsia="宋体" w:cs="Times New Roman"/>
                      <w:color w:val="auto"/>
                      <w:kern w:val="0"/>
                      <w:sz w:val="21"/>
                      <w:szCs w:val="21"/>
                      <w:lang w:val="en-US" w:eastAsia="zh-CN"/>
                    </w:rPr>
                    <w:t>经注塑机上方设置集气罩收集进入1套三级活性炭吸附装置处理后通过1根15m高的排气筒（DA001）达标排放；项目拌料、上料</w:t>
                  </w:r>
                  <w:r>
                    <w:rPr>
                      <w:rFonts w:hint="eastAsia" w:ascii="Times New Roman" w:cs="Times New Roman"/>
                      <w:color w:val="auto"/>
                      <w:kern w:val="0"/>
                      <w:sz w:val="21"/>
                      <w:szCs w:val="21"/>
                      <w:lang w:val="en-US" w:eastAsia="zh-CN"/>
                    </w:rPr>
                    <w:t>、生产边角料及不合格品破碎</w:t>
                  </w:r>
                  <w:r>
                    <w:rPr>
                      <w:rFonts w:hint="default" w:ascii="Times New Roman" w:hAnsi="Times New Roman" w:eastAsia="宋体" w:cs="Times New Roman"/>
                      <w:color w:val="auto"/>
                      <w:kern w:val="0"/>
                      <w:sz w:val="21"/>
                      <w:szCs w:val="21"/>
                      <w:lang w:val="en-US" w:eastAsia="zh-CN"/>
                    </w:rPr>
                    <w:t>过程为密闭设置，过程产生的粉尘较少，经车间沉降后呈无组织排放，</w:t>
                  </w:r>
                  <w:r>
                    <w:rPr>
                      <w:rFonts w:hint="eastAsia" w:ascii="Times New Roman" w:cs="Times New Roman"/>
                      <w:color w:val="auto"/>
                      <w:kern w:val="0"/>
                      <w:sz w:val="21"/>
                      <w:szCs w:val="21"/>
                      <w:lang w:val="en-US" w:eastAsia="zh-CN"/>
                    </w:rPr>
                    <w:t>根据</w:t>
                  </w:r>
                  <w:r>
                    <w:rPr>
                      <w:rFonts w:hint="default" w:ascii="Times New Roman" w:hAnsi="Times New Roman" w:eastAsia="宋体" w:cs="Times New Roman"/>
                      <w:color w:val="auto"/>
                      <w:sz w:val="21"/>
                      <w:szCs w:val="21"/>
                      <w:highlight w:val="none"/>
                      <w:lang w:val="en-US" w:eastAsia="zh-CN"/>
                    </w:rPr>
                    <w:t>AERSCREEN</w:t>
                  </w:r>
                  <w:r>
                    <w:rPr>
                      <w:rFonts w:hint="eastAsia" w:ascii="Times New Roman" w:hAnsi="Times New Roman" w:eastAsia="宋体" w:cs="Times New Roman"/>
                      <w:color w:val="auto"/>
                      <w:sz w:val="21"/>
                      <w:szCs w:val="21"/>
                      <w:highlight w:val="none"/>
                      <w:lang w:val="en-US" w:eastAsia="zh-CN"/>
                    </w:rPr>
                    <w:t>估算</w:t>
                  </w:r>
                  <w:r>
                    <w:rPr>
                      <w:rFonts w:hint="eastAsia" w:ascii="Times New Roman" w:cs="Times New Roman"/>
                      <w:color w:val="auto"/>
                      <w:sz w:val="21"/>
                      <w:szCs w:val="21"/>
                      <w:highlight w:val="none"/>
                      <w:lang w:val="en-US" w:eastAsia="zh-CN"/>
                    </w:rPr>
                    <w:t>结果，项目</w:t>
                  </w:r>
                  <w:r>
                    <w:rPr>
                      <w:rFonts w:hint="eastAsia" w:ascii="Times New Roman" w:hAnsi="Times New Roman" w:eastAsia="宋体" w:cs="Times New Roman"/>
                      <w:color w:val="auto"/>
                      <w:sz w:val="21"/>
                      <w:szCs w:val="21"/>
                      <w:highlight w:val="none"/>
                      <w:lang w:val="en-US" w:eastAsia="zh-CN"/>
                    </w:rPr>
                    <w:t>厂界非甲烷总烃、颗粒物满足《合成树脂工业污染物排放标准》（</w:t>
                  </w:r>
                  <w:r>
                    <w:rPr>
                      <w:rFonts w:hint="default" w:ascii="Times New Roman" w:hAnsi="Times New Roman" w:eastAsia="宋体" w:cs="Times New Roman"/>
                      <w:color w:val="auto"/>
                      <w:sz w:val="21"/>
                      <w:szCs w:val="21"/>
                      <w:highlight w:val="none"/>
                      <w:lang w:val="en-US" w:eastAsia="zh-CN"/>
                    </w:rPr>
                    <w:t>GB31572-2015</w:t>
                  </w:r>
                  <w:r>
                    <w:rPr>
                      <w:rFonts w:hint="eastAsia" w:ascii="Times New Roman" w:hAnsi="Times New Roman" w:eastAsia="宋体" w:cs="Times New Roman"/>
                      <w:color w:val="auto"/>
                      <w:sz w:val="21"/>
                      <w:szCs w:val="21"/>
                      <w:highlight w:val="none"/>
                      <w:lang w:val="en-US" w:eastAsia="zh-CN"/>
                    </w:rPr>
                    <w:t>）（含</w:t>
                  </w:r>
                  <w:r>
                    <w:rPr>
                      <w:rFonts w:hint="default" w:ascii="Times New Roman" w:hAnsi="Times New Roman" w:eastAsia="宋体" w:cs="Times New Roman"/>
                      <w:color w:val="auto"/>
                      <w:sz w:val="21"/>
                      <w:szCs w:val="21"/>
                      <w:highlight w:val="none"/>
                      <w:lang w:val="en-US" w:eastAsia="zh-CN"/>
                    </w:rPr>
                    <w:t>2024</w:t>
                  </w:r>
                  <w:r>
                    <w:rPr>
                      <w:rFonts w:hint="eastAsia" w:ascii="Times New Roman" w:hAnsi="Times New Roman" w:eastAsia="宋体" w:cs="Times New Roman"/>
                      <w:color w:val="auto"/>
                      <w:sz w:val="21"/>
                      <w:szCs w:val="21"/>
                      <w:highlight w:val="none"/>
                      <w:lang w:val="en-US" w:eastAsia="zh-CN"/>
                    </w:rPr>
                    <w:t>年修改单）标准限值</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kern w:val="0"/>
                      <w:sz w:val="21"/>
                      <w:szCs w:val="21"/>
                      <w:lang w:val="en-US" w:eastAsia="zh-CN" w:bidi="ar"/>
                    </w:rPr>
                    <w:t>类比</w:t>
                  </w:r>
                  <w:r>
                    <w:rPr>
                      <w:rFonts w:hint="default" w:ascii="Times New Roman" w:hAnsi="Times New Roman" w:eastAsia="宋体" w:cs="Times New Roman"/>
                      <w:color w:val="auto"/>
                      <w:kern w:val="0"/>
                      <w:sz w:val="21"/>
                      <w:szCs w:val="21"/>
                      <w:lang w:val="en-US" w:eastAsia="zh-CN" w:bidi="ar"/>
                    </w:rPr>
                    <w:t>同类项目竣工</w:t>
                  </w:r>
                  <w:r>
                    <w:rPr>
                      <w:rFonts w:hint="eastAsia" w:ascii="Times New Roman" w:hAnsi="Times New Roman" w:eastAsia="宋体" w:cs="Times New Roman"/>
                      <w:color w:val="auto"/>
                      <w:kern w:val="0"/>
                      <w:sz w:val="21"/>
                      <w:szCs w:val="21"/>
                      <w:lang w:val="en-US" w:eastAsia="zh-CN" w:bidi="ar"/>
                    </w:rPr>
                    <w:t>监测数据</w:t>
                  </w:r>
                  <w:r>
                    <w:rPr>
                      <w:rFonts w:hint="default" w:ascii="Times New Roman" w:hAnsi="Times New Roman" w:eastAsia="宋体" w:cs="Times New Roman"/>
                      <w:color w:val="auto"/>
                      <w:kern w:val="0"/>
                      <w:sz w:val="21"/>
                      <w:szCs w:val="21"/>
                      <w:lang w:val="en-US" w:eastAsia="zh-CN" w:bidi="ar"/>
                    </w:rPr>
                    <w:t>，项目无组织</w:t>
                  </w:r>
                  <w:r>
                    <w:rPr>
                      <w:rFonts w:hint="eastAsia" w:ascii="Times New Roman" w:hAnsi="Times New Roman" w:eastAsia="宋体" w:cs="Times New Roman"/>
                      <w:color w:val="auto"/>
                      <w:kern w:val="0"/>
                      <w:sz w:val="21"/>
                      <w:szCs w:val="21"/>
                      <w:lang w:val="en-US" w:eastAsia="zh-CN" w:bidi="ar"/>
                    </w:rPr>
                    <w:t>臭气浓度</w:t>
                  </w:r>
                  <w:r>
                    <w:rPr>
                      <w:rFonts w:hint="default" w:ascii="Times New Roman" w:hAnsi="Times New Roman" w:eastAsia="宋体" w:cs="Times New Roman"/>
                      <w:color w:val="auto"/>
                      <w:kern w:val="0"/>
                      <w:sz w:val="21"/>
                      <w:szCs w:val="21"/>
                      <w:lang w:val="en-US" w:eastAsia="zh-CN" w:bidi="ar"/>
                    </w:rPr>
                    <w:t>厂界排放可稳定达标</w:t>
                  </w:r>
                  <w:r>
                    <w:rPr>
                      <w:rFonts w:hint="eastAsia" w:ascii="Times New Roman" w:hAnsi="Times New Roman" w:eastAsia="宋体" w:cs="Times New Roman"/>
                      <w:color w:val="auto"/>
                      <w:kern w:val="0"/>
                      <w:sz w:val="21"/>
                      <w:szCs w:val="21"/>
                      <w:lang w:val="en-US" w:eastAsia="zh-CN" w:bidi="ar"/>
                    </w:rPr>
                    <w:t>，厂界排放浓度可满足</w:t>
                  </w:r>
                  <w:r>
                    <w:rPr>
                      <w:rFonts w:hint="default" w:ascii="Times New Roman" w:hAnsi="Times New Roman" w:eastAsia="宋体" w:cs="Times New Roman"/>
                      <w:color w:val="auto"/>
                      <w:kern w:val="0"/>
                      <w:sz w:val="21"/>
                      <w:szCs w:val="21"/>
                      <w:lang w:val="en-US" w:eastAsia="zh-CN" w:bidi="ar"/>
                    </w:rPr>
                    <w:t>《恶臭污染物排放标准》（GB14554-93）表1中“臭气浓度”新扩改建二级标准</w:t>
                  </w:r>
                  <w:r>
                    <w:rPr>
                      <w:rFonts w:hint="eastAsia" w:ascii="Times New Roman" w:hAnsi="Times New Roman" w:eastAsia="宋体" w:cs="Times New Roman"/>
                      <w:color w:val="auto"/>
                      <w:kern w:val="0"/>
                      <w:sz w:val="21"/>
                      <w:szCs w:val="21"/>
                      <w:lang w:val="en-US" w:eastAsia="zh-CN" w:bidi="ar"/>
                    </w:rPr>
                    <w:t>要求；</w:t>
                  </w:r>
                  <w:r>
                    <w:rPr>
                      <w:rFonts w:hint="default" w:ascii="Times New Roman" w:hAnsi="Times New Roman" w:eastAsia="宋体" w:cs="Times New Roman"/>
                      <w:color w:val="auto"/>
                      <w:kern w:val="0"/>
                      <w:sz w:val="21"/>
                      <w:szCs w:val="21"/>
                      <w:lang w:bidi="ar"/>
                    </w:rPr>
                    <w:t>食堂油烟经净化处理后排放浓度约为</w:t>
                  </w:r>
                  <w:r>
                    <w:rPr>
                      <w:rFonts w:hint="default" w:ascii="Times New Roman" w:hAnsi="Times New Roman" w:eastAsia="宋体" w:cs="Times New Roman"/>
                      <w:color w:val="auto"/>
                      <w:kern w:val="0"/>
                      <w:sz w:val="21"/>
                      <w:szCs w:val="21"/>
                      <w:lang w:val="en-US" w:eastAsia="zh-CN" w:bidi="ar"/>
                    </w:rPr>
                    <w:t>1.132</w:t>
                  </w:r>
                  <w:r>
                    <w:rPr>
                      <w:rFonts w:hint="default" w:ascii="Times New Roman" w:hAnsi="Times New Roman" w:eastAsia="宋体" w:cs="Times New Roman"/>
                      <w:color w:val="auto"/>
                      <w:kern w:val="0"/>
                      <w:sz w:val="21"/>
                      <w:szCs w:val="21"/>
                      <w:lang w:bidi="ar"/>
                    </w:rPr>
                    <w:t>mg/m³，</w:t>
                  </w:r>
                  <w:r>
                    <w:rPr>
                      <w:rFonts w:hint="eastAsia" w:ascii="Times New Roman" w:cs="Times New Roman"/>
                      <w:color w:val="auto"/>
                      <w:kern w:val="0"/>
                      <w:sz w:val="21"/>
                      <w:szCs w:val="21"/>
                      <w:lang w:val="en-US" w:eastAsia="zh-CN" w:bidi="ar"/>
                    </w:rPr>
                    <w:t>满足</w:t>
                  </w:r>
                  <w:r>
                    <w:rPr>
                      <w:rFonts w:hint="default" w:ascii="Times New Roman" w:hAnsi="Times New Roman" w:eastAsia="宋体" w:cs="Times New Roman"/>
                      <w:color w:val="auto"/>
                      <w:kern w:val="0"/>
                      <w:sz w:val="21"/>
                      <w:szCs w:val="21"/>
                      <w:lang w:bidi="ar"/>
                    </w:rPr>
                    <w:t>《饮食业油烟排放标准（试行）》（GB18483-2001）中的有关规定即排放浓度标准</w:t>
                  </w:r>
                  <w:r>
                    <w:rPr>
                      <w:rFonts w:hint="default" w:ascii="Times New Roman" w:hAnsi="Times New Roman" w:eastAsia="宋体" w:cs="Times New Roman"/>
                      <w:color w:val="auto"/>
                      <w:kern w:val="0"/>
                      <w:sz w:val="21"/>
                      <w:szCs w:val="21"/>
                      <w:lang w:val="en-US" w:eastAsia="zh-CN"/>
                    </w:rPr>
                    <w:t>。</w:t>
                  </w:r>
                </w:p>
                <w:p w14:paraId="568981B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②项目实行雨污分流，</w:t>
                  </w:r>
                  <w:r>
                    <w:rPr>
                      <w:rFonts w:hint="default" w:ascii="Times New Roman" w:hAnsi="Times New Roman" w:eastAsia="宋体" w:cs="Times New Roman"/>
                      <w:b w:val="0"/>
                      <w:bCs w:val="0"/>
                      <w:color w:val="auto"/>
                      <w:sz w:val="21"/>
                      <w:szCs w:val="21"/>
                      <w:highlight w:val="none"/>
                      <w:lang w:val="en-US" w:eastAsia="zh-CN"/>
                    </w:rPr>
                    <w:t>雨水经厂区雨水管收集后排入市政雨水管网</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项目生产过程中</w:t>
                  </w:r>
                  <w:r>
                    <w:rPr>
                      <w:rFonts w:hint="eastAsia" w:ascii="Times New Roman" w:cs="Times New Roman"/>
                      <w:color w:val="auto"/>
                      <w:sz w:val="21"/>
                      <w:szCs w:val="21"/>
                      <w:lang w:val="en-US" w:eastAsia="zh-CN"/>
                    </w:rPr>
                    <w:t>间接</w:t>
                  </w:r>
                  <w:r>
                    <w:rPr>
                      <w:rFonts w:hint="default" w:ascii="Times New Roman" w:hAnsi="Times New Roman" w:eastAsia="宋体" w:cs="Times New Roman"/>
                      <w:color w:val="auto"/>
                      <w:sz w:val="21"/>
                      <w:szCs w:val="21"/>
                    </w:rPr>
                    <w:t>冷却循环</w:t>
                  </w:r>
                  <w:r>
                    <w:rPr>
                      <w:rFonts w:hint="eastAsia" w:ascii="Times New Roman" w:cs="Times New Roman"/>
                      <w:color w:val="auto"/>
                      <w:sz w:val="21"/>
                      <w:szCs w:val="21"/>
                      <w:lang w:val="en-US" w:eastAsia="zh-CN"/>
                    </w:rPr>
                    <w:t>废水、</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，项目废水不外排</w:t>
                  </w:r>
                  <w:r>
                    <w:rPr>
                      <w:rFonts w:hint="default" w:ascii="Times New Roman" w:hAnsi="Times New Roman" w:eastAsia="宋体" w:cs="Times New Roman"/>
                      <w:color w:val="auto"/>
                      <w:kern w:val="0"/>
                      <w:sz w:val="21"/>
                      <w:szCs w:val="21"/>
                    </w:rPr>
                    <w:t>。</w:t>
                  </w:r>
                </w:p>
                <w:p w14:paraId="41E27D2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③项目运营期固废处置率为100%，项目采取分区防渗，危废间进行重点防渗，循环水池进行一般防渗，生产厂房进行简单防渗。可有效防止污染物下渗对土壤造成污染。</w:t>
                  </w:r>
                </w:p>
                <w:p w14:paraId="7A972B1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综上，项目建设不会降低区域环境质量底线。</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673EA5C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4E48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92" w:type="pct"/>
                  <w:gridSpan w:val="2"/>
                  <w:tcBorders>
                    <w:top w:val="single" w:color="auto" w:sz="4" w:space="0"/>
                    <w:left w:val="single" w:color="auto" w:sz="4" w:space="0"/>
                    <w:right w:val="single" w:color="auto" w:sz="4" w:space="0"/>
                  </w:tcBorders>
                  <w:noWrap w:val="0"/>
                  <w:vAlign w:val="center"/>
                </w:tcPr>
                <w:p w14:paraId="56D9B37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资源利用</w:t>
                  </w:r>
                  <w:r>
                    <w:rPr>
                      <w:rFonts w:hint="eastAsia" w:ascii="Times New Roman" w:cs="Times New Roman"/>
                      <w:color w:val="auto"/>
                      <w:sz w:val="21"/>
                      <w:szCs w:val="21"/>
                      <w:lang w:val="en-US" w:eastAsia="zh-CN"/>
                    </w:rPr>
                    <w:t>上限</w:t>
                  </w:r>
                </w:p>
              </w:tc>
              <w:tc>
                <w:tcPr>
                  <w:tcW w:w="2079" w:type="pct"/>
                  <w:gridSpan w:val="2"/>
                  <w:tcBorders>
                    <w:top w:val="single" w:color="auto" w:sz="4" w:space="0"/>
                    <w:left w:val="single" w:color="auto" w:sz="4" w:space="0"/>
                    <w:right w:val="single" w:color="auto" w:sz="4" w:space="0"/>
                  </w:tcBorders>
                  <w:noWrap w:val="0"/>
                  <w:vAlign w:val="center"/>
                </w:tcPr>
                <w:p w14:paraId="7C7B9C4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到2025年，按照国家、省、市有关要求和规划，按时完成全市用水总量、用水效率、限制纳污“三条红线”水资源上限控制指标；按时完成耕地保有量、基本农田保护面积、建设用地总规模等土地资源利用上限控制指标；按时完成单位GDP能耗下降率、能源消费总量等能源控制指标；矿产资源开采与保护达到预期目标；河湖岸线资源管控达到相关要求。</w:t>
                  </w:r>
                </w:p>
              </w:tc>
              <w:tc>
                <w:tcPr>
                  <w:tcW w:w="1928" w:type="pct"/>
                  <w:tcBorders>
                    <w:top w:val="single" w:color="auto" w:sz="4" w:space="0"/>
                    <w:left w:val="single" w:color="auto" w:sz="4" w:space="0"/>
                    <w:right w:val="single" w:color="auto" w:sz="4" w:space="0"/>
                  </w:tcBorders>
                  <w:noWrap w:val="0"/>
                  <w:vAlign w:val="center"/>
                </w:tcPr>
                <w:p w14:paraId="6AD841C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根据工程分析，</w:t>
                  </w:r>
                  <w:r>
                    <w:rPr>
                      <w:rFonts w:hint="default" w:ascii="Times New Roman" w:hAnsi="Times New Roman" w:eastAsia="宋体" w:cs="Times New Roman"/>
                      <w:color w:val="auto"/>
                      <w:sz w:val="21"/>
                      <w:szCs w:val="21"/>
                      <w:lang w:val="en-US" w:eastAsia="zh-CN"/>
                    </w:rPr>
                    <w:t>项目</w:t>
                  </w:r>
                  <w:r>
                    <w:rPr>
                      <w:rFonts w:hint="eastAsia" w:ascii="Times New Roman" w:cs="Times New Roman"/>
                      <w:color w:val="auto"/>
                      <w:sz w:val="21"/>
                      <w:szCs w:val="21"/>
                      <w:lang w:val="en-US" w:eastAsia="zh-CN"/>
                    </w:rPr>
                    <w:t>间接冷却循环年用水量</w:t>
                  </w:r>
                  <w:r>
                    <w:rPr>
                      <w:rFonts w:hint="default" w:ascii="Times New Roman" w:hAnsi="Times New Roman" w:cs="Times New Roman"/>
                      <w:color w:val="auto"/>
                      <w:sz w:val="21"/>
                      <w:szCs w:val="21"/>
                      <w:lang w:val="en-US" w:eastAsia="zh-CN"/>
                    </w:rPr>
                    <w:t>为</w:t>
                  </w:r>
                  <w:r>
                    <w:rPr>
                      <w:rFonts w:hint="default" w:ascii="Times New Roman" w:hAnsi="Times New Roman" w:cs="Times New Roman"/>
                      <w:color w:val="auto"/>
                      <w:kern w:val="0"/>
                      <w:sz w:val="21"/>
                      <w:szCs w:val="21"/>
                      <w:lang w:val="en-US" w:eastAsia="zh-CN" w:bidi="ar"/>
                    </w:rPr>
                    <w:t>1967.5</w:t>
                  </w:r>
                  <w:r>
                    <w:rPr>
                      <w:rFonts w:hint="default" w:ascii="Times New Roman" w:hAnsi="Times New Roman" w:cs="Times New Roman"/>
                      <w:color w:val="auto"/>
                      <w:sz w:val="21"/>
                      <w:szCs w:val="21"/>
                      <w:lang w:val="en-US" w:eastAsia="zh-CN"/>
                    </w:rPr>
                    <w:t>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用水量较小。项目能源消耗主要为电能，属于清洁能源，且年用量较小</w:t>
                  </w:r>
                  <w:r>
                    <w:rPr>
                      <w:rFonts w:hint="eastAsia" w:ascii="Times New Roman" w:cs="Times New Roman"/>
                      <w:color w:val="auto"/>
                      <w:sz w:val="21"/>
                      <w:szCs w:val="21"/>
                      <w:lang w:val="en-US" w:eastAsia="zh-CN"/>
                    </w:rPr>
                    <w:t>，项目年用电量为120</w:t>
                  </w:r>
                  <w:r>
                    <w:rPr>
                      <w:rFonts w:hint="default" w:ascii="Times New Roman" w:hAnsi="Times New Roman" w:eastAsia="宋体" w:cs="Times New Roman"/>
                      <w:color w:val="auto"/>
                      <w:sz w:val="21"/>
                      <w:szCs w:val="21"/>
                      <w:highlight w:val="none"/>
                    </w:rPr>
                    <w:t>万kW.h</w:t>
                  </w:r>
                  <w:r>
                    <w:rPr>
                      <w:rFonts w:hint="default" w:ascii="Times New Roman" w:hAnsi="Times New Roman" w:eastAsia="宋体" w:cs="Times New Roman"/>
                      <w:color w:val="auto"/>
                      <w:sz w:val="21"/>
                      <w:szCs w:val="21"/>
                      <w:lang w:val="en-US" w:eastAsia="zh-CN"/>
                    </w:rPr>
                    <w:t>。项目租用已建厂房进行建设，不新增土地占用，根据</w:t>
                  </w:r>
                  <w:r>
                    <w:rPr>
                      <w:rFonts w:hint="eastAsia" w:ascii="Times New Roman" w:cs="Times New Roman"/>
                      <w:color w:val="auto"/>
                      <w:sz w:val="21"/>
                      <w:szCs w:val="21"/>
                      <w:lang w:val="en-US" w:eastAsia="zh-CN"/>
                    </w:rPr>
                    <w:t>项目与寻甸特色产业园区金所片区土地利用规划叠图</w:t>
                  </w:r>
                  <w:r>
                    <w:rPr>
                      <w:rFonts w:hint="default" w:ascii="Times New Roman" w:hAnsi="Times New Roman" w:eastAsia="宋体" w:cs="Times New Roman"/>
                      <w:color w:val="auto"/>
                      <w:sz w:val="21"/>
                      <w:szCs w:val="21"/>
                      <w:lang w:val="en-US" w:eastAsia="zh-CN"/>
                    </w:rPr>
                    <w:t>，用地性质为二类工业用地。项目不涉及矿产资源开采，不占用河湖岸线资源。综上，项目建设不会突破区域资源利用上</w:t>
                  </w:r>
                  <w:r>
                    <w:rPr>
                      <w:rFonts w:hint="eastAsia" w:ascii="Times New Roman" w:cs="Times New Roman"/>
                      <w:color w:val="auto"/>
                      <w:sz w:val="21"/>
                      <w:szCs w:val="21"/>
                      <w:lang w:val="en-US" w:eastAsia="zh-CN"/>
                    </w:rPr>
                    <w:t>限</w:t>
                  </w:r>
                  <w:r>
                    <w:rPr>
                      <w:rFonts w:hint="default" w:ascii="Times New Roman" w:hAnsi="Times New Roman" w:eastAsia="宋体" w:cs="Times New Roman"/>
                      <w:color w:val="auto"/>
                      <w:sz w:val="21"/>
                      <w:szCs w:val="21"/>
                      <w:lang w:val="en-US" w:eastAsia="zh-CN"/>
                    </w:rPr>
                    <w:t>。</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34C36CA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FFF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0" w:type="pct"/>
                  <w:vMerge w:val="restart"/>
                  <w:tcBorders>
                    <w:top w:val="single" w:color="auto" w:sz="4" w:space="0"/>
                    <w:left w:val="single" w:color="auto" w:sz="4" w:space="0"/>
                    <w:right w:val="single" w:color="auto" w:sz="4" w:space="0"/>
                  </w:tcBorders>
                  <w:noWrap w:val="0"/>
                  <w:vAlign w:val="center"/>
                </w:tcPr>
                <w:p w14:paraId="5625FFA7">
                  <w:pPr>
                    <w:pStyle w:val="5"/>
                    <w:suppressLineNumbers w:val="0"/>
                    <w:spacing w:beforeAutospacing="0" w:afterAutospacing="0"/>
                    <w:ind w:left="0" w:right="0"/>
                    <w:jc w:val="center"/>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b/>
                      <w:i w:val="0"/>
                      <w:iCs w:val="0"/>
                      <w:color w:val="auto"/>
                      <w:sz w:val="21"/>
                      <w:szCs w:val="21"/>
                    </w:rPr>
                    <w:t>环境管控单元准入要求</w:t>
                  </w:r>
                </w:p>
              </w:tc>
              <w:tc>
                <w:tcPr>
                  <w:tcW w:w="231" w:type="pct"/>
                  <w:vMerge w:val="restart"/>
                  <w:tcBorders>
                    <w:top w:val="single" w:color="auto" w:sz="4" w:space="0"/>
                    <w:left w:val="single" w:color="auto" w:sz="4" w:space="0"/>
                    <w:right w:val="single" w:color="auto" w:sz="4" w:space="0"/>
                  </w:tcBorders>
                  <w:noWrap w:val="0"/>
                  <w:vAlign w:val="center"/>
                </w:tcPr>
                <w:p w14:paraId="42F1164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rPr>
                    <w:t>云南寻甸产业园区重点管控单元</w:t>
                  </w:r>
                </w:p>
              </w:tc>
              <w:tc>
                <w:tcPr>
                  <w:tcW w:w="239" w:type="pct"/>
                  <w:tcBorders>
                    <w:top w:val="single" w:color="auto" w:sz="4" w:space="0"/>
                    <w:left w:val="single" w:color="auto" w:sz="4" w:space="0"/>
                    <w:bottom w:val="single" w:color="auto" w:sz="4" w:space="0"/>
                    <w:right w:val="single" w:color="auto" w:sz="4" w:space="0"/>
                  </w:tcBorders>
                  <w:noWrap w:val="0"/>
                  <w:vAlign w:val="center"/>
                </w:tcPr>
                <w:p w14:paraId="6FC41A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lang w:val="en-US" w:eastAsia="zh-CN"/>
                    </w:rPr>
                    <w:t>空间布局约束</w:t>
                  </w:r>
                </w:p>
              </w:tc>
              <w:tc>
                <w:tcPr>
                  <w:tcW w:w="1840" w:type="pct"/>
                  <w:tcBorders>
                    <w:top w:val="single" w:color="auto" w:sz="4" w:space="0"/>
                    <w:left w:val="single" w:color="auto" w:sz="4" w:space="0"/>
                    <w:bottom w:val="single" w:color="auto" w:sz="4" w:space="0"/>
                    <w:right w:val="single" w:color="auto" w:sz="4" w:space="0"/>
                  </w:tcBorders>
                  <w:noWrap w:val="0"/>
                  <w:vAlign w:val="center"/>
                </w:tcPr>
                <w:p w14:paraId="09A1A1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rPr>
                    <w:t>1.入驻项目须符合国家及云南省相关产业政策、符合园区规划产业布局。</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2.严禁不符合要求的高风险高污染行业入驻。</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3.金所片区：禁止引入需水量大，生产废水不能实现循环回用不外排的企业。</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4.金所片区金所组团禁止新建、改建、扩建化工生产线项目。</w:t>
                  </w:r>
                </w:p>
              </w:tc>
              <w:tc>
                <w:tcPr>
                  <w:tcW w:w="1928" w:type="pct"/>
                  <w:tcBorders>
                    <w:top w:val="single" w:color="auto" w:sz="4" w:space="0"/>
                    <w:left w:val="single" w:color="auto" w:sz="4" w:space="0"/>
                    <w:bottom w:val="single" w:color="auto" w:sz="4" w:space="0"/>
                    <w:right w:val="single" w:color="auto" w:sz="4" w:space="0"/>
                  </w:tcBorders>
                  <w:noWrap w:val="0"/>
                  <w:vAlign w:val="center"/>
                </w:tcPr>
                <w:p w14:paraId="7AF2C2D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项目为塑料</w:t>
                  </w:r>
                  <w:r>
                    <w:rPr>
                      <w:rFonts w:hint="eastAsia" w:ascii="Times New Roman" w:cs="Times New Roman"/>
                      <w:color w:val="auto"/>
                      <w:sz w:val="21"/>
                      <w:szCs w:val="21"/>
                      <w:lang w:val="en-US" w:eastAsia="zh-CN"/>
                    </w:rPr>
                    <w:t>框</w:t>
                  </w:r>
                  <w:r>
                    <w:rPr>
                      <w:rFonts w:hint="default" w:ascii="Times New Roman" w:hAnsi="Times New Roman" w:eastAsia="宋体" w:cs="Times New Roman"/>
                      <w:color w:val="auto"/>
                      <w:sz w:val="21"/>
                      <w:szCs w:val="21"/>
                      <w:lang w:val="en-US" w:eastAsia="zh-CN"/>
                    </w:rPr>
                    <w:t>（塑料制品）生产项目，</w:t>
                  </w:r>
                  <w:r>
                    <w:rPr>
                      <w:rFonts w:hint="default" w:ascii="Times New Roman" w:hAnsi="Times New Roman" w:eastAsia="宋体" w:cs="Times New Roman"/>
                      <w:color w:val="auto"/>
                      <w:kern w:val="0"/>
                      <w:sz w:val="21"/>
                      <w:szCs w:val="21"/>
                      <w:highlight w:val="none"/>
                      <w:lang w:val="en-US" w:eastAsia="zh-CN" w:bidi="ar"/>
                    </w:rPr>
                    <w:t>项目选址</w:t>
                  </w:r>
                  <w:r>
                    <w:rPr>
                      <w:rFonts w:hint="eastAsia" w:cs="Times New Roman"/>
                      <w:color w:val="auto"/>
                      <w:kern w:val="0"/>
                      <w:sz w:val="21"/>
                      <w:szCs w:val="21"/>
                      <w:highlight w:val="none"/>
                      <w:lang w:val="en-US" w:eastAsia="zh-CN" w:bidi="ar"/>
                    </w:rPr>
                    <w:t>位于</w:t>
                  </w:r>
                  <w:r>
                    <w:rPr>
                      <w:rFonts w:hint="default" w:ascii="Times New Roman" w:hAnsi="Times New Roman" w:eastAsia="宋体" w:cs="Times New Roman"/>
                      <w:color w:val="auto"/>
                      <w:kern w:val="0"/>
                      <w:sz w:val="21"/>
                      <w:szCs w:val="21"/>
                      <w:highlight w:val="none"/>
                      <w:lang w:val="en-US" w:eastAsia="zh-CN" w:bidi="ar"/>
                    </w:rPr>
                    <w:t>寻甸特色产业园区金所片区，</w:t>
                  </w:r>
                  <w:r>
                    <w:rPr>
                      <w:rFonts w:hint="default" w:ascii="Times New Roman" w:hAnsi="Times New Roman" w:eastAsia="宋体" w:cs="Times New Roman"/>
                      <w:color w:val="auto"/>
                      <w:sz w:val="21"/>
                      <w:szCs w:val="21"/>
                      <w:lang w:val="en-US" w:eastAsia="zh-CN"/>
                    </w:rPr>
                    <w:t>符合国家及地方产业政策，属于园区允许发展产业；</w:t>
                  </w:r>
                </w:p>
                <w:p w14:paraId="63AC54C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项目为塑料筐（塑料制品）生产项目，不属于高风险、高污染行业；</w:t>
                  </w:r>
                </w:p>
                <w:p w14:paraId="595B090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本项目无生产工艺废水排放；</w:t>
                  </w:r>
                </w:p>
                <w:p w14:paraId="3D341F9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 xml:space="preserve">项目不属于化工类项目，不新建化工生产线。项目租用园区已建二类工业厂房，不在河道管理范围，不涉及林地。 </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206E3DD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81E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0" w:type="pct"/>
                  <w:vMerge w:val="continue"/>
                  <w:tcBorders>
                    <w:left w:val="single" w:color="auto" w:sz="4" w:space="0"/>
                    <w:right w:val="single" w:color="auto" w:sz="4" w:space="0"/>
                  </w:tcBorders>
                  <w:noWrap w:val="0"/>
                  <w:vAlign w:val="center"/>
                </w:tcPr>
                <w:p w14:paraId="11CD69A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p>
              </w:tc>
              <w:tc>
                <w:tcPr>
                  <w:tcW w:w="231" w:type="pct"/>
                  <w:vMerge w:val="continue"/>
                  <w:tcBorders>
                    <w:left w:val="single" w:color="auto" w:sz="4" w:space="0"/>
                    <w:right w:val="single" w:color="auto" w:sz="4" w:space="0"/>
                  </w:tcBorders>
                  <w:noWrap w:val="0"/>
                  <w:vAlign w:val="center"/>
                </w:tcPr>
                <w:p w14:paraId="2BD13E2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p>
              </w:tc>
              <w:tc>
                <w:tcPr>
                  <w:tcW w:w="239" w:type="pct"/>
                  <w:tcBorders>
                    <w:top w:val="single" w:color="auto" w:sz="4" w:space="0"/>
                    <w:left w:val="single" w:color="auto" w:sz="4" w:space="0"/>
                    <w:right w:val="single" w:color="auto" w:sz="4" w:space="0"/>
                  </w:tcBorders>
                  <w:noWrap w:val="0"/>
                  <w:vAlign w:val="center"/>
                </w:tcPr>
                <w:p w14:paraId="23D2964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lang w:val="en-US" w:eastAsia="zh-CN"/>
                    </w:rPr>
                    <w:t>污染物排放管控</w:t>
                  </w:r>
                </w:p>
              </w:tc>
              <w:tc>
                <w:tcPr>
                  <w:tcW w:w="1840" w:type="pct"/>
                  <w:tcBorders>
                    <w:top w:val="single" w:color="auto" w:sz="4" w:space="0"/>
                    <w:left w:val="single" w:color="auto" w:sz="4" w:space="0"/>
                    <w:bottom w:val="single" w:color="auto" w:sz="4" w:space="0"/>
                    <w:right w:val="single" w:color="auto" w:sz="4" w:space="0"/>
                  </w:tcBorders>
                  <w:noWrap w:val="0"/>
                  <w:vAlign w:val="center"/>
                </w:tcPr>
                <w:p w14:paraId="7DB7D9F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rPr>
                    <w:t>1.主要指标二氧化硫、氮氧化物、挥发性有机废气达到《环境空气质量标准》（GB3095—2012）二级标准。</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2.现状已发展成熟的煤磷盐化工企业及目前做到零排放的企业按现状方式排水；金所片区：未来</w:t>
                  </w:r>
                  <w:r>
                    <w:rPr>
                      <w:rFonts w:hint="eastAsia" w:ascii="Times New Roman" w:cs="Times New Roman"/>
                      <w:i w:val="0"/>
                      <w:iCs w:val="0"/>
                      <w:color w:val="auto"/>
                      <w:sz w:val="21"/>
                      <w:szCs w:val="21"/>
                      <w:lang w:eastAsia="zh-CN"/>
                    </w:rPr>
                    <w:t>入驻</w:t>
                  </w:r>
                  <w:r>
                    <w:rPr>
                      <w:rFonts w:hint="default" w:ascii="Times New Roman" w:hAnsi="Times New Roman" w:eastAsia="宋体" w:cs="Times New Roman"/>
                      <w:i w:val="0"/>
                      <w:iCs w:val="0"/>
                      <w:color w:val="auto"/>
                      <w:sz w:val="21"/>
                      <w:szCs w:val="21"/>
                    </w:rPr>
                    <w:t>企业生产废水由企业自行处理达标后循环回用不外排。</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3.入驻企业生活废水须自行预处理达到相关行业标准及《污水排入城镇下水道水质标准》（GB/T1962—2015）（A）等级后方可排入园区污水处理厂。</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4.生活垃圾无害化处理率达90%以上，工业固废处置利用率不小于95%。</w:t>
                  </w:r>
                </w:p>
              </w:tc>
              <w:tc>
                <w:tcPr>
                  <w:tcW w:w="1928" w:type="pct"/>
                  <w:tcBorders>
                    <w:top w:val="single" w:color="auto" w:sz="4" w:space="0"/>
                    <w:left w:val="single" w:color="auto" w:sz="4" w:space="0"/>
                    <w:bottom w:val="single" w:color="auto" w:sz="4" w:space="0"/>
                    <w:right w:val="single" w:color="auto" w:sz="4" w:space="0"/>
                  </w:tcBorders>
                  <w:noWrap w:val="0"/>
                  <w:vAlign w:val="center"/>
                </w:tcPr>
                <w:p w14:paraId="61E4B4E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项目废气主要为</w:t>
                  </w:r>
                  <w:r>
                    <w:rPr>
                      <w:rFonts w:hint="eastAsia" w:ascii="Times New Roman" w:cs="Times New Roman"/>
                      <w:color w:val="auto"/>
                      <w:sz w:val="21"/>
                      <w:szCs w:val="21"/>
                      <w:lang w:val="en-US" w:eastAsia="zh-CN"/>
                    </w:rPr>
                    <w:t>热熔、</w:t>
                  </w:r>
                  <w:r>
                    <w:rPr>
                      <w:rFonts w:hint="default" w:ascii="Times New Roman" w:hAnsi="Times New Roman" w:eastAsia="宋体" w:cs="Times New Roman"/>
                      <w:color w:val="auto"/>
                      <w:sz w:val="21"/>
                      <w:szCs w:val="21"/>
                      <w:lang w:val="en-US" w:eastAsia="zh-CN"/>
                    </w:rPr>
                    <w:t>注塑工序产生的非甲烷总烃（VOCs）</w:t>
                  </w:r>
                  <w:r>
                    <w:rPr>
                      <w:rFonts w:hint="eastAsia" w:ascii="Times New Roman" w:cs="Times New Roman"/>
                      <w:color w:val="auto"/>
                      <w:sz w:val="21"/>
                      <w:szCs w:val="21"/>
                      <w:lang w:val="en-US" w:eastAsia="zh-CN"/>
                    </w:rPr>
                    <w:t>及拌料、上料、不合格品破碎工序产生的颗粒物</w:t>
                  </w:r>
                  <w:r>
                    <w:rPr>
                      <w:rFonts w:hint="default" w:ascii="Times New Roman" w:hAnsi="Times New Roman" w:eastAsia="宋体" w:cs="Times New Roman"/>
                      <w:color w:val="auto"/>
                      <w:sz w:val="21"/>
                      <w:szCs w:val="21"/>
                      <w:lang w:val="en-US" w:eastAsia="zh-CN"/>
                    </w:rPr>
                    <w:t>，非甲烷总烃（VOCs）经集气收集+三级活性炭吸附处理后排放，</w:t>
                  </w:r>
                  <w:r>
                    <w:rPr>
                      <w:rFonts w:hint="eastAsia" w:ascii="Times New Roman" w:cs="Times New Roman"/>
                      <w:color w:val="auto"/>
                      <w:sz w:val="21"/>
                      <w:szCs w:val="21"/>
                      <w:lang w:val="en-US" w:eastAsia="zh-CN"/>
                    </w:rPr>
                    <w:t>颗粒物经厂房沉降及绿化消减后排放，</w:t>
                  </w:r>
                  <w:r>
                    <w:rPr>
                      <w:rFonts w:hint="default" w:ascii="Times New Roman" w:hAnsi="Times New Roman" w:eastAsia="宋体" w:cs="Times New Roman"/>
                      <w:color w:val="auto"/>
                      <w:sz w:val="21"/>
                      <w:szCs w:val="21"/>
                      <w:lang w:val="en-US" w:eastAsia="zh-CN"/>
                    </w:rPr>
                    <w:t>废气污染物可满足对应标准，满足环境空气二级标准要求；</w:t>
                  </w:r>
                </w:p>
                <w:p w14:paraId="7896423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项目</w:t>
                  </w:r>
                  <w:r>
                    <w:rPr>
                      <w:rFonts w:hint="eastAsia" w:ascii="Times New Roman" w:cs="Times New Roman"/>
                      <w:color w:val="auto"/>
                      <w:sz w:val="21"/>
                      <w:szCs w:val="21"/>
                      <w:lang w:val="en-US" w:eastAsia="zh-CN"/>
                    </w:rPr>
                    <w:t>间接</w:t>
                  </w:r>
                  <w:r>
                    <w:rPr>
                      <w:rFonts w:hint="default" w:ascii="Times New Roman" w:hAnsi="Times New Roman" w:eastAsia="宋体" w:cs="Times New Roman"/>
                      <w:color w:val="auto"/>
                      <w:sz w:val="21"/>
                      <w:szCs w:val="21"/>
                      <w:lang w:val="en-US" w:eastAsia="zh-CN"/>
                    </w:rPr>
                    <w:t>冷却循环</w:t>
                  </w:r>
                  <w:r>
                    <w:rPr>
                      <w:rFonts w:hint="eastAsia" w:ascii="Times New Roman" w:cs="Times New Roman"/>
                      <w:color w:val="auto"/>
                      <w:sz w:val="21"/>
                      <w:szCs w:val="21"/>
                      <w:lang w:val="en-US" w:eastAsia="zh-CN"/>
                    </w:rPr>
                    <w:t>废水、</w:t>
                  </w:r>
                  <w:r>
                    <w:rPr>
                      <w:rFonts w:hint="default" w:ascii="Times New Roman" w:hAnsi="Times New Roman" w:eastAsia="宋体" w:cs="Times New Roman"/>
                      <w:color w:val="auto"/>
                      <w:sz w:val="21"/>
                      <w:szCs w:val="21"/>
                      <w:lang w:val="en-US" w:eastAsia="zh-CN"/>
                    </w:rPr>
                    <w:t>生活污水</w:t>
                  </w:r>
                  <w:r>
                    <w:rPr>
                      <w:rFonts w:hint="eastAsia" w:ascii="Times New Roman"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eastAsia" w:ascii="Times New Roman" w:cs="Times New Roman"/>
                      <w:caps w:val="0"/>
                      <w:smallCaps w:val="0"/>
                      <w:color w:val="auto"/>
                      <w:kern w:val="2"/>
                      <w:sz w:val="21"/>
                      <w:szCs w:val="24"/>
                      <w:lang w:val="en-US" w:eastAsia="zh-CN" w:bidi="ar-SA"/>
                    </w:rPr>
                    <w:t>已建的</w:t>
                  </w:r>
                  <w:r>
                    <w:rPr>
                      <w:rFonts w:hint="default" w:ascii="Times New Roman" w:hAnsi="Times New Roman" w:eastAsia="宋体" w:cs="Times New Roman"/>
                      <w:color w:val="auto"/>
                      <w:sz w:val="21"/>
                      <w:szCs w:val="21"/>
                      <w:lang w:val="en-US" w:eastAsia="zh-CN"/>
                    </w:rPr>
                    <w:t>一体化污水处理设施处理；</w:t>
                  </w:r>
                </w:p>
                <w:p w14:paraId="59C7957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生活垃圾</w:t>
                  </w:r>
                  <w:r>
                    <w:rPr>
                      <w:rFonts w:hint="eastAsia" w:ascii="Times New Roman" w:cs="Times New Roman"/>
                      <w:color w:val="auto"/>
                      <w:sz w:val="21"/>
                      <w:szCs w:val="21"/>
                      <w:lang w:val="en-US" w:eastAsia="zh-CN"/>
                    </w:rPr>
                    <w:t>分类收集后</w:t>
                  </w:r>
                  <w:r>
                    <w:rPr>
                      <w:rFonts w:hint="default" w:ascii="Times New Roman" w:hAnsi="Times New Roman" w:eastAsia="宋体" w:cs="Times New Roman"/>
                      <w:color w:val="auto"/>
                      <w:sz w:val="21"/>
                      <w:szCs w:val="21"/>
                      <w:lang w:val="en-US" w:eastAsia="zh-CN"/>
                    </w:rPr>
                    <w:t>交由环卫部门</w:t>
                  </w:r>
                  <w:r>
                    <w:rPr>
                      <w:rFonts w:hint="eastAsia" w:ascii="Times New Roman" w:cs="Times New Roman"/>
                      <w:color w:val="auto"/>
                      <w:sz w:val="21"/>
                      <w:szCs w:val="21"/>
                      <w:lang w:val="en-US" w:eastAsia="zh-CN"/>
                    </w:rPr>
                    <w:t>清运</w:t>
                  </w:r>
                  <w:r>
                    <w:rPr>
                      <w:rFonts w:hint="default" w:ascii="Times New Roman" w:hAnsi="Times New Roman" w:eastAsia="宋体" w:cs="Times New Roman"/>
                      <w:color w:val="auto"/>
                      <w:sz w:val="21"/>
                      <w:szCs w:val="21"/>
                      <w:lang w:val="en-US" w:eastAsia="zh-CN"/>
                    </w:rPr>
                    <w:t>处置；</w:t>
                  </w:r>
                </w:p>
                <w:p w14:paraId="212C69E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4.生产</w:t>
                  </w:r>
                  <w:r>
                    <w:rPr>
                      <w:rFonts w:hint="default" w:ascii="Times New Roman" w:hAnsi="Times New Roman" w:eastAsia="宋体" w:cs="Times New Roman"/>
                      <w:color w:val="auto"/>
                      <w:sz w:val="21"/>
                      <w:szCs w:val="21"/>
                      <w:lang w:val="en-US" w:eastAsia="zh-CN"/>
                    </w:rPr>
                    <w:t>边角料</w:t>
                  </w:r>
                  <w:r>
                    <w:rPr>
                      <w:rFonts w:hint="eastAsia" w:ascii="Times New Roman" w:cs="Times New Roman"/>
                      <w:color w:val="auto"/>
                      <w:sz w:val="21"/>
                      <w:szCs w:val="21"/>
                      <w:lang w:val="en-US" w:eastAsia="zh-CN"/>
                    </w:rPr>
                    <w:t>及</w:t>
                  </w:r>
                  <w:r>
                    <w:rPr>
                      <w:rFonts w:hint="default" w:ascii="Times New Roman" w:hAnsi="Times New Roman" w:eastAsia="宋体" w:cs="Times New Roman"/>
                      <w:color w:val="auto"/>
                      <w:sz w:val="21"/>
                      <w:szCs w:val="21"/>
                      <w:lang w:val="en-US" w:eastAsia="zh-CN"/>
                    </w:rPr>
                    <w:t>不合格品</w:t>
                  </w:r>
                  <w:r>
                    <w:rPr>
                      <w:rFonts w:hint="eastAsia" w:ascii="Times New Roman" w:cs="Times New Roman"/>
                      <w:color w:val="auto"/>
                      <w:sz w:val="21"/>
                      <w:szCs w:val="21"/>
                      <w:lang w:val="en-US" w:eastAsia="zh-CN"/>
                    </w:rPr>
                    <w:t>在</w:t>
                  </w:r>
                  <w:r>
                    <w:rPr>
                      <w:rFonts w:hint="default" w:ascii="Times New Roman" w:hAnsi="Times New Roman" w:eastAsia="宋体" w:cs="Times New Roman"/>
                      <w:color w:val="auto"/>
                      <w:sz w:val="21"/>
                      <w:szCs w:val="21"/>
                      <w:lang w:val="en-US" w:eastAsia="zh-CN"/>
                    </w:rPr>
                    <w:t>厂内破碎回用，危险废物委托有资质单位处置，工业固废处置利用率</w:t>
                  </w:r>
                  <w:r>
                    <w:rPr>
                      <w:rFonts w:hint="eastAsia" w:ascii="Times New Roman" w:cs="Times New Roman"/>
                      <w:color w:val="auto"/>
                      <w:sz w:val="21"/>
                      <w:szCs w:val="21"/>
                      <w:lang w:val="en-US" w:eastAsia="zh-CN"/>
                    </w:rPr>
                    <w:t>为100</w:t>
                  </w:r>
                  <w:r>
                    <w:rPr>
                      <w:rFonts w:hint="default" w:ascii="Times New Roman" w:hAnsi="Times New Roman" w:eastAsia="宋体" w:cs="Times New Roman"/>
                      <w:color w:val="auto"/>
                      <w:sz w:val="21"/>
                      <w:szCs w:val="21"/>
                      <w:lang w:val="en-US" w:eastAsia="zh-CN"/>
                    </w:rPr>
                    <w:t>%。</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334752C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F37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0" w:type="pct"/>
                  <w:vMerge w:val="continue"/>
                  <w:tcBorders>
                    <w:left w:val="single" w:color="auto" w:sz="4" w:space="0"/>
                    <w:right w:val="single" w:color="auto" w:sz="4" w:space="0"/>
                  </w:tcBorders>
                  <w:noWrap w:val="0"/>
                  <w:vAlign w:val="center"/>
                </w:tcPr>
                <w:p w14:paraId="27C226E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p>
              </w:tc>
              <w:tc>
                <w:tcPr>
                  <w:tcW w:w="231" w:type="pct"/>
                  <w:vMerge w:val="continue"/>
                  <w:tcBorders>
                    <w:left w:val="single" w:color="auto" w:sz="4" w:space="0"/>
                    <w:right w:val="single" w:color="auto" w:sz="4" w:space="0"/>
                  </w:tcBorders>
                  <w:noWrap w:val="0"/>
                  <w:vAlign w:val="center"/>
                </w:tcPr>
                <w:p w14:paraId="464D84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p>
              </w:tc>
              <w:tc>
                <w:tcPr>
                  <w:tcW w:w="239" w:type="pct"/>
                  <w:tcBorders>
                    <w:top w:val="single" w:color="auto" w:sz="4" w:space="0"/>
                    <w:left w:val="single" w:color="auto" w:sz="4" w:space="0"/>
                    <w:bottom w:val="single" w:color="auto" w:sz="4" w:space="0"/>
                    <w:right w:val="single" w:color="auto" w:sz="4" w:space="0"/>
                  </w:tcBorders>
                  <w:noWrap w:val="0"/>
                  <w:vAlign w:val="center"/>
                </w:tcPr>
                <w:p w14:paraId="4EF8824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lang w:val="en-US" w:eastAsia="zh-CN"/>
                    </w:rPr>
                    <w:t>环境风险防控</w:t>
                  </w:r>
                </w:p>
              </w:tc>
              <w:tc>
                <w:tcPr>
                  <w:tcW w:w="1840" w:type="pct"/>
                  <w:tcBorders>
                    <w:top w:val="single" w:color="auto" w:sz="4" w:space="0"/>
                    <w:left w:val="single" w:color="auto" w:sz="4" w:space="0"/>
                    <w:bottom w:val="single" w:color="auto" w:sz="4" w:space="0"/>
                    <w:right w:val="single" w:color="auto" w:sz="4" w:space="0"/>
                  </w:tcBorders>
                  <w:noWrap w:val="0"/>
                  <w:vAlign w:val="center"/>
                </w:tcPr>
                <w:p w14:paraId="631C736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i w:val="0"/>
                      <w:iCs w:val="0"/>
                      <w:color w:val="auto"/>
                      <w:sz w:val="21"/>
                      <w:szCs w:val="21"/>
                      <w:lang w:val="en-US" w:eastAsia="zh-CN"/>
                    </w:rPr>
                  </w:pPr>
                  <w:r>
                    <w:rPr>
                      <w:rFonts w:hint="default" w:ascii="Times New Roman" w:hAnsi="Times New Roman" w:eastAsia="宋体" w:cs="Times New Roman"/>
                      <w:i w:val="0"/>
                      <w:iCs w:val="0"/>
                      <w:color w:val="auto"/>
                      <w:sz w:val="21"/>
                      <w:szCs w:val="21"/>
                    </w:rPr>
                    <w:t>1.组织编制环境风险应急预案，通过风险源的识别，制定不同风险源的应急处理处置方案，形成应对突发事故应急处理处置能力。</w:t>
                  </w:r>
                  <w:r>
                    <w:rPr>
                      <w:rFonts w:hint="default" w:ascii="Times New Roman" w:hAnsi="Times New Roman" w:eastAsia="宋体" w:cs="Times New Roman"/>
                      <w:i w:val="0"/>
                      <w:iCs w:val="0"/>
                      <w:color w:val="auto"/>
                      <w:sz w:val="21"/>
                      <w:szCs w:val="21"/>
                    </w:rPr>
                    <w:br w:type="textWrapping"/>
                  </w:r>
                  <w:r>
                    <w:rPr>
                      <w:rFonts w:hint="default" w:ascii="Times New Roman" w:hAnsi="Times New Roman" w:eastAsia="宋体" w:cs="Times New Roman"/>
                      <w:i w:val="0"/>
                      <w:iCs w:val="0"/>
                      <w:color w:val="auto"/>
                      <w:sz w:val="21"/>
                      <w:szCs w:val="21"/>
                    </w:rPr>
                    <w:t>2.建设风险事故废水排放管道及处置池。</w:t>
                  </w:r>
                </w:p>
              </w:tc>
              <w:tc>
                <w:tcPr>
                  <w:tcW w:w="1928" w:type="pct"/>
                  <w:tcBorders>
                    <w:top w:val="single" w:color="auto" w:sz="4" w:space="0"/>
                    <w:left w:val="single" w:color="auto" w:sz="4" w:space="0"/>
                    <w:bottom w:val="single" w:color="auto" w:sz="4" w:space="0"/>
                    <w:right w:val="single" w:color="auto" w:sz="4" w:space="0"/>
                  </w:tcBorders>
                  <w:noWrap w:val="0"/>
                  <w:vAlign w:val="center"/>
                </w:tcPr>
                <w:p w14:paraId="28F9531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项目不属于高污染、高环境风险产品生产项目；环评要求建设单位编制突发环境事件应急预案并完成备案；</w:t>
                  </w:r>
                </w:p>
                <w:p w14:paraId="5179F67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lang w:val="en-US" w:eastAsia="zh-CN"/>
                    </w:rPr>
                  </w:pPr>
                  <w:r>
                    <w:rPr>
                      <w:rFonts w:hint="eastAsia" w:asci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项目租用已建成厂房，</w:t>
                  </w:r>
                  <w:r>
                    <w:rPr>
                      <w:rFonts w:hint="eastAsia" w:ascii="Times New Roman" w:cs="Times New Roman"/>
                      <w:color w:val="auto"/>
                      <w:sz w:val="21"/>
                      <w:szCs w:val="21"/>
                      <w:highlight w:val="none"/>
                      <w:lang w:val="en-US" w:eastAsia="zh-CN"/>
                    </w:rPr>
                    <w:t>危废贮存库</w:t>
                  </w:r>
                  <w:r>
                    <w:rPr>
                      <w:rFonts w:hint="default" w:ascii="Times New Roman" w:hAnsi="Times New Roman" w:eastAsia="宋体" w:cs="Times New Roman"/>
                      <w:color w:val="auto"/>
                      <w:sz w:val="21"/>
                      <w:szCs w:val="21"/>
                      <w:highlight w:val="none"/>
                      <w:lang w:val="en-US" w:eastAsia="zh-CN"/>
                    </w:rPr>
                    <w:t>落实重点防渗，液态物料储存量小，一旦发生泄漏可控制于防渗区域内，及时收集处置</w:t>
                  </w:r>
                  <w:r>
                    <w:rPr>
                      <w:rFonts w:hint="eastAsia" w:ascii="Times New Roman" w:cs="Times New Roman"/>
                      <w:color w:val="auto"/>
                      <w:sz w:val="21"/>
                      <w:szCs w:val="21"/>
                      <w:highlight w:val="none"/>
                      <w:lang w:val="en-US" w:eastAsia="zh-CN"/>
                    </w:rPr>
                    <w:t>，本环评要求项目建设完成后企业应编制突发环境事件应急预案并报昆明市寻甸分局备案</w:t>
                  </w:r>
                  <w:r>
                    <w:rPr>
                      <w:rFonts w:hint="default" w:ascii="Times New Roman" w:hAnsi="Times New Roman" w:eastAsia="宋体" w:cs="Times New Roman"/>
                      <w:color w:val="auto"/>
                      <w:sz w:val="21"/>
                      <w:szCs w:val="21"/>
                      <w:highlight w:val="none"/>
                      <w:lang w:val="en-US" w:eastAsia="zh-CN"/>
                    </w:rPr>
                    <w:t>。</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3144E1D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A35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0" w:type="pct"/>
                  <w:vMerge w:val="continue"/>
                  <w:tcBorders>
                    <w:left w:val="single" w:color="auto" w:sz="4" w:space="0"/>
                    <w:bottom w:val="single" w:color="auto" w:sz="4" w:space="0"/>
                    <w:right w:val="single" w:color="auto" w:sz="4" w:space="0"/>
                  </w:tcBorders>
                  <w:noWrap w:val="0"/>
                  <w:vAlign w:val="center"/>
                </w:tcPr>
                <w:p w14:paraId="2620AC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p>
              </w:tc>
              <w:tc>
                <w:tcPr>
                  <w:tcW w:w="231" w:type="pct"/>
                  <w:vMerge w:val="continue"/>
                  <w:tcBorders>
                    <w:left w:val="single" w:color="auto" w:sz="4" w:space="0"/>
                    <w:bottom w:val="single" w:color="auto" w:sz="4" w:space="0"/>
                    <w:right w:val="single" w:color="auto" w:sz="4" w:space="0"/>
                  </w:tcBorders>
                  <w:noWrap w:val="0"/>
                  <w:vAlign w:val="center"/>
                </w:tcPr>
                <w:p w14:paraId="682BA42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i w:val="0"/>
                      <w:iCs w:val="0"/>
                      <w:color w:val="auto"/>
                      <w:sz w:val="21"/>
                      <w:szCs w:val="21"/>
                      <w:lang w:val="en-US" w:eastAsia="zh-CN"/>
                    </w:rPr>
                  </w:pPr>
                </w:p>
              </w:tc>
              <w:tc>
                <w:tcPr>
                  <w:tcW w:w="239" w:type="pct"/>
                  <w:tcBorders>
                    <w:top w:val="single" w:color="auto" w:sz="4" w:space="0"/>
                    <w:left w:val="single" w:color="auto" w:sz="4" w:space="0"/>
                    <w:right w:val="single" w:color="auto" w:sz="4" w:space="0"/>
                  </w:tcBorders>
                  <w:noWrap w:val="0"/>
                  <w:vAlign w:val="center"/>
                </w:tcPr>
                <w:p w14:paraId="24FE01B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b w:val="0"/>
                      <w:bCs/>
                      <w:i w:val="0"/>
                      <w:iCs w:val="0"/>
                      <w:color w:val="auto"/>
                      <w:sz w:val="21"/>
                      <w:szCs w:val="21"/>
                      <w:lang w:val="en-US" w:eastAsia="zh-CN"/>
                    </w:rPr>
                  </w:pPr>
                  <w:r>
                    <w:rPr>
                      <w:rFonts w:hint="default" w:ascii="Times New Roman" w:hAnsi="Times New Roman" w:eastAsia="宋体" w:cs="Times New Roman"/>
                      <w:b w:val="0"/>
                      <w:bCs/>
                      <w:i w:val="0"/>
                      <w:iCs w:val="0"/>
                      <w:color w:val="auto"/>
                      <w:sz w:val="21"/>
                      <w:szCs w:val="21"/>
                    </w:rPr>
                    <w:t>资源开发效率要求</w:t>
                  </w:r>
                </w:p>
              </w:tc>
              <w:tc>
                <w:tcPr>
                  <w:tcW w:w="1840" w:type="pct"/>
                  <w:tcBorders>
                    <w:top w:val="single" w:color="auto" w:sz="4" w:space="0"/>
                    <w:left w:val="single" w:color="auto" w:sz="4" w:space="0"/>
                    <w:bottom w:val="single" w:color="auto" w:sz="4" w:space="0"/>
                    <w:right w:val="single" w:color="auto" w:sz="4" w:space="0"/>
                  </w:tcBorders>
                  <w:noWrap w:val="0"/>
                  <w:vAlign w:val="center"/>
                </w:tcPr>
                <w:p w14:paraId="3D4AA65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b w:val="0"/>
                      <w:bCs/>
                      <w:i w:val="0"/>
                      <w:iCs w:val="0"/>
                      <w:color w:val="auto"/>
                      <w:sz w:val="21"/>
                      <w:szCs w:val="21"/>
                    </w:rPr>
                  </w:pPr>
                  <w:r>
                    <w:rPr>
                      <w:rFonts w:hint="default" w:ascii="Times New Roman" w:hAnsi="Times New Roman" w:eastAsia="宋体" w:cs="Times New Roman"/>
                      <w:b w:val="0"/>
                      <w:bCs/>
                      <w:i w:val="0"/>
                      <w:iCs w:val="0"/>
                      <w:color w:val="auto"/>
                      <w:sz w:val="21"/>
                      <w:szCs w:val="21"/>
                    </w:rPr>
                    <w:t>1.清洁生产水平不低于国家清洁生产标准规定的国内先进水平。</w:t>
                  </w:r>
                  <w:r>
                    <w:rPr>
                      <w:rFonts w:hint="default" w:ascii="Times New Roman" w:hAnsi="Times New Roman" w:eastAsia="宋体" w:cs="Times New Roman"/>
                      <w:b w:val="0"/>
                      <w:bCs/>
                      <w:i w:val="0"/>
                      <w:iCs w:val="0"/>
                      <w:color w:val="auto"/>
                      <w:sz w:val="21"/>
                      <w:szCs w:val="21"/>
                    </w:rPr>
                    <w:br w:type="textWrapping"/>
                  </w:r>
                  <w:r>
                    <w:rPr>
                      <w:rFonts w:hint="default" w:ascii="Times New Roman" w:hAnsi="Times New Roman" w:eastAsia="宋体" w:cs="Times New Roman"/>
                      <w:b w:val="0"/>
                      <w:bCs/>
                      <w:i w:val="0"/>
                      <w:iCs w:val="0"/>
                      <w:color w:val="auto"/>
                      <w:sz w:val="21"/>
                      <w:szCs w:val="21"/>
                    </w:rPr>
                    <w:t>2.金所片区：工业固废综合利用率≥70%，再生水回用率100%，单位工业增加值综合耗能≤0.5吨标煤/万元。</w:t>
                  </w:r>
                </w:p>
              </w:tc>
              <w:tc>
                <w:tcPr>
                  <w:tcW w:w="1928" w:type="pct"/>
                  <w:tcBorders>
                    <w:top w:val="single" w:color="auto" w:sz="4" w:space="0"/>
                    <w:left w:val="single" w:color="auto" w:sz="4" w:space="0"/>
                    <w:bottom w:val="single" w:color="auto" w:sz="4" w:space="0"/>
                    <w:right w:val="single" w:color="auto" w:sz="4" w:space="0"/>
                  </w:tcBorders>
                  <w:noWrap w:val="0"/>
                  <w:vAlign w:val="center"/>
                </w:tcPr>
                <w:p w14:paraId="40D13420">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1.</w:t>
                  </w:r>
                  <w:r>
                    <w:rPr>
                      <w:rFonts w:hint="default" w:ascii="Times New Roman" w:hAnsi="Times New Roman" w:eastAsia="宋体" w:cs="Times New Roman"/>
                      <w:color w:val="auto"/>
                      <w:kern w:val="0"/>
                      <w:sz w:val="21"/>
                      <w:szCs w:val="21"/>
                      <w:lang w:val="en-US" w:eastAsia="zh-CN"/>
                    </w:rPr>
                    <w:t>项目选用低能耗注塑设备，原料为塑料颗粒，生产工艺成熟，清洁生产可</w:t>
                  </w:r>
                  <w:r>
                    <w:rPr>
                      <w:rFonts w:hint="eastAsia" w:cs="Times New Roman"/>
                      <w:color w:val="auto"/>
                      <w:kern w:val="0"/>
                      <w:sz w:val="21"/>
                      <w:szCs w:val="21"/>
                      <w:lang w:val="en-US" w:eastAsia="zh-CN"/>
                    </w:rPr>
                    <w:t>达到</w:t>
                  </w:r>
                  <w:r>
                    <w:rPr>
                      <w:rFonts w:hint="default" w:ascii="Times New Roman" w:hAnsi="Times New Roman" w:eastAsia="宋体" w:cs="Times New Roman"/>
                      <w:color w:val="auto"/>
                      <w:kern w:val="0"/>
                      <w:sz w:val="21"/>
                      <w:szCs w:val="21"/>
                      <w:lang w:val="en-US" w:eastAsia="zh-CN"/>
                    </w:rPr>
                    <w:t>国内先进水平；</w:t>
                  </w:r>
                </w:p>
                <w:p w14:paraId="476D33C3">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lang w:val="en-US" w:eastAsia="zh-CN"/>
                    </w:rPr>
                    <w:t>2.</w:t>
                  </w:r>
                  <w:r>
                    <w:rPr>
                      <w:rFonts w:hint="default" w:ascii="Times New Roman" w:hAnsi="Times New Roman" w:eastAsia="宋体" w:cs="Times New Roman"/>
                      <w:color w:val="auto"/>
                      <w:kern w:val="0"/>
                      <w:sz w:val="21"/>
                      <w:szCs w:val="21"/>
                      <w:lang w:val="en-US" w:eastAsia="zh-CN"/>
                    </w:rPr>
                    <w:t>项目</w:t>
                  </w:r>
                  <w:r>
                    <w:rPr>
                      <w:rFonts w:hint="eastAsia" w:cs="Times New Roman"/>
                      <w:color w:val="auto"/>
                      <w:kern w:val="0"/>
                      <w:sz w:val="21"/>
                      <w:szCs w:val="21"/>
                      <w:lang w:val="en-US" w:eastAsia="zh-CN"/>
                    </w:rPr>
                    <w:t>生产</w:t>
                  </w:r>
                  <w:r>
                    <w:rPr>
                      <w:rFonts w:hint="default" w:ascii="Times New Roman" w:hAnsi="Times New Roman" w:eastAsia="宋体" w:cs="Times New Roman"/>
                      <w:color w:val="auto"/>
                      <w:kern w:val="0"/>
                      <w:sz w:val="21"/>
                      <w:szCs w:val="21"/>
                      <w:lang w:val="en-US" w:eastAsia="zh-CN"/>
                    </w:rPr>
                    <w:t>边角料</w:t>
                  </w:r>
                  <w:r>
                    <w:rPr>
                      <w:rFonts w:hint="eastAsia" w:cs="Times New Roman"/>
                      <w:color w:val="auto"/>
                      <w:kern w:val="0"/>
                      <w:sz w:val="21"/>
                      <w:szCs w:val="21"/>
                      <w:lang w:val="en-US" w:eastAsia="zh-CN"/>
                    </w:rPr>
                    <w:t>及不合格品</w:t>
                  </w:r>
                  <w:r>
                    <w:rPr>
                      <w:rFonts w:hint="default" w:ascii="Times New Roman" w:hAnsi="Times New Roman" w:eastAsia="宋体" w:cs="Times New Roman"/>
                      <w:color w:val="auto"/>
                      <w:kern w:val="0"/>
                      <w:sz w:val="21"/>
                      <w:szCs w:val="21"/>
                      <w:lang w:val="en-US" w:eastAsia="zh-CN"/>
                    </w:rPr>
                    <w:t>破碎后全部回用于生产，工业固废综合利用率</w:t>
                  </w:r>
                  <w:r>
                    <w:rPr>
                      <w:rFonts w:hint="eastAsia" w:cs="Times New Roman"/>
                      <w:color w:val="auto"/>
                      <w:kern w:val="0"/>
                      <w:sz w:val="21"/>
                      <w:szCs w:val="21"/>
                      <w:lang w:val="en-US" w:eastAsia="zh-CN"/>
                    </w:rPr>
                    <w:t>100</w:t>
                  </w:r>
                  <w:r>
                    <w:rPr>
                      <w:rFonts w:hint="default" w:ascii="Times New Roman" w:hAnsi="Times New Roman" w:eastAsia="宋体" w:cs="Times New Roman"/>
                      <w:color w:val="auto"/>
                      <w:kern w:val="0"/>
                      <w:sz w:val="21"/>
                      <w:szCs w:val="21"/>
                      <w:lang w:val="en-US" w:eastAsia="zh-CN"/>
                    </w:rPr>
                    <w:t>%；项目</w:t>
                  </w:r>
                  <w:r>
                    <w:rPr>
                      <w:rFonts w:hint="eastAsia" w:cs="Times New Roman"/>
                      <w:color w:val="auto"/>
                      <w:kern w:val="0"/>
                      <w:sz w:val="21"/>
                      <w:szCs w:val="21"/>
                      <w:lang w:val="en-US" w:eastAsia="zh-CN"/>
                    </w:rPr>
                    <w:t>间接</w:t>
                  </w:r>
                  <w:r>
                    <w:rPr>
                      <w:rFonts w:hint="default" w:ascii="Times New Roman" w:hAnsi="Times New Roman" w:eastAsia="宋体" w:cs="Times New Roman"/>
                      <w:color w:val="auto"/>
                      <w:kern w:val="0"/>
                      <w:sz w:val="21"/>
                      <w:szCs w:val="21"/>
                      <w:lang w:val="en-US" w:eastAsia="zh-CN"/>
                    </w:rPr>
                    <w:t>冷却水循环回用；</w:t>
                  </w:r>
                  <w:r>
                    <w:rPr>
                      <w:rFonts w:hint="eastAsia" w:cs="Times New Roman"/>
                      <w:color w:val="auto"/>
                      <w:kern w:val="0"/>
                      <w:sz w:val="21"/>
                      <w:szCs w:val="21"/>
                      <w:lang w:val="en-US" w:eastAsia="zh-CN"/>
                    </w:rPr>
                    <w:t>项目</w:t>
                  </w:r>
                  <w:r>
                    <w:rPr>
                      <w:rFonts w:hint="default" w:ascii="Times New Roman" w:hAnsi="Times New Roman" w:eastAsia="宋体" w:cs="Times New Roman"/>
                      <w:color w:val="auto"/>
                      <w:kern w:val="0"/>
                      <w:sz w:val="21"/>
                      <w:szCs w:val="21"/>
                      <w:highlight w:val="none"/>
                      <w:lang w:val="en-US" w:eastAsia="zh-CN"/>
                    </w:rPr>
                    <w:t>年用电量：120万 kW·h</w:t>
                  </w: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综合能耗（当量值0.1229 kgce/kW·h）：1200000 × 0.1229 ÷ 1000 = 147.48 tce/a</w:t>
                  </w:r>
                  <w:r>
                    <w:rPr>
                      <w:rFonts w:hint="eastAsia" w:cs="Times New Roman"/>
                      <w:color w:val="auto"/>
                      <w:kern w:val="0"/>
                      <w:sz w:val="21"/>
                      <w:szCs w:val="21"/>
                      <w:highlight w:val="none"/>
                      <w:lang w:val="en-US" w:eastAsia="zh-CN"/>
                    </w:rPr>
                    <w:t>，根据建设单位可知，项目建成后，</w:t>
                  </w:r>
                  <w:r>
                    <w:rPr>
                      <w:rFonts w:hint="default" w:ascii="Times New Roman" w:hAnsi="Times New Roman" w:eastAsia="宋体" w:cs="Times New Roman"/>
                      <w:color w:val="auto"/>
                      <w:kern w:val="0"/>
                      <w:sz w:val="21"/>
                      <w:szCs w:val="21"/>
                      <w:highlight w:val="none"/>
                      <w:lang w:val="en-US" w:eastAsia="zh-CN"/>
                    </w:rPr>
                    <w:t>年均营业收入2300万元</w:t>
                  </w:r>
                </w:p>
                <w:p w14:paraId="02B21B58">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塑料制品行业增加值率取30%</w:t>
                  </w:r>
                </w:p>
                <w:p w14:paraId="28ADF0EB">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highlight w:val="none"/>
                      <w:lang w:val="en-US" w:eastAsia="zh-CN"/>
                    </w:rPr>
                    <w:t>，则</w:t>
                  </w:r>
                  <w:r>
                    <w:rPr>
                      <w:rFonts w:hint="default" w:ascii="Times New Roman" w:hAnsi="Times New Roman" w:eastAsia="宋体" w:cs="Times New Roman"/>
                      <w:color w:val="auto"/>
                      <w:kern w:val="0"/>
                      <w:sz w:val="21"/>
                      <w:szCs w:val="21"/>
                      <w:highlight w:val="none"/>
                      <w:lang w:val="en-US" w:eastAsia="zh-CN"/>
                    </w:rPr>
                    <w:t>年工业增加值 = 2300 × 30% = 690 万元</w:t>
                  </w:r>
                  <w:r>
                    <w:rPr>
                      <w:rFonts w:hint="eastAsia" w:cs="Times New Roman"/>
                      <w:color w:val="auto"/>
                      <w:kern w:val="0"/>
                      <w:sz w:val="21"/>
                      <w:szCs w:val="21"/>
                      <w:highlight w:val="none"/>
                      <w:lang w:val="en-US" w:eastAsia="zh-CN"/>
                    </w:rPr>
                    <w:t>），则</w:t>
                  </w:r>
                  <w:r>
                    <w:rPr>
                      <w:rFonts w:hint="default" w:ascii="Times New Roman" w:hAnsi="Times New Roman" w:eastAsia="宋体" w:cs="Times New Roman"/>
                      <w:color w:val="auto"/>
                      <w:kern w:val="0"/>
                      <w:sz w:val="21"/>
                      <w:szCs w:val="21"/>
                      <w:highlight w:val="none"/>
                      <w:lang w:val="en-US" w:eastAsia="zh-CN"/>
                    </w:rPr>
                    <w:t>单位工业增加值综合能耗= 147.48 ÷ 690 = 0.214 t标煤/万元，</w:t>
                  </w:r>
                  <w:r>
                    <w:rPr>
                      <w:rFonts w:hint="default" w:ascii="Times New Roman" w:hAnsi="Times New Roman" w:eastAsia="宋体" w:cs="Times New Roman"/>
                      <w:color w:val="auto"/>
                      <w:kern w:val="0"/>
                      <w:sz w:val="21"/>
                      <w:szCs w:val="21"/>
                      <w:lang w:val="en-US" w:eastAsia="zh-CN"/>
                    </w:rPr>
                    <w:t>单位工业增加值综合能耗满足≤0.5吨标煤/万元的管控要求。</w:t>
                  </w:r>
                </w:p>
              </w:tc>
              <w:tc>
                <w:tcPr>
                  <w:tcW w:w="499" w:type="pct"/>
                  <w:tcBorders>
                    <w:top w:val="single" w:color="auto" w:sz="4" w:space="0"/>
                    <w:left w:val="single" w:color="auto" w:sz="4" w:space="0"/>
                    <w:bottom w:val="single" w:color="auto" w:sz="4" w:space="0"/>
                    <w:right w:val="single" w:color="auto" w:sz="4" w:space="0"/>
                  </w:tcBorders>
                  <w:noWrap w:val="0"/>
                  <w:vAlign w:val="center"/>
                </w:tcPr>
                <w:p w14:paraId="76D4E5E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符合</w:t>
                  </w:r>
                </w:p>
              </w:tc>
            </w:tr>
          </w:tbl>
          <w:p w14:paraId="1703338D">
            <w:pPr>
              <w:pStyle w:val="59"/>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由上表可知，本项目建设符合《昆明市生态环境分区管控动态更新方案（2023年）》中相关要求</w:t>
            </w:r>
            <w:r>
              <w:rPr>
                <w:rFonts w:hint="default" w:ascii="Times New Roman" w:hAnsi="Times New Roman" w:eastAsia="宋体" w:cs="Times New Roman"/>
                <w:color w:val="auto"/>
                <w:lang w:val="en-US" w:eastAsia="zh-CN"/>
              </w:rPr>
              <w:t>。</w:t>
            </w:r>
          </w:p>
          <w:p w14:paraId="4C197C67">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lang w:val="en-US" w:eastAsia="zh-CN"/>
              </w:rPr>
              <w:t>4</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项目与《云南省牛栏江保护条例》符合性分析</w:t>
            </w:r>
          </w:p>
          <w:p w14:paraId="63788AD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sz w:val="24"/>
                <w:szCs w:val="24"/>
              </w:rPr>
              <w:t>2012年9月28日云南省第十一届人民代表大会常务委员会第三十四次会议通过的《云南省牛栏江保护条例》，</w:t>
            </w:r>
            <w:r>
              <w:rPr>
                <w:rFonts w:hint="eastAsia" w:cs="Times New Roman"/>
                <w:color w:val="auto"/>
                <w:sz w:val="24"/>
                <w:szCs w:val="24"/>
                <w:lang w:eastAsia="zh-CN"/>
              </w:rPr>
              <w:t>条例</w:t>
            </w:r>
            <w:r>
              <w:rPr>
                <w:rFonts w:hint="default" w:ascii="Times New Roman" w:hAnsi="Times New Roman" w:eastAsia="宋体" w:cs="Times New Roman"/>
                <w:color w:val="auto"/>
                <w:sz w:val="24"/>
                <w:szCs w:val="24"/>
              </w:rPr>
              <w:t>第一章第五条内容规定：牛栏江流域上游保护区划分为水源保护核心区、重点污染控制区和重点水源涵养区。</w:t>
            </w:r>
          </w:p>
          <w:p w14:paraId="58DD44C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水源保护核心区包括德泽水库库区和德泽水库以上牛栏江干流区。德泽水库库区为德泽水库正常蓄水位1790米水面及沿岸外延2000米的范围，区域范围超过一级山脊线的，按照一级山脊线划定；德泽水库以上牛栏江干流区指德泽水库以上干流（包括干流源头矣纳岔口至嘉泽对龙河河段）水域及两岸外延1000米的范围，区域范围超过一级山脊线的，按照一级山脊线划定。</w:t>
            </w:r>
          </w:p>
          <w:p w14:paraId="2FF260C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二）重点污染控制区为水源保护核心区以外，流域范围内的坝区以及花庄河、果马河、普沙河、弥良河、对龙河、杨林河、匡郎河、前进河、马龙河水域及两岸外延3000米的区域，区域范围超过一级山脊线的，按照一级山脊线划定。</w:t>
            </w:r>
          </w:p>
          <w:p w14:paraId="4C86A2A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（三）重点水源涵养区为流域范围内除水源保护核心区、重点污染控制区以外的集水区域。</w:t>
            </w:r>
          </w:p>
          <w:p w14:paraId="5EC161B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szCs w:val="24"/>
              </w:rPr>
              <w:t>，根据牛栏江流域水源水环境保护分区可知，项目区属于重点水源涵养区。项目与《云南省牛栏江保护条例》禁止行为对比情况如下表所示。</w:t>
            </w:r>
          </w:p>
          <w:p w14:paraId="7C225658">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表1-</w:t>
            </w:r>
            <w:r>
              <w:rPr>
                <w:rFonts w:hint="eastAsia" w:cs="Times New Roman"/>
                <w:b/>
                <w:color w:val="auto"/>
                <w:sz w:val="21"/>
                <w:szCs w:val="21"/>
                <w:lang w:val="en-US" w:eastAsia="zh-CN"/>
              </w:rPr>
              <w:t>7</w:t>
            </w:r>
            <w:r>
              <w:rPr>
                <w:rFonts w:hint="default" w:ascii="Times New Roman" w:hAnsi="Times New Roman" w:eastAsia="宋体" w:cs="Times New Roman"/>
                <w:b/>
                <w:color w:val="auto"/>
                <w:sz w:val="21"/>
                <w:szCs w:val="21"/>
              </w:rPr>
              <w:t xml:space="preserve"> </w:t>
            </w:r>
            <w:r>
              <w:rPr>
                <w:rFonts w:hint="default" w:ascii="Times New Roman" w:hAnsi="Times New Roman" w:eastAsia="宋体" w:cs="Times New Roman"/>
                <w:b/>
                <w:color w:val="auto"/>
                <w:sz w:val="21"/>
                <w:szCs w:val="21"/>
                <w:lang w:val="en-US" w:eastAsia="zh-CN"/>
              </w:rPr>
              <w:t xml:space="preserve"> 项目</w:t>
            </w:r>
            <w:r>
              <w:rPr>
                <w:rFonts w:hint="default" w:ascii="Times New Roman" w:hAnsi="Times New Roman" w:eastAsia="宋体" w:cs="Times New Roman"/>
                <w:b/>
                <w:color w:val="auto"/>
                <w:sz w:val="21"/>
                <w:szCs w:val="21"/>
              </w:rPr>
              <w:t>与</w:t>
            </w:r>
            <w:r>
              <w:rPr>
                <w:rFonts w:hint="default" w:ascii="Times New Roman" w:hAnsi="Times New Roman" w:eastAsia="宋体" w:cs="Times New Roman"/>
                <w:b/>
                <w:bCs/>
                <w:color w:val="auto"/>
                <w:sz w:val="21"/>
                <w:szCs w:val="21"/>
              </w:rPr>
              <w:t>《云南省牛栏江保护条例》符合性</w:t>
            </w:r>
            <w:r>
              <w:rPr>
                <w:rFonts w:hint="default" w:ascii="Times New Roman" w:hAnsi="Times New Roman" w:eastAsia="宋体" w:cs="Times New Roman"/>
                <w:b/>
                <w:color w:val="auto"/>
                <w:sz w:val="21"/>
                <w:szCs w:val="21"/>
              </w:rPr>
              <w:t>分析</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2890"/>
              <w:gridCol w:w="3260"/>
              <w:gridCol w:w="815"/>
            </w:tblGrid>
            <w:tr w14:paraId="27FB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9" w:type="pct"/>
                  <w:noWrap w:val="0"/>
                  <w:vAlign w:val="center"/>
                </w:tcPr>
                <w:p w14:paraId="2F9FE06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保护区划分</w:t>
                  </w:r>
                </w:p>
              </w:tc>
              <w:tc>
                <w:tcPr>
                  <w:tcW w:w="1829" w:type="pct"/>
                  <w:noWrap w:val="0"/>
                  <w:vAlign w:val="center"/>
                </w:tcPr>
                <w:p w14:paraId="293283F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禁止行为</w:t>
                  </w:r>
                </w:p>
              </w:tc>
              <w:tc>
                <w:tcPr>
                  <w:tcW w:w="2063" w:type="pct"/>
                  <w:noWrap w:val="0"/>
                  <w:vAlign w:val="center"/>
                </w:tcPr>
                <w:p w14:paraId="714654F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建设内容</w:t>
                  </w:r>
                </w:p>
              </w:tc>
              <w:tc>
                <w:tcPr>
                  <w:tcW w:w="516" w:type="pct"/>
                  <w:noWrap w:val="0"/>
                  <w:vAlign w:val="center"/>
                </w:tcPr>
                <w:p w14:paraId="1CCD6533">
                  <w:pPr>
                    <w:pStyle w:val="22"/>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eastAsia"/>
                      <w:b/>
                      <w:bCs/>
                      <w:color w:val="auto"/>
                      <w:lang w:val="en-US" w:eastAsia="zh-CN"/>
                    </w:rPr>
                    <w:t>是否涉及</w:t>
                  </w:r>
                </w:p>
              </w:tc>
            </w:tr>
            <w:tr w14:paraId="6959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restart"/>
                  <w:noWrap w:val="0"/>
                  <w:vAlign w:val="center"/>
                </w:tcPr>
                <w:p w14:paraId="7916E2B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重点污染控制区</w:t>
                  </w:r>
                </w:p>
              </w:tc>
              <w:tc>
                <w:tcPr>
                  <w:tcW w:w="1829" w:type="pct"/>
                  <w:noWrap w:val="0"/>
                  <w:vAlign w:val="center"/>
                </w:tcPr>
                <w:p w14:paraId="77165B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（一）盗伐、滥伐林木和破坏草地；</w:t>
                  </w:r>
                </w:p>
              </w:tc>
              <w:tc>
                <w:tcPr>
                  <w:tcW w:w="2063" w:type="pct"/>
                  <w:noWrap w:val="0"/>
                  <w:vAlign w:val="center"/>
                </w:tcPr>
                <w:p w14:paraId="334804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项目位于</w:t>
                  </w:r>
                  <w:r>
                    <w:rPr>
                      <w:rFonts w:hint="default" w:ascii="Times New Roman" w:hAnsi="Times New Roman" w:eastAsia="宋体" w:cs="Times New Roman"/>
                      <w:color w:val="auto"/>
                      <w:kern w:val="0"/>
                      <w:sz w:val="21"/>
                      <w:szCs w:val="21"/>
                      <w:highlight w:val="none"/>
                    </w:rPr>
                    <w:t>云南省昆明市寻甸</w:t>
                  </w:r>
                  <w:r>
                    <w:rPr>
                      <w:rFonts w:hint="eastAsia" w:cs="Times New Roman"/>
                      <w:color w:val="auto"/>
                      <w:kern w:val="0"/>
                      <w:sz w:val="21"/>
                      <w:szCs w:val="21"/>
                      <w:highlight w:val="none"/>
                      <w:lang w:val="en-US" w:eastAsia="zh-CN"/>
                    </w:rPr>
                    <w:t>县</w:t>
                  </w:r>
                  <w:r>
                    <w:rPr>
                      <w:rFonts w:hint="default" w:ascii="Times New Roman" w:hAnsi="Times New Roman" w:eastAsia="宋体" w:cs="Times New Roman"/>
                      <w:color w:val="auto"/>
                      <w:kern w:val="0"/>
                      <w:sz w:val="21"/>
                      <w:szCs w:val="21"/>
                      <w:highlight w:val="none"/>
                    </w:rPr>
                    <w:t>金所街道办事处竹沟社区居委会魏所工业园区01号</w:t>
                  </w:r>
                  <w:r>
                    <w:rPr>
                      <w:rFonts w:hint="default" w:ascii="Times New Roman" w:hAnsi="Times New Roman" w:eastAsia="宋体" w:cs="Times New Roman"/>
                      <w:color w:val="auto"/>
                      <w:sz w:val="21"/>
                      <w:szCs w:val="21"/>
                      <w:lang w:val="en-US" w:eastAsia="zh-CN"/>
                    </w:rPr>
                    <w:t>，租用已建厂房进行建设，项目不涉及</w:t>
                  </w:r>
                  <w:r>
                    <w:rPr>
                      <w:rFonts w:hint="default" w:ascii="Times New Roman" w:hAnsi="Times New Roman" w:eastAsia="宋体" w:cs="Times New Roman"/>
                      <w:color w:val="auto"/>
                      <w:sz w:val="21"/>
                      <w:szCs w:val="21"/>
                    </w:rPr>
                    <w:t>盗伐、滥伐林木和破坏草地</w:t>
                  </w:r>
                  <w:r>
                    <w:rPr>
                      <w:rFonts w:hint="default" w:ascii="Times New Roman" w:hAnsi="Times New Roman" w:eastAsia="宋体" w:cs="Times New Roman"/>
                      <w:color w:val="auto"/>
                      <w:sz w:val="21"/>
                      <w:szCs w:val="21"/>
                      <w:lang w:val="en-US" w:eastAsia="zh-CN"/>
                    </w:rPr>
                    <w:t>等活动。</w:t>
                  </w:r>
                </w:p>
              </w:tc>
              <w:tc>
                <w:tcPr>
                  <w:tcW w:w="516" w:type="pct"/>
                  <w:noWrap w:val="0"/>
                  <w:vAlign w:val="center"/>
                </w:tcPr>
                <w:p w14:paraId="12C84E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4709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59E9AA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0FF697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（二）使用高毒、高残留农药；</w:t>
                  </w:r>
                </w:p>
              </w:tc>
              <w:tc>
                <w:tcPr>
                  <w:tcW w:w="2063" w:type="pct"/>
                  <w:noWrap w:val="0"/>
                  <w:vAlign w:val="center"/>
                </w:tcPr>
                <w:p w14:paraId="321C27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项目主要生产塑料框，属于塑料制品业，生产过程中不涉及</w:t>
                  </w:r>
                  <w:r>
                    <w:rPr>
                      <w:rFonts w:hint="default" w:ascii="Times New Roman" w:hAnsi="Times New Roman" w:eastAsia="宋体" w:cs="Times New Roman"/>
                      <w:color w:val="auto"/>
                      <w:sz w:val="21"/>
                      <w:szCs w:val="21"/>
                    </w:rPr>
                    <w:t>使用高毒、高残留农药。</w:t>
                  </w:r>
                </w:p>
              </w:tc>
              <w:tc>
                <w:tcPr>
                  <w:tcW w:w="516" w:type="pct"/>
                  <w:noWrap w:val="0"/>
                  <w:vAlign w:val="center"/>
                </w:tcPr>
                <w:p w14:paraId="731E59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3EE4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1B3A8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10932C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（三）利用溶洞、渗井、渗坑、裂隙排放、倾倒含有毒有害物质的废水、废渣；</w:t>
                  </w:r>
                </w:p>
              </w:tc>
              <w:tc>
                <w:tcPr>
                  <w:tcW w:w="2063" w:type="pct"/>
                  <w:vMerge w:val="restart"/>
                  <w:noWrap w:val="0"/>
                  <w:vAlign w:val="center"/>
                </w:tcPr>
                <w:p w14:paraId="71CFB6B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1、项目实行雨污分流，雨水经租用厂房已</w:t>
                  </w:r>
                  <w:r>
                    <w:rPr>
                      <w:rFonts w:hint="eastAsia" w:ascii="Times New Roman" w:cs="Times New Roman"/>
                      <w:color w:val="auto"/>
                      <w:kern w:val="0"/>
                      <w:sz w:val="21"/>
                      <w:szCs w:val="21"/>
                      <w:lang w:val="en-US" w:eastAsia="zh-CN" w:bidi="ar"/>
                    </w:rPr>
                    <w:t>完善</w:t>
                  </w:r>
                  <w:r>
                    <w:rPr>
                      <w:rFonts w:hint="default" w:ascii="Times New Roman" w:hAnsi="Times New Roman" w:eastAsia="宋体" w:cs="Times New Roman"/>
                      <w:color w:val="auto"/>
                      <w:kern w:val="0"/>
                      <w:sz w:val="21"/>
                      <w:szCs w:val="21"/>
                      <w:lang w:val="en-US" w:eastAsia="zh-CN" w:bidi="ar"/>
                    </w:rPr>
                    <w:t>的雨水收集系统收集后排入</w:t>
                  </w:r>
                  <w:r>
                    <w:rPr>
                      <w:rFonts w:hint="eastAsia" w:ascii="Times New Roman" w:cs="Times New Roman"/>
                      <w:color w:val="auto"/>
                      <w:kern w:val="0"/>
                      <w:sz w:val="21"/>
                      <w:szCs w:val="21"/>
                      <w:lang w:val="en-US" w:eastAsia="zh-CN" w:bidi="ar"/>
                    </w:rPr>
                    <w:t>市政雨水管网</w:t>
                  </w:r>
                  <w:r>
                    <w:rPr>
                      <w:rFonts w:hint="default" w:ascii="Times New Roman" w:hAnsi="Times New Roman" w:eastAsia="宋体" w:cs="Times New Roman"/>
                      <w:color w:val="auto"/>
                      <w:kern w:val="0"/>
                      <w:sz w:val="21"/>
                      <w:szCs w:val="21"/>
                      <w:lang w:val="en-US" w:eastAsia="zh-CN" w:bidi="ar"/>
                    </w:rPr>
                    <w:t>。项目生产过程中</w:t>
                  </w:r>
                  <w:r>
                    <w:rPr>
                      <w:rFonts w:hint="eastAsia" w:ascii="Times New Roman" w:cs="Times New Roman"/>
                      <w:color w:val="auto"/>
                      <w:kern w:val="0"/>
                      <w:sz w:val="21"/>
                      <w:szCs w:val="21"/>
                      <w:lang w:val="en-US" w:eastAsia="zh-CN" w:bidi="ar"/>
                    </w:rPr>
                    <w:t>间接</w:t>
                  </w:r>
                  <w:r>
                    <w:rPr>
                      <w:rFonts w:hint="default" w:ascii="Times New Roman" w:hAnsi="Times New Roman" w:eastAsia="宋体" w:cs="Times New Roman"/>
                      <w:color w:val="auto"/>
                      <w:kern w:val="0"/>
                      <w:sz w:val="21"/>
                      <w:szCs w:val="21"/>
                      <w:lang w:val="en-US" w:eastAsia="zh-CN" w:bidi="ar"/>
                    </w:rPr>
                    <w:t>冷却循环</w:t>
                  </w:r>
                  <w:r>
                    <w:rPr>
                      <w:rFonts w:hint="eastAsia" w:ascii="Times New Roman" w:cs="Times New Roman"/>
                      <w:color w:val="auto"/>
                      <w:kern w:val="0"/>
                      <w:sz w:val="21"/>
                      <w:szCs w:val="21"/>
                      <w:lang w:val="en-US" w:eastAsia="zh-CN" w:bidi="ar"/>
                    </w:rPr>
                    <w:t>废水、</w:t>
                  </w:r>
                  <w:r>
                    <w:rPr>
                      <w:rFonts w:hint="default" w:ascii="Times New Roman" w:hAnsi="Times New Roman" w:eastAsia="宋体" w:cs="Times New Roman"/>
                      <w:color w:val="auto"/>
                      <w:kern w:val="0"/>
                      <w:sz w:val="21"/>
                      <w:szCs w:val="21"/>
                      <w:lang w:val="en-US" w:eastAsia="zh-CN" w:bidi="ar"/>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已建污水处理系统（化粪池+</w:t>
                  </w:r>
                  <w:r>
                    <w:rPr>
                      <w:rFonts w:hint="default" w:ascii="Times New Roman" w:hAnsi="Times New Roman" w:eastAsia="宋体" w:cs="Times New Roman"/>
                      <w:color w:val="auto"/>
                      <w:kern w:val="0"/>
                      <w:sz w:val="20"/>
                      <w:szCs w:val="20"/>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0"/>
                      <w:szCs w:val="20"/>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0"/>
                      <w:szCs w:val="20"/>
                      <w:lang w:val="en-US" w:eastAsia="zh-CN" w:bidi="ar"/>
                    </w:rPr>
                    <w:t>绿化浇灌及道路洒水</w:t>
                  </w:r>
                  <w:r>
                    <w:rPr>
                      <w:rFonts w:hint="default" w:ascii="Times New Roman" w:hAnsi="Times New Roman" w:eastAsia="宋体" w:cs="Times New Roman"/>
                      <w:color w:val="auto"/>
                      <w:kern w:val="0"/>
                      <w:sz w:val="21"/>
                      <w:szCs w:val="21"/>
                      <w:lang w:val="en-US" w:eastAsia="zh-CN" w:bidi="ar"/>
                    </w:rPr>
                    <w:t>，项目废水不外排</w:t>
                  </w:r>
                  <w:r>
                    <w:rPr>
                      <w:rFonts w:hint="default" w:ascii="Times New Roman" w:hAnsi="Times New Roman" w:eastAsia="宋体" w:cs="Times New Roman"/>
                      <w:color w:val="auto"/>
                      <w:kern w:val="0"/>
                      <w:sz w:val="21"/>
                      <w:szCs w:val="21"/>
                    </w:rPr>
                    <w:t>。</w:t>
                  </w:r>
                </w:p>
                <w:p w14:paraId="7210C65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rPr>
                    <w:t>2、项目运营期固废处置率为100%，项目采取分区防渗，危废间进行重点防渗，循环水池进行一般防渗，生产车间等进行简单防渗。</w:t>
                  </w:r>
                </w:p>
              </w:tc>
              <w:tc>
                <w:tcPr>
                  <w:tcW w:w="516" w:type="pct"/>
                  <w:noWrap w:val="0"/>
                  <w:vAlign w:val="center"/>
                </w:tcPr>
                <w:p w14:paraId="432A36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0B50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24BFDF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2ED4B8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（四）向水体排放废水、倾倒工业废渣、城镇垃圾或者其他废弃物；</w:t>
                  </w:r>
                </w:p>
              </w:tc>
              <w:tc>
                <w:tcPr>
                  <w:tcW w:w="2063" w:type="pct"/>
                  <w:vMerge w:val="continue"/>
                  <w:noWrap w:val="0"/>
                  <w:vAlign w:val="center"/>
                </w:tcPr>
                <w:p w14:paraId="654A76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516" w:type="pct"/>
                  <w:noWrap w:val="0"/>
                  <w:vAlign w:val="center"/>
                </w:tcPr>
                <w:p w14:paraId="58C9A3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507C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4AC7D8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37226C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（五）在江河、渠道、水库最高水位线以下的滩地、岸坡堆放、存贮固体废弃物或者其他污染物；</w:t>
                  </w:r>
                </w:p>
              </w:tc>
              <w:tc>
                <w:tcPr>
                  <w:tcW w:w="2063" w:type="pct"/>
                  <w:vMerge w:val="continue"/>
                  <w:noWrap w:val="0"/>
                  <w:vAlign w:val="center"/>
                </w:tcPr>
                <w:p w14:paraId="123EF3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516" w:type="pct"/>
                  <w:noWrap w:val="0"/>
                  <w:vAlign w:val="center"/>
                </w:tcPr>
                <w:p w14:paraId="634555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398B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723602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1C452F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（六）利用无防渗漏措施的沟渠、坑塘等输送或者存贮含有毒污染物的废水、含病原体的污水或者其他废弃物</w:t>
                  </w:r>
                  <w:r>
                    <w:rPr>
                      <w:rFonts w:hint="eastAsia" w:cs="Times New Roman"/>
                      <w:color w:val="auto"/>
                      <w:sz w:val="21"/>
                      <w:szCs w:val="21"/>
                      <w:lang w:eastAsia="zh-CN"/>
                    </w:rPr>
                    <w:t>；</w:t>
                  </w:r>
                </w:p>
              </w:tc>
              <w:tc>
                <w:tcPr>
                  <w:tcW w:w="2063" w:type="pct"/>
                  <w:vMerge w:val="continue"/>
                  <w:noWrap w:val="0"/>
                  <w:vAlign w:val="center"/>
                </w:tcPr>
                <w:p w14:paraId="023180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516" w:type="pct"/>
                  <w:noWrap w:val="0"/>
                  <w:vAlign w:val="center"/>
                </w:tcPr>
                <w:p w14:paraId="5C157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7D54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30CE91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1466AA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（七）新建、扩建工业园区；</w:t>
                  </w:r>
                </w:p>
              </w:tc>
              <w:tc>
                <w:tcPr>
                  <w:tcW w:w="2063" w:type="pct"/>
                  <w:noWrap w:val="0"/>
                  <w:vAlign w:val="center"/>
                </w:tcPr>
                <w:p w14:paraId="26778C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项目不涉及</w:t>
                  </w:r>
                  <w:r>
                    <w:rPr>
                      <w:rFonts w:hint="eastAsia" w:cs="Times New Roman"/>
                      <w:color w:val="auto"/>
                      <w:sz w:val="21"/>
                      <w:szCs w:val="21"/>
                      <w:lang w:val="en-US" w:eastAsia="zh-CN"/>
                    </w:rPr>
                    <w:t>。</w:t>
                  </w:r>
                </w:p>
              </w:tc>
              <w:tc>
                <w:tcPr>
                  <w:tcW w:w="516" w:type="pct"/>
                  <w:noWrap w:val="0"/>
                  <w:vAlign w:val="center"/>
                </w:tcPr>
                <w:p w14:paraId="35115E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1172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33690B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30F9C9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（八）新建、扩建重点水污染物排放的工业项目；</w:t>
                  </w:r>
                </w:p>
              </w:tc>
              <w:tc>
                <w:tcPr>
                  <w:tcW w:w="2063" w:type="pct"/>
                  <w:noWrap w:val="0"/>
                  <w:vAlign w:val="center"/>
                </w:tcPr>
                <w:p w14:paraId="53455E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项目不是重点水污染物排放的工业项目</w:t>
                  </w:r>
                  <w:r>
                    <w:rPr>
                      <w:rFonts w:hint="eastAsia" w:cs="Times New Roman"/>
                      <w:color w:val="auto"/>
                      <w:kern w:val="0"/>
                      <w:sz w:val="21"/>
                      <w:szCs w:val="21"/>
                      <w:lang w:val="en-US" w:eastAsia="zh-CN" w:bidi="ar"/>
                    </w:rPr>
                    <w:t>。</w:t>
                  </w:r>
                </w:p>
              </w:tc>
              <w:tc>
                <w:tcPr>
                  <w:tcW w:w="516" w:type="pct"/>
                  <w:noWrap w:val="0"/>
                  <w:vAlign w:val="center"/>
                </w:tcPr>
                <w:p w14:paraId="3D6EB6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r w14:paraId="15FC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89" w:type="pct"/>
                  <w:vMerge w:val="continue"/>
                  <w:noWrap w:val="0"/>
                  <w:vAlign w:val="center"/>
                </w:tcPr>
                <w:p w14:paraId="64021A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rPr>
                  </w:pPr>
                </w:p>
              </w:tc>
              <w:tc>
                <w:tcPr>
                  <w:tcW w:w="1829" w:type="pct"/>
                  <w:noWrap w:val="0"/>
                  <w:vAlign w:val="center"/>
                </w:tcPr>
                <w:p w14:paraId="2CACF7C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（九）新建、改建、扩建经营性陵园、公墓。</w:t>
                  </w:r>
                </w:p>
              </w:tc>
              <w:tc>
                <w:tcPr>
                  <w:tcW w:w="2063" w:type="pct"/>
                  <w:noWrap w:val="0"/>
                  <w:vAlign w:val="center"/>
                </w:tcPr>
                <w:p w14:paraId="5C87A1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项目不涉及</w:t>
                  </w:r>
                  <w:r>
                    <w:rPr>
                      <w:rFonts w:hint="eastAsia" w:cs="Times New Roman"/>
                      <w:color w:val="auto"/>
                      <w:sz w:val="21"/>
                      <w:szCs w:val="21"/>
                      <w:lang w:val="en-US" w:eastAsia="zh-CN"/>
                    </w:rPr>
                    <w:t>。</w:t>
                  </w:r>
                </w:p>
              </w:tc>
              <w:tc>
                <w:tcPr>
                  <w:tcW w:w="516" w:type="pct"/>
                  <w:noWrap w:val="0"/>
                  <w:vAlign w:val="center"/>
                </w:tcPr>
                <w:p w14:paraId="7B0DAE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不涉及</w:t>
                  </w:r>
                </w:p>
              </w:tc>
            </w:tr>
          </w:tbl>
          <w:p w14:paraId="45F7E335">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lang w:bidi="ar"/>
              </w:rPr>
            </w:pPr>
            <w:r>
              <w:rPr>
                <w:rStyle w:val="46"/>
                <w:rFonts w:hint="default" w:ascii="Times New Roman" w:hAnsi="Times New Roman" w:eastAsia="宋体" w:cs="Times New Roman"/>
                <w:b w:val="0"/>
                <w:color w:val="auto"/>
                <w:kern w:val="2"/>
                <w:sz w:val="24"/>
                <w:lang w:val="en-US" w:eastAsia="zh-CN" w:bidi="ar-SA"/>
              </w:rPr>
              <w:t>综上所述，</w:t>
            </w:r>
            <w:r>
              <w:rPr>
                <w:rStyle w:val="46"/>
                <w:rFonts w:hint="default" w:ascii="Times New Roman" w:hAnsi="Times New Roman" w:eastAsia="宋体" w:cs="Times New Roman"/>
                <w:b w:val="0"/>
                <w:bCs/>
                <w:color w:val="auto"/>
                <w:sz w:val="24"/>
                <w:lang w:val="en-US" w:eastAsia="zh-CN"/>
              </w:rPr>
              <w:t>项目建设</w:t>
            </w:r>
            <w:r>
              <w:rPr>
                <w:rFonts w:hint="eastAsia"/>
                <w:color w:val="auto"/>
                <w:sz w:val="24"/>
                <w:szCs w:val="24"/>
                <w:lang w:val="en-US" w:eastAsia="zh-CN"/>
              </w:rPr>
              <w:t>不涉及《云南省牛栏江保护条例》中禁止行为</w:t>
            </w:r>
            <w:r>
              <w:rPr>
                <w:rFonts w:hint="default" w:ascii="Times New Roman" w:hAnsi="Times New Roman" w:eastAsia="宋体" w:cs="Times New Roman"/>
                <w:color w:val="auto"/>
                <w:sz w:val="24"/>
                <w:lang w:val="en-US" w:eastAsia="zh-CN"/>
              </w:rPr>
              <w:t>。</w:t>
            </w:r>
          </w:p>
          <w:p w14:paraId="3974CA1C">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lang w:val="en-US" w:eastAsia="zh-CN"/>
              </w:rPr>
            </w:pPr>
            <w:r>
              <w:rPr>
                <w:rFonts w:hint="eastAsia" w:cs="Times New Roman"/>
                <w:b/>
                <w:bCs w:val="0"/>
                <w:color w:val="auto"/>
                <w:sz w:val="24"/>
                <w:lang w:val="en-US" w:eastAsia="zh-CN"/>
              </w:rPr>
              <w:t>5</w:t>
            </w:r>
            <w:r>
              <w:rPr>
                <w:rFonts w:hint="default" w:ascii="Times New Roman" w:hAnsi="Times New Roman" w:eastAsia="宋体" w:cs="Times New Roman"/>
                <w:b/>
                <w:bCs w:val="0"/>
                <w:color w:val="auto"/>
                <w:sz w:val="24"/>
                <w:lang w:val="en-US" w:eastAsia="zh-CN"/>
              </w:rPr>
              <w:t>、与</w:t>
            </w:r>
            <w:r>
              <w:rPr>
                <w:rFonts w:hint="default" w:ascii="Times New Roman" w:hAnsi="Times New Roman" w:eastAsia="宋体" w:cs="Times New Roman"/>
                <w:b/>
                <w:bCs w:val="0"/>
                <w:color w:val="auto"/>
                <w:sz w:val="24"/>
                <w:szCs w:val="24"/>
                <w:lang w:val="en-US" w:eastAsia="zh-CN"/>
              </w:rPr>
              <w:t>《</w:t>
            </w:r>
            <w:r>
              <w:rPr>
                <w:rFonts w:hint="default" w:ascii="Times New Roman" w:hAnsi="Times New Roman" w:eastAsia="宋体" w:cs="Times New Roman"/>
                <w:b/>
                <w:color w:val="auto"/>
                <w:sz w:val="24"/>
                <w:szCs w:val="24"/>
                <w:highlight w:val="none"/>
                <w:lang w:val="en-US" w:eastAsia="zh-CN"/>
              </w:rPr>
              <w:t>牛栏江流域（云南部分）水环境保护规划（2009~2030）</w:t>
            </w:r>
            <w:r>
              <w:rPr>
                <w:rFonts w:hint="default" w:ascii="Times New Roman" w:hAnsi="Times New Roman" w:eastAsia="宋体" w:cs="Times New Roman"/>
                <w:b/>
                <w:bCs w:val="0"/>
                <w:color w:val="auto"/>
                <w:sz w:val="24"/>
                <w:szCs w:val="24"/>
                <w:lang w:val="en-US" w:eastAsia="zh-CN"/>
              </w:rPr>
              <w:t>》</w:t>
            </w:r>
            <w:r>
              <w:rPr>
                <w:rFonts w:hint="default" w:ascii="Times New Roman" w:hAnsi="Times New Roman" w:eastAsia="宋体" w:cs="Times New Roman"/>
                <w:b/>
                <w:bCs/>
                <w:color w:val="auto"/>
                <w:sz w:val="24"/>
              </w:rPr>
              <w:t>符合性分析</w:t>
            </w:r>
          </w:p>
          <w:p w14:paraId="17F79D24">
            <w:pPr>
              <w:pStyle w:val="60"/>
              <w:keepNext w:val="0"/>
              <w:keepLines w:val="0"/>
              <w:numPr>
                <w:ilvl w:val="0"/>
                <w:numId w:val="0"/>
              </w:numPr>
              <w:suppressLineNumbers w:val="0"/>
              <w:bidi w:val="0"/>
              <w:spacing w:before="0" w:beforeAutospacing="0" w:after="0" w:afterAutospacing="0"/>
              <w:ind w:right="0" w:rightChars="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根据流域具体情况及环境保护管理的需要，将牛栏江流域（云南</w:t>
            </w:r>
            <w:r>
              <w:rPr>
                <w:rFonts w:hint="eastAsia" w:eastAsia="宋体" w:cs="Times New Roman"/>
                <w:color w:val="auto"/>
                <w:sz w:val="24"/>
                <w:lang w:val="en-US" w:eastAsia="zh-CN"/>
              </w:rPr>
              <w:t>部分</w:t>
            </w:r>
            <w:r>
              <w:rPr>
                <w:rFonts w:hint="default" w:ascii="Times New Roman" w:hAnsi="Times New Roman" w:eastAsia="宋体" w:cs="Times New Roman"/>
                <w:color w:val="auto"/>
                <w:sz w:val="24"/>
              </w:rPr>
              <w:t>）水环境保护划分为两大控制区，</w:t>
            </w:r>
            <w:r>
              <w:rPr>
                <w:rFonts w:hint="default" w:ascii="Times New Roman" w:hAnsi="Times New Roman" w:eastAsia="宋体" w:cs="Times New Roman"/>
                <w:b/>
                <w:color w:val="auto"/>
                <w:sz w:val="24"/>
              </w:rPr>
              <w:t>即牛栏江上游（德泽水库坝址以上）重点保护区、牛栏江下游生态与环境保护区，</w:t>
            </w:r>
            <w:r>
              <w:rPr>
                <w:rFonts w:hint="default" w:ascii="Times New Roman" w:hAnsi="Times New Roman" w:eastAsia="宋体" w:cs="Times New Roman"/>
                <w:color w:val="auto"/>
                <w:sz w:val="24"/>
                <w:szCs w:val="24"/>
              </w:rPr>
              <w:t>各分区范围节点如下：</w:t>
            </w:r>
          </w:p>
          <w:p w14:paraId="7DC5C49D">
            <w:pPr>
              <w:pStyle w:val="19"/>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113" w:firstLine="482"/>
              <w:textAlignment w:val="auto"/>
              <w:rPr>
                <w:rFonts w:hint="default" w:ascii="Times New Roman" w:hAnsi="Times New Roman" w:eastAsia="宋体" w:cs="Times New Roman"/>
                <w:color w:val="auto"/>
                <w:sz w:val="24"/>
              </w:rPr>
            </w:pPr>
            <w:r>
              <w:rPr>
                <w:rFonts w:hint="default" w:ascii="Times New Roman" w:hAnsi="Times New Roman" w:eastAsia="宋体" w:cs="Times New Roman"/>
                <w:b/>
                <w:color w:val="auto"/>
                <w:sz w:val="24"/>
              </w:rPr>
              <w:fldChar w:fldCharType="begin"/>
            </w:r>
            <w:r>
              <w:rPr>
                <w:rFonts w:hint="default" w:ascii="Times New Roman" w:hAnsi="Times New Roman" w:eastAsia="宋体" w:cs="Times New Roman"/>
                <w:b/>
                <w:color w:val="auto"/>
                <w:sz w:val="24"/>
              </w:rPr>
              <w:instrText xml:space="preserve"> = 1 \* ROMAN </w:instrText>
            </w:r>
            <w:r>
              <w:rPr>
                <w:rFonts w:hint="default" w:ascii="Times New Roman" w:hAnsi="Times New Roman" w:eastAsia="宋体" w:cs="Times New Roman"/>
                <w:b/>
                <w:color w:val="auto"/>
                <w:sz w:val="24"/>
              </w:rPr>
              <w:fldChar w:fldCharType="separate"/>
            </w:r>
            <w:r>
              <w:rPr>
                <w:rFonts w:hint="default" w:ascii="Times New Roman" w:hAnsi="Times New Roman" w:eastAsia="宋体" w:cs="Times New Roman"/>
                <w:b/>
                <w:color w:val="auto"/>
                <w:sz w:val="24"/>
              </w:rPr>
              <w:t>I</w:t>
            </w:r>
            <w:r>
              <w:rPr>
                <w:rFonts w:hint="default" w:ascii="Times New Roman" w:hAnsi="Times New Roman" w:eastAsia="宋体" w:cs="Times New Roman"/>
                <w:b/>
                <w:color w:val="auto"/>
                <w:sz w:val="24"/>
              </w:rPr>
              <w:fldChar w:fldCharType="end"/>
            </w:r>
            <w:r>
              <w:rPr>
                <w:rFonts w:hint="default" w:ascii="Times New Roman" w:hAnsi="Times New Roman" w:eastAsia="宋体" w:cs="Times New Roman"/>
                <w:b/>
                <w:color w:val="auto"/>
                <w:sz w:val="24"/>
              </w:rPr>
              <w:t>区：牛栏江上游（德泽水库坝址以上）重点保护区，</w:t>
            </w:r>
            <w:r>
              <w:rPr>
                <w:rFonts w:hint="default" w:ascii="Times New Roman" w:hAnsi="Times New Roman" w:eastAsia="宋体" w:cs="Times New Roman"/>
                <w:color w:val="auto"/>
                <w:sz w:val="24"/>
              </w:rPr>
              <w:t>为</w:t>
            </w:r>
            <w:r>
              <w:rPr>
                <w:rFonts w:hint="default" w:ascii="Times New Roman" w:hAnsi="Times New Roman" w:eastAsia="宋体" w:cs="Times New Roman"/>
                <w:bCs/>
                <w:color w:val="auto"/>
                <w:sz w:val="24"/>
              </w:rPr>
              <w:t>牛栏江上游（德泽水库坝址以上）调水水源区流域范围，河长172</w:t>
            </w:r>
            <w:r>
              <w:rPr>
                <w:rFonts w:hint="default" w:ascii="Times New Roman" w:hAnsi="Times New Roman" w:eastAsia="宋体" w:cs="Times New Roman"/>
                <w:color w:val="auto"/>
                <w:sz w:val="24"/>
              </w:rPr>
              <w:t>km，流域面积4551km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w:t>
            </w:r>
          </w:p>
          <w:p w14:paraId="2ED442A9">
            <w:pPr>
              <w:pStyle w:val="19"/>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113" w:firstLine="482"/>
              <w:textAlignment w:val="auto"/>
              <w:rPr>
                <w:rFonts w:hint="default" w:ascii="Times New Roman" w:hAnsi="Times New Roman" w:eastAsia="宋体" w:cs="Times New Roman"/>
                <w:color w:val="auto"/>
                <w:sz w:val="24"/>
              </w:rPr>
            </w:pPr>
            <w:r>
              <w:rPr>
                <w:rFonts w:hint="default" w:ascii="Times New Roman" w:hAnsi="Times New Roman" w:eastAsia="宋体" w:cs="Times New Roman"/>
                <w:b/>
                <w:color w:val="auto"/>
                <w:kern w:val="0"/>
                <w:sz w:val="24"/>
              </w:rPr>
              <w:t>I</w:t>
            </w:r>
            <w:r>
              <w:rPr>
                <w:rFonts w:hint="default" w:ascii="Times New Roman" w:hAnsi="Times New Roman" w:eastAsia="宋体" w:cs="Times New Roman"/>
                <w:b/>
                <w:color w:val="auto"/>
                <w:kern w:val="0"/>
                <w:sz w:val="24"/>
                <w:vertAlign w:val="subscript"/>
              </w:rPr>
              <w:t>1</w:t>
            </w:r>
            <w:r>
              <w:rPr>
                <w:rFonts w:hint="default" w:ascii="Times New Roman" w:hAnsi="Times New Roman" w:eastAsia="宋体" w:cs="Times New Roman"/>
                <w:b/>
                <w:color w:val="auto"/>
                <w:sz w:val="24"/>
              </w:rPr>
              <w:t>水源保护核心区：</w:t>
            </w:r>
            <w:r>
              <w:rPr>
                <w:rFonts w:hint="default" w:ascii="Times New Roman" w:hAnsi="Times New Roman" w:eastAsia="宋体" w:cs="Times New Roman"/>
                <w:color w:val="auto"/>
                <w:sz w:val="24"/>
              </w:rPr>
              <w:t>包括牛栏江干流水面，河岸外围陆域1000米范围；德</w:t>
            </w:r>
            <w:r>
              <w:rPr>
                <w:rFonts w:hint="default" w:ascii="Times New Roman" w:hAnsi="Times New Roman" w:eastAsia="宋体" w:cs="Times New Roman"/>
                <w:bCs/>
                <w:color w:val="auto"/>
                <w:sz w:val="24"/>
              </w:rPr>
              <w:t>泽水库水面，库岸</w:t>
            </w:r>
            <w:r>
              <w:rPr>
                <w:rFonts w:hint="default" w:ascii="Times New Roman" w:hAnsi="Times New Roman" w:eastAsia="宋体" w:cs="Times New Roman"/>
                <w:color w:val="auto"/>
                <w:sz w:val="24"/>
              </w:rPr>
              <w:t>外围陆域</w:t>
            </w:r>
            <w:r>
              <w:rPr>
                <w:rFonts w:hint="default" w:ascii="Times New Roman" w:hAnsi="Times New Roman" w:eastAsia="宋体" w:cs="Times New Roman"/>
                <w:bCs/>
                <w:color w:val="auto"/>
                <w:sz w:val="24"/>
              </w:rPr>
              <w:t>2000m</w:t>
            </w:r>
            <w:r>
              <w:rPr>
                <w:rFonts w:hint="default" w:ascii="Times New Roman" w:hAnsi="Times New Roman" w:eastAsia="宋体" w:cs="Times New Roman"/>
                <w:color w:val="auto"/>
                <w:sz w:val="24"/>
              </w:rPr>
              <w:t>范围。涉及乡镇主要有牛栏江镇、塘子镇、河口乡、七星乡、德泽乡，面积为625.3km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rPr>
              <w:t>属于本规划的</w:t>
            </w:r>
            <w:r>
              <w:rPr>
                <w:rFonts w:hint="default" w:ascii="Times New Roman" w:hAnsi="Times New Roman" w:eastAsia="宋体" w:cs="Times New Roman"/>
                <w:color w:val="auto"/>
                <w:sz w:val="24"/>
              </w:rPr>
              <w:t>重点保护区</w:t>
            </w:r>
            <w:r>
              <w:rPr>
                <w:rFonts w:hint="default" w:ascii="Times New Roman" w:hAnsi="Times New Roman" w:eastAsia="宋体" w:cs="Times New Roman"/>
                <w:color w:val="auto"/>
                <w:kern w:val="0"/>
                <w:sz w:val="24"/>
              </w:rPr>
              <w:t>。</w:t>
            </w:r>
          </w:p>
          <w:p w14:paraId="5C060A5F">
            <w:pPr>
              <w:pStyle w:val="35"/>
              <w:keepNext w:val="0"/>
              <w:keepLines w:val="0"/>
              <w:suppressLineNumbers w:val="0"/>
              <w:spacing w:before="0" w:beforeAutospacing="0" w:after="0" w:afterAutospacing="0" w:line="360" w:lineRule="auto"/>
              <w:ind w:left="0" w:leftChars="0" w:right="0" w:firstLine="482"/>
              <w:rPr>
                <w:rFonts w:hint="default" w:ascii="Times New Roman" w:hAnsi="Times New Roman" w:eastAsia="宋体" w:cs="Times New Roman"/>
                <w:color w:val="auto"/>
                <w:sz w:val="24"/>
              </w:rPr>
            </w:pPr>
            <w:r>
              <w:rPr>
                <w:rFonts w:hint="default" w:ascii="Times New Roman" w:hAnsi="Times New Roman" w:eastAsia="宋体" w:cs="Times New Roman"/>
                <w:b/>
                <w:color w:val="auto"/>
                <w:kern w:val="0"/>
                <w:sz w:val="24"/>
              </w:rPr>
              <w:t>I</w:t>
            </w:r>
            <w:r>
              <w:rPr>
                <w:rFonts w:hint="default" w:ascii="Times New Roman" w:hAnsi="Times New Roman" w:eastAsia="宋体" w:cs="Times New Roman"/>
                <w:b/>
                <w:color w:val="auto"/>
                <w:kern w:val="0"/>
                <w:sz w:val="24"/>
                <w:vertAlign w:val="subscript"/>
              </w:rPr>
              <w:t>2</w:t>
            </w:r>
            <w:r>
              <w:rPr>
                <w:rFonts w:hint="default" w:ascii="Times New Roman" w:hAnsi="Times New Roman" w:eastAsia="宋体" w:cs="Times New Roman"/>
                <w:b/>
                <w:color w:val="auto"/>
                <w:sz w:val="24"/>
              </w:rPr>
              <w:t>重点污染控制区：</w:t>
            </w:r>
            <w:r>
              <w:rPr>
                <w:rFonts w:hint="default" w:ascii="Times New Roman" w:hAnsi="Times New Roman" w:eastAsia="宋体" w:cs="Times New Roman"/>
                <w:color w:val="auto"/>
                <w:sz w:val="24"/>
              </w:rPr>
              <w:t>主要是水源保护核心区边界外的坝区</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sz w:val="24"/>
              </w:rPr>
              <w:t>涉及小哨乡、嵩阳镇、小街镇、杨桥乡、羊街镇、金所乡、月望乡、大坡乡、菱角乡、田坝乡十个乡镇，面积1892.56</w:t>
            </w:r>
            <w:r>
              <w:rPr>
                <w:rFonts w:hint="default" w:ascii="Times New Roman" w:hAnsi="Times New Roman" w:eastAsia="宋体" w:cs="Times New Roman"/>
                <w:color w:val="auto"/>
                <w:sz w:val="24"/>
                <w:lang w:val="en-US" w:eastAsia="zh-CN"/>
              </w:rPr>
              <w:t>k</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，属于本规划的污染重点治理区。</w:t>
            </w:r>
          </w:p>
          <w:p w14:paraId="053E6956">
            <w:pPr>
              <w:pStyle w:val="35"/>
              <w:keepNext w:val="0"/>
              <w:keepLines w:val="0"/>
              <w:suppressLineNumbers w:val="0"/>
              <w:spacing w:before="0" w:beforeAutospacing="0" w:after="0" w:afterAutospacing="0" w:line="360" w:lineRule="auto"/>
              <w:ind w:left="0" w:leftChars="0" w:right="0" w:firstLine="482"/>
              <w:rPr>
                <w:rFonts w:hint="default" w:ascii="Times New Roman" w:hAnsi="Times New Roman" w:eastAsia="宋体" w:cs="Times New Roman"/>
                <w:color w:val="auto"/>
                <w:sz w:val="24"/>
              </w:rPr>
            </w:pPr>
            <w:r>
              <w:rPr>
                <w:rFonts w:hint="default" w:ascii="Times New Roman" w:hAnsi="Times New Roman" w:eastAsia="宋体" w:cs="Times New Roman"/>
                <w:b/>
                <w:color w:val="auto"/>
                <w:kern w:val="0"/>
                <w:sz w:val="24"/>
              </w:rPr>
              <w:t>I</w:t>
            </w:r>
            <w:r>
              <w:rPr>
                <w:rFonts w:hint="default" w:ascii="Times New Roman" w:hAnsi="Times New Roman" w:eastAsia="宋体" w:cs="Times New Roman"/>
                <w:b/>
                <w:color w:val="auto"/>
                <w:kern w:val="0"/>
                <w:sz w:val="24"/>
                <w:vertAlign w:val="subscript"/>
              </w:rPr>
              <w:t>3</w:t>
            </w:r>
            <w:r>
              <w:rPr>
                <w:rFonts w:hint="default" w:ascii="Times New Roman" w:hAnsi="Times New Roman" w:eastAsia="宋体" w:cs="Times New Roman"/>
                <w:b/>
                <w:color w:val="auto"/>
                <w:sz w:val="24"/>
              </w:rPr>
              <w:t>水源涵养区：</w:t>
            </w:r>
            <w:r>
              <w:rPr>
                <w:rFonts w:hint="default" w:ascii="Times New Roman" w:hAnsi="Times New Roman" w:eastAsia="宋体" w:cs="Times New Roman"/>
                <w:color w:val="auto"/>
                <w:sz w:val="24"/>
              </w:rPr>
              <w:t>包括除水源保护核心区、重点污染控制区</w:t>
            </w:r>
            <w:r>
              <w:rPr>
                <w:rFonts w:hint="default" w:ascii="Times New Roman" w:hAnsi="Times New Roman" w:eastAsia="宋体" w:cs="Times New Roman"/>
                <w:color w:val="auto"/>
                <w:kern w:val="0"/>
                <w:sz w:val="24"/>
              </w:rPr>
              <w:t>以外</w:t>
            </w:r>
            <w:r>
              <w:rPr>
                <w:rFonts w:hint="default" w:ascii="Times New Roman" w:hAnsi="Times New Roman" w:eastAsia="宋体" w:cs="Times New Roman"/>
                <w:color w:val="auto"/>
                <w:sz w:val="24"/>
              </w:rPr>
              <w:t>的山地。涉及杨林镇、仁德镇、通泉镇、王家庄镇、马过河镇、旧县镇六个乡镇，面积1764.16</w:t>
            </w:r>
            <w:r>
              <w:rPr>
                <w:rFonts w:hint="default" w:ascii="Times New Roman" w:hAnsi="Times New Roman" w:eastAsia="宋体" w:cs="Times New Roman"/>
                <w:color w:val="auto"/>
                <w:sz w:val="24"/>
                <w:lang w:val="en-US" w:eastAsia="zh-CN"/>
              </w:rPr>
              <w:t>k</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sz w:val="24"/>
              </w:rPr>
              <w:t>重点实施退耕还林、水土保持、营造水源涵养林等工程，引导农业生态化发展，加强区域生态保护。</w:t>
            </w:r>
          </w:p>
          <w:p w14:paraId="50EBF72C">
            <w:pPr>
              <w:pStyle w:val="19"/>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113" w:firstLine="482"/>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
                <w:color w:val="auto"/>
                <w:sz w:val="24"/>
              </w:rPr>
              <w:fldChar w:fldCharType="begin"/>
            </w:r>
            <w:r>
              <w:rPr>
                <w:rFonts w:hint="default" w:ascii="Times New Roman" w:hAnsi="Times New Roman" w:eastAsia="宋体" w:cs="Times New Roman"/>
                <w:b/>
                <w:color w:val="auto"/>
                <w:sz w:val="24"/>
              </w:rPr>
              <w:instrText xml:space="preserve"> = 2 \* ROMAN </w:instrText>
            </w:r>
            <w:r>
              <w:rPr>
                <w:rFonts w:hint="default" w:ascii="Times New Roman" w:hAnsi="Times New Roman" w:eastAsia="宋体" w:cs="Times New Roman"/>
                <w:b/>
                <w:color w:val="auto"/>
                <w:sz w:val="24"/>
              </w:rPr>
              <w:fldChar w:fldCharType="separate"/>
            </w:r>
            <w:r>
              <w:rPr>
                <w:rFonts w:hint="default" w:ascii="Times New Roman" w:hAnsi="Times New Roman" w:eastAsia="宋体" w:cs="Times New Roman"/>
                <w:b/>
                <w:color w:val="auto"/>
                <w:sz w:val="24"/>
              </w:rPr>
              <w:t>II</w:t>
            </w:r>
            <w:r>
              <w:rPr>
                <w:rFonts w:hint="default" w:ascii="Times New Roman" w:hAnsi="Times New Roman" w:eastAsia="宋体" w:cs="Times New Roman"/>
                <w:b/>
                <w:color w:val="auto"/>
                <w:sz w:val="24"/>
              </w:rPr>
              <w:fldChar w:fldCharType="end"/>
            </w:r>
            <w:r>
              <w:rPr>
                <w:rFonts w:hint="default" w:ascii="Times New Roman" w:hAnsi="Times New Roman" w:eastAsia="宋体" w:cs="Times New Roman"/>
                <w:b/>
                <w:color w:val="auto"/>
                <w:sz w:val="24"/>
              </w:rPr>
              <w:t>区牛栏江下游</w:t>
            </w:r>
            <w:r>
              <w:rPr>
                <w:rFonts w:hint="eastAsia" w:cs="Times New Roman"/>
                <w:b/>
                <w:color w:val="auto"/>
                <w:sz w:val="24"/>
                <w:lang w:eastAsia="zh-CN"/>
              </w:rPr>
              <w:t>生态功能保护区</w:t>
            </w:r>
            <w:r>
              <w:rPr>
                <w:rFonts w:hint="default" w:ascii="Times New Roman" w:hAnsi="Times New Roman" w:eastAsia="宋体" w:cs="Times New Roman"/>
                <w:b/>
                <w:color w:val="auto"/>
                <w:sz w:val="24"/>
              </w:rPr>
              <w:t>：</w:t>
            </w:r>
            <w:r>
              <w:rPr>
                <w:rFonts w:hint="default" w:ascii="Times New Roman" w:hAnsi="Times New Roman" w:eastAsia="宋体" w:cs="Times New Roman"/>
                <w:color w:val="auto"/>
                <w:sz w:val="24"/>
              </w:rPr>
              <w:t>为</w:t>
            </w:r>
            <w:r>
              <w:rPr>
                <w:rFonts w:hint="default" w:ascii="Times New Roman" w:hAnsi="Times New Roman" w:eastAsia="宋体" w:cs="Times New Roman"/>
                <w:bCs/>
                <w:color w:val="auto"/>
                <w:sz w:val="24"/>
              </w:rPr>
              <w:t>牛栏江下游（德泽水库坝址以下）</w:t>
            </w:r>
            <w:r>
              <w:rPr>
                <w:rFonts w:hint="default" w:ascii="Times New Roman" w:hAnsi="Times New Roman" w:eastAsia="宋体" w:cs="Times New Roman"/>
                <w:color w:val="auto"/>
                <w:sz w:val="24"/>
              </w:rPr>
              <w:t>至金沙江入口流域范围</w:t>
            </w:r>
            <w:r>
              <w:rPr>
                <w:rFonts w:hint="default" w:ascii="Times New Roman" w:hAnsi="Times New Roman" w:eastAsia="宋体" w:cs="Times New Roman"/>
                <w:bCs/>
                <w:color w:val="auto"/>
                <w:sz w:val="24"/>
              </w:rPr>
              <w:t>。河长268</w:t>
            </w:r>
            <w:r>
              <w:rPr>
                <w:rFonts w:hint="default" w:ascii="Times New Roman" w:hAnsi="Times New Roman" w:eastAsia="宋体" w:cs="Times New Roman"/>
                <w:color w:val="auto"/>
                <w:sz w:val="24"/>
              </w:rPr>
              <w:t>km，流域面积9121km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bCs/>
                <w:color w:val="auto"/>
                <w:sz w:val="24"/>
              </w:rPr>
              <w:t>。</w:t>
            </w:r>
          </w:p>
          <w:p w14:paraId="32B80D08">
            <w:pPr>
              <w:pStyle w:val="14"/>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0"/>
                <w:sz w:val="24"/>
                <w:szCs w:val="24"/>
              </w:rPr>
              <w:fldChar w:fldCharType="begin"/>
            </w:r>
            <w:r>
              <w:rPr>
                <w:rFonts w:hint="default" w:ascii="Times New Roman" w:hAnsi="Times New Roman" w:eastAsia="宋体" w:cs="Times New Roman"/>
                <w:b/>
                <w:color w:val="auto"/>
                <w:kern w:val="0"/>
                <w:sz w:val="24"/>
                <w:szCs w:val="24"/>
              </w:rPr>
              <w:instrText xml:space="preserve"> = 2 \* ROMAN </w:instrText>
            </w:r>
            <w:r>
              <w:rPr>
                <w:rFonts w:hint="default" w:ascii="Times New Roman" w:hAnsi="Times New Roman" w:eastAsia="宋体" w:cs="Times New Roman"/>
                <w:b/>
                <w:color w:val="auto"/>
                <w:kern w:val="0"/>
                <w:sz w:val="24"/>
                <w:szCs w:val="24"/>
              </w:rPr>
              <w:fldChar w:fldCharType="separate"/>
            </w:r>
            <w:r>
              <w:rPr>
                <w:rFonts w:hint="default" w:ascii="Times New Roman" w:hAnsi="Times New Roman" w:eastAsia="宋体" w:cs="Times New Roman"/>
                <w:b/>
                <w:color w:val="auto"/>
                <w:kern w:val="0"/>
                <w:sz w:val="24"/>
                <w:szCs w:val="24"/>
              </w:rPr>
              <w:t>II</w:t>
            </w:r>
            <w:r>
              <w:rPr>
                <w:rFonts w:hint="default" w:ascii="Times New Roman" w:hAnsi="Times New Roman" w:eastAsia="宋体" w:cs="Times New Roman"/>
                <w:b/>
                <w:color w:val="auto"/>
                <w:kern w:val="0"/>
                <w:sz w:val="24"/>
                <w:szCs w:val="24"/>
              </w:rPr>
              <w:fldChar w:fldCharType="end"/>
            </w:r>
            <w:r>
              <w:rPr>
                <w:rFonts w:hint="default" w:ascii="Times New Roman" w:hAnsi="Times New Roman" w:eastAsia="宋体" w:cs="Times New Roman"/>
                <w:b/>
                <w:color w:val="auto"/>
                <w:kern w:val="0"/>
                <w:sz w:val="24"/>
                <w:szCs w:val="24"/>
                <w:vertAlign w:val="subscript"/>
              </w:rPr>
              <w:t>1</w:t>
            </w:r>
            <w:r>
              <w:rPr>
                <w:rFonts w:hint="default" w:ascii="Times New Roman" w:hAnsi="Times New Roman" w:eastAsia="宋体" w:cs="Times New Roman"/>
                <w:b/>
                <w:color w:val="auto"/>
                <w:sz w:val="24"/>
                <w:szCs w:val="24"/>
              </w:rPr>
              <w:t>下游重点污染控制区：</w:t>
            </w:r>
            <w:r>
              <w:rPr>
                <w:rFonts w:hint="default" w:ascii="Times New Roman" w:hAnsi="Times New Roman" w:eastAsia="宋体" w:cs="Times New Roman"/>
                <w:color w:val="auto"/>
                <w:sz w:val="24"/>
                <w:szCs w:val="24"/>
              </w:rPr>
              <w:t>主要是牛栏江下游河谷区坝区。涉及梭山乡、小河镇、务德镇、西泽乡、热水镇、上村乡、雨碌乡、纸厂乡、马路、火红乡、鲁纳乡、火德红乡、龙头山镇、乐红乡、红山乡、田坝乡十六个乡镇，面积1387.78</w:t>
            </w:r>
            <w:r>
              <w:rPr>
                <w:rFonts w:hint="default" w:ascii="Times New Roman" w:hAnsi="Times New Roman" w:eastAsia="宋体" w:cs="Times New Roman"/>
                <w:color w:val="auto"/>
                <w:sz w:val="24"/>
                <w:szCs w:val="24"/>
                <w:lang w:val="en-US" w:eastAsia="zh-CN"/>
              </w:rPr>
              <w:t>k</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w:t>
            </w:r>
          </w:p>
          <w:p w14:paraId="5DD99451">
            <w:pPr>
              <w:keepNext w:val="0"/>
              <w:keepLines w:val="0"/>
              <w:suppressLineNumbers w:val="0"/>
              <w:spacing w:before="0" w:beforeAutospacing="0" w:after="0" w:afterAutospacing="0" w:line="360" w:lineRule="auto"/>
              <w:ind w:left="0" w:right="0" w:firstLine="472" w:firstLineChars="196"/>
              <w:rPr>
                <w:rFonts w:hint="default" w:ascii="Times New Roman" w:hAnsi="Times New Roman" w:eastAsia="宋体" w:cs="Times New Roman"/>
                <w:color w:val="auto"/>
                <w:sz w:val="24"/>
              </w:rPr>
            </w:pPr>
            <w:r>
              <w:rPr>
                <w:rFonts w:hint="default" w:ascii="Times New Roman" w:hAnsi="Times New Roman" w:eastAsia="宋体" w:cs="Times New Roman"/>
                <w:b/>
                <w:color w:val="auto"/>
                <w:kern w:val="0"/>
                <w:sz w:val="24"/>
              </w:rPr>
              <w:fldChar w:fldCharType="begin"/>
            </w:r>
            <w:r>
              <w:rPr>
                <w:rFonts w:hint="default" w:ascii="Times New Roman" w:hAnsi="Times New Roman" w:eastAsia="宋体" w:cs="Times New Roman"/>
                <w:b/>
                <w:color w:val="auto"/>
                <w:kern w:val="0"/>
                <w:sz w:val="24"/>
              </w:rPr>
              <w:instrText xml:space="preserve"> = 2 \* ROMAN </w:instrText>
            </w:r>
            <w:r>
              <w:rPr>
                <w:rFonts w:hint="default" w:ascii="Times New Roman" w:hAnsi="Times New Roman" w:eastAsia="宋体" w:cs="Times New Roman"/>
                <w:b/>
                <w:color w:val="auto"/>
                <w:kern w:val="0"/>
                <w:sz w:val="24"/>
              </w:rPr>
              <w:fldChar w:fldCharType="separate"/>
            </w:r>
            <w:r>
              <w:rPr>
                <w:rFonts w:hint="default" w:ascii="Times New Roman" w:hAnsi="Times New Roman" w:eastAsia="宋体" w:cs="Times New Roman"/>
                <w:b/>
                <w:color w:val="auto"/>
                <w:kern w:val="0"/>
                <w:sz w:val="24"/>
              </w:rPr>
              <w:t>II</w:t>
            </w:r>
            <w:r>
              <w:rPr>
                <w:rFonts w:hint="default" w:ascii="Times New Roman" w:hAnsi="Times New Roman" w:eastAsia="宋体" w:cs="Times New Roman"/>
                <w:b/>
                <w:color w:val="auto"/>
                <w:kern w:val="0"/>
                <w:sz w:val="24"/>
              </w:rPr>
              <w:fldChar w:fldCharType="end"/>
            </w:r>
            <w:r>
              <w:rPr>
                <w:rFonts w:hint="default" w:ascii="Times New Roman" w:hAnsi="Times New Roman" w:eastAsia="宋体" w:cs="Times New Roman"/>
                <w:b/>
                <w:color w:val="auto"/>
                <w:kern w:val="0"/>
                <w:sz w:val="24"/>
                <w:vertAlign w:val="subscript"/>
              </w:rPr>
              <w:t>2</w:t>
            </w:r>
            <w:r>
              <w:rPr>
                <w:rFonts w:hint="default" w:ascii="Times New Roman" w:hAnsi="Times New Roman" w:eastAsia="宋体" w:cs="Times New Roman"/>
                <w:b/>
                <w:color w:val="auto"/>
                <w:sz w:val="24"/>
              </w:rPr>
              <w:t>水源涵养区：</w:t>
            </w:r>
            <w:r>
              <w:rPr>
                <w:rFonts w:hint="default" w:ascii="Times New Roman" w:hAnsi="Times New Roman" w:eastAsia="宋体" w:cs="Times New Roman"/>
                <w:color w:val="auto"/>
                <w:sz w:val="24"/>
              </w:rPr>
              <w:t>主要是重点污染控制区</w:t>
            </w:r>
            <w:r>
              <w:rPr>
                <w:rFonts w:hint="default" w:ascii="Times New Roman" w:hAnsi="Times New Roman" w:eastAsia="宋体" w:cs="Times New Roman"/>
                <w:color w:val="auto"/>
                <w:kern w:val="0"/>
                <w:sz w:val="24"/>
              </w:rPr>
              <w:t>以外</w:t>
            </w:r>
            <w:r>
              <w:rPr>
                <w:rFonts w:hint="default" w:ascii="Times New Roman" w:hAnsi="Times New Roman" w:eastAsia="宋体" w:cs="Times New Roman"/>
                <w:color w:val="auto"/>
                <w:sz w:val="24"/>
              </w:rPr>
              <w:t>的山地，涉及乐业镇、大桥乡、大井镇、矿山镇、迤车镇、新店乡、老店乡、包谷垴乡八个乡镇，面积5078.12km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w:t>
            </w:r>
          </w:p>
          <w:p w14:paraId="66E0F975">
            <w:pPr>
              <w:pStyle w:val="60"/>
              <w:keepNext w:val="0"/>
              <w:keepLines w:val="0"/>
              <w:pageBreakBefore w:val="0"/>
              <w:widowControl w:val="0"/>
              <w:numPr>
                <w:ilvl w:val="0"/>
                <w:numId w:val="0"/>
              </w:numPr>
              <w:suppressLineNumbers w:val="0"/>
              <w:kinsoku w:val="0"/>
              <w:wordWrap/>
              <w:overflowPunct w:val="0"/>
              <w:topLinePunct/>
              <w:autoSpaceDE/>
              <w:autoSpaceDN/>
              <w:bidi w:val="0"/>
              <w:adjustRightInd w:val="0"/>
              <w:snapToGrid/>
              <w:spacing w:before="0" w:beforeAutospacing="0" w:after="0" w:afterAutospacing="0"/>
              <w:ind w:right="0" w:rightChars="0" w:firstLine="480" w:firstLineChars="200"/>
              <w:jc w:val="both"/>
              <w:textAlignment w:val="baseline"/>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color w:val="auto"/>
                <w:sz w:val="24"/>
                <w:szCs w:val="24"/>
              </w:rPr>
              <w:t>项目位于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位于</w:t>
            </w:r>
            <w:r>
              <w:rPr>
                <w:rFonts w:hint="default" w:ascii="Times New Roman" w:hAnsi="Times New Roman" w:eastAsia="宋体" w:cs="Times New Roman"/>
                <w:b/>
                <w:color w:val="auto"/>
                <w:sz w:val="24"/>
              </w:rPr>
              <w:t>重点污染控制区</w:t>
            </w:r>
            <w:r>
              <w:rPr>
                <w:rFonts w:hint="eastAsia" w:eastAsia="宋体" w:cs="Times New Roman"/>
                <w:b/>
                <w:color w:val="auto"/>
                <w:sz w:val="24"/>
                <w:lang w:eastAsia="zh-CN"/>
              </w:rPr>
              <w:t>（</w:t>
            </w:r>
            <w:r>
              <w:rPr>
                <w:rFonts w:hint="default" w:ascii="Times New Roman" w:hAnsi="Times New Roman" w:eastAsia="宋体" w:cs="Times New Roman"/>
                <w:b/>
                <w:color w:val="auto"/>
                <w:kern w:val="0"/>
                <w:sz w:val="24"/>
              </w:rPr>
              <w:t>I</w:t>
            </w:r>
            <w:r>
              <w:rPr>
                <w:rFonts w:hint="default" w:ascii="Times New Roman" w:hAnsi="Times New Roman" w:eastAsia="宋体" w:cs="Times New Roman"/>
                <w:b/>
                <w:color w:val="auto"/>
                <w:kern w:val="0"/>
                <w:sz w:val="24"/>
                <w:vertAlign w:val="subscript"/>
              </w:rPr>
              <w:t>2</w:t>
            </w:r>
            <w:r>
              <w:rPr>
                <w:rFonts w:hint="eastAsia" w:eastAsia="宋体" w:cs="Times New Roman"/>
                <w:b/>
                <w:color w:val="auto"/>
                <w:kern w:val="0"/>
                <w:sz w:val="24"/>
                <w:vertAlign w:val="subscript"/>
                <w:lang w:val="en-US" w:eastAsia="zh-CN"/>
              </w:rPr>
              <w:t>区</w:t>
            </w:r>
            <w:r>
              <w:rPr>
                <w:rFonts w:hint="eastAsia" w:eastAsia="宋体" w:cs="Times New Roman"/>
                <w:b/>
                <w:color w:val="auto"/>
                <w:sz w:val="24"/>
                <w:lang w:eastAsia="zh-CN"/>
              </w:rPr>
              <w:t>），</w:t>
            </w:r>
            <w:r>
              <w:rPr>
                <w:rFonts w:hint="default" w:ascii="Times New Roman" w:hAnsi="Times New Roman" w:eastAsia="宋体" w:cs="Times New Roman"/>
                <w:color w:val="auto"/>
                <w:sz w:val="24"/>
                <w:szCs w:val="24"/>
                <w:lang w:val="en-US" w:eastAsia="zh-CN"/>
              </w:rPr>
              <w:t>项目与牛栏江流域（</w:t>
            </w:r>
            <w:r>
              <w:rPr>
                <w:rFonts w:hint="eastAsia" w:eastAsia="宋体" w:cs="Times New Roman"/>
                <w:color w:val="auto"/>
                <w:sz w:val="24"/>
                <w:szCs w:val="24"/>
                <w:lang w:val="en-US" w:eastAsia="zh-CN"/>
              </w:rPr>
              <w:t>云南部分</w:t>
            </w:r>
            <w:r>
              <w:rPr>
                <w:rFonts w:hint="default" w:ascii="Times New Roman" w:hAnsi="Times New Roman" w:eastAsia="宋体" w:cs="Times New Roman"/>
                <w:color w:val="auto"/>
                <w:sz w:val="24"/>
                <w:szCs w:val="24"/>
                <w:lang w:val="en-US" w:eastAsia="zh-CN"/>
              </w:rPr>
              <w:t>）水环境保护分区位置关系图</w:t>
            </w:r>
            <w:r>
              <w:rPr>
                <w:rFonts w:hint="eastAsia" w:eastAsia="宋体" w:cs="Times New Roman"/>
                <w:color w:val="auto"/>
                <w:sz w:val="24"/>
                <w:szCs w:val="24"/>
                <w:lang w:val="en-US" w:eastAsia="zh-CN"/>
              </w:rPr>
              <w:t>见附图6</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项目建设</w:t>
            </w:r>
            <w:r>
              <w:rPr>
                <w:rFonts w:hint="default" w:ascii="Times New Roman" w:hAnsi="Times New Roman" w:eastAsia="宋体" w:cs="Times New Roman"/>
                <w:b w:val="0"/>
                <w:bCs w:val="0"/>
                <w:color w:val="auto"/>
                <w:kern w:val="0"/>
                <w:sz w:val="24"/>
                <w:szCs w:val="24"/>
                <w:lang w:val="en-US" w:eastAsia="zh-CN"/>
              </w:rPr>
              <w:t>与</w:t>
            </w:r>
            <w:r>
              <w:rPr>
                <w:rFonts w:hint="default" w:ascii="Times New Roman" w:hAnsi="Times New Roman" w:eastAsia="宋体" w:cs="Times New Roman"/>
                <w:b w:val="0"/>
                <w:bCs w:val="0"/>
                <w:color w:val="auto"/>
                <w:kern w:val="0"/>
                <w:sz w:val="24"/>
                <w:szCs w:val="24"/>
              </w:rPr>
              <w:t>《</w:t>
            </w:r>
            <w:r>
              <w:rPr>
                <w:rFonts w:hint="default" w:ascii="Times New Roman" w:hAnsi="Times New Roman" w:eastAsia="宋体" w:cs="Times New Roman"/>
                <w:b w:val="0"/>
                <w:bCs w:val="0"/>
                <w:color w:val="auto"/>
                <w:sz w:val="24"/>
                <w:szCs w:val="24"/>
                <w:highlight w:val="none"/>
                <w:lang w:val="en-US" w:eastAsia="zh-CN"/>
              </w:rPr>
              <w:t>牛栏江流域（云南部分）水环境保护规划（2009~2030）</w:t>
            </w:r>
            <w:r>
              <w:rPr>
                <w:rFonts w:hint="default" w:ascii="Times New Roman" w:hAnsi="Times New Roman" w:eastAsia="宋体" w:cs="Times New Roman"/>
                <w:b w:val="0"/>
                <w:bCs w:val="0"/>
                <w:color w:val="auto"/>
                <w:kern w:val="0"/>
                <w:sz w:val="24"/>
                <w:szCs w:val="24"/>
              </w:rPr>
              <w:t>》</w:t>
            </w:r>
            <w:r>
              <w:rPr>
                <w:rFonts w:hint="default" w:ascii="Times New Roman" w:hAnsi="Times New Roman" w:eastAsia="宋体" w:cs="Times New Roman"/>
                <w:b w:val="0"/>
                <w:bCs w:val="0"/>
                <w:color w:val="auto"/>
                <w:kern w:val="0"/>
                <w:sz w:val="24"/>
                <w:szCs w:val="24"/>
                <w:lang w:eastAsia="zh-CN"/>
              </w:rPr>
              <w:t>符合性分析如下</w:t>
            </w:r>
            <w:r>
              <w:rPr>
                <w:rFonts w:hint="default" w:ascii="Times New Roman" w:hAnsi="Times New Roman" w:eastAsia="宋体" w:cs="Times New Roman"/>
                <w:b w:val="0"/>
                <w:bCs w:val="0"/>
                <w:color w:val="auto"/>
                <w:kern w:val="0"/>
                <w:sz w:val="24"/>
                <w:szCs w:val="24"/>
                <w:lang w:val="en-US" w:eastAsia="zh-CN"/>
              </w:rPr>
              <w:t>表所示</w:t>
            </w:r>
            <w:r>
              <w:rPr>
                <w:rFonts w:hint="default" w:ascii="Times New Roman" w:hAnsi="Times New Roman" w:eastAsia="宋体" w:cs="Times New Roman"/>
                <w:color w:val="auto"/>
                <w:kern w:val="0"/>
                <w:sz w:val="24"/>
                <w:szCs w:val="24"/>
              </w:rPr>
              <w:t>：</w:t>
            </w:r>
          </w:p>
          <w:p w14:paraId="1BA64A3A">
            <w:pPr>
              <w:pStyle w:val="22"/>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rPr>
              <w:t>表</w:t>
            </w:r>
            <w:r>
              <w:rPr>
                <w:rFonts w:hint="default" w:ascii="Times New Roman" w:hAnsi="Times New Roman" w:eastAsia="宋体" w:cs="Times New Roman"/>
                <w:b/>
                <w:bCs/>
                <w:color w:val="auto"/>
                <w:kern w:val="0"/>
                <w:sz w:val="21"/>
                <w:szCs w:val="21"/>
                <w:lang w:val="en-US" w:eastAsia="zh-CN"/>
              </w:rPr>
              <w:t>1</w:t>
            </w:r>
            <w:r>
              <w:rPr>
                <w:rFonts w:hint="default" w:ascii="Times New Roman" w:hAnsi="Times New Roman" w:eastAsia="宋体" w:cs="Times New Roman"/>
                <w:b/>
                <w:bCs/>
                <w:color w:val="auto"/>
                <w:kern w:val="0"/>
                <w:sz w:val="21"/>
                <w:szCs w:val="21"/>
              </w:rPr>
              <w:t>-</w:t>
            </w:r>
            <w:r>
              <w:rPr>
                <w:rFonts w:hint="eastAsia" w:cs="Times New Roman"/>
                <w:b/>
                <w:bCs/>
                <w:color w:val="auto"/>
                <w:kern w:val="0"/>
                <w:sz w:val="21"/>
                <w:szCs w:val="21"/>
                <w:lang w:val="en-US" w:eastAsia="zh-CN"/>
              </w:rPr>
              <w:t xml:space="preserve">8 </w:t>
            </w:r>
            <w:r>
              <w:rPr>
                <w:rFonts w:hint="default" w:ascii="Times New Roman" w:hAnsi="Times New Roman" w:eastAsia="宋体" w:cs="Times New Roman"/>
                <w:b/>
                <w:bCs/>
                <w:color w:val="auto"/>
                <w:kern w:val="0"/>
                <w:sz w:val="21"/>
                <w:szCs w:val="21"/>
              </w:rPr>
              <w:t xml:space="preserve"> </w:t>
            </w:r>
            <w:r>
              <w:rPr>
                <w:rFonts w:hint="default" w:ascii="Times New Roman" w:hAnsi="Times New Roman" w:eastAsia="宋体" w:cs="Times New Roman"/>
                <w:b/>
                <w:bCs/>
                <w:color w:val="auto"/>
                <w:kern w:val="0"/>
                <w:sz w:val="21"/>
                <w:szCs w:val="21"/>
                <w:lang w:val="en-US" w:eastAsia="zh-CN"/>
              </w:rPr>
              <w:t>项目与</w:t>
            </w:r>
            <w:r>
              <w:rPr>
                <w:rFonts w:hint="default" w:ascii="Times New Roman" w:hAnsi="Times New Roman" w:eastAsia="宋体" w:cs="Times New Roman"/>
                <w:b/>
                <w:color w:val="auto"/>
                <w:sz w:val="21"/>
                <w:szCs w:val="21"/>
                <w:highlight w:val="none"/>
                <w:lang w:val="en-US" w:eastAsia="zh-CN"/>
              </w:rPr>
              <w:t>《牛栏江流域（云南部分）水环境保护规划（2009~2030）》</w:t>
            </w:r>
            <w:r>
              <w:rPr>
                <w:rFonts w:hint="default" w:ascii="Times New Roman" w:hAnsi="Times New Roman" w:eastAsia="宋体" w:cs="Times New Roman"/>
                <w:b/>
                <w:bCs/>
                <w:color w:val="auto"/>
                <w:sz w:val="21"/>
                <w:szCs w:val="21"/>
              </w:rPr>
              <w:t>符合性</w:t>
            </w:r>
            <w:r>
              <w:rPr>
                <w:rFonts w:hint="default" w:ascii="Times New Roman" w:hAnsi="Times New Roman" w:eastAsia="宋体" w:cs="Times New Roman"/>
                <w:b/>
                <w:color w:val="auto"/>
                <w:sz w:val="21"/>
                <w:szCs w:val="21"/>
              </w:rPr>
              <w:t>分析</w:t>
            </w:r>
          </w:p>
          <w:tbl>
            <w:tblPr>
              <w:tblStyle w:val="3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3522"/>
              <w:gridCol w:w="2954"/>
              <w:gridCol w:w="797"/>
            </w:tblGrid>
            <w:tr w14:paraId="504A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90" w:type="pct"/>
                  <w:tcBorders>
                    <w:top w:val="single" w:color="auto" w:sz="4" w:space="0"/>
                    <w:left w:val="single" w:color="auto" w:sz="4" w:space="0"/>
                    <w:bottom w:val="single" w:color="auto" w:sz="4" w:space="0"/>
                    <w:right w:val="single" w:color="auto" w:sz="4" w:space="0"/>
                  </w:tcBorders>
                  <w:noWrap w:val="0"/>
                  <w:vAlign w:val="center"/>
                </w:tcPr>
                <w:p w14:paraId="18BECCA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2232" w:type="pct"/>
                  <w:tcBorders>
                    <w:top w:val="single" w:color="auto" w:sz="4" w:space="0"/>
                    <w:left w:val="single" w:color="auto" w:sz="4" w:space="0"/>
                    <w:bottom w:val="single" w:color="auto" w:sz="4" w:space="0"/>
                    <w:right w:val="single" w:color="auto" w:sz="4" w:space="0"/>
                  </w:tcBorders>
                  <w:noWrap w:val="0"/>
                  <w:vAlign w:val="center"/>
                </w:tcPr>
                <w:p w14:paraId="1709C51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《牛栏江流域（</w:t>
                  </w:r>
                  <w:r>
                    <w:rPr>
                      <w:rFonts w:hint="default" w:ascii="Times New Roman" w:hAnsi="Times New Roman" w:eastAsia="宋体" w:cs="Times New Roman"/>
                      <w:b/>
                      <w:bCs/>
                      <w:color w:val="auto"/>
                      <w:sz w:val="21"/>
                      <w:szCs w:val="21"/>
                      <w:lang w:eastAsia="zh-CN"/>
                    </w:rPr>
                    <w:t>云南</w:t>
                  </w:r>
                  <w:r>
                    <w:rPr>
                      <w:rFonts w:hint="default" w:ascii="Times New Roman" w:hAnsi="Times New Roman" w:eastAsia="宋体" w:cs="Times New Roman"/>
                      <w:b/>
                      <w:color w:val="auto"/>
                      <w:sz w:val="21"/>
                      <w:szCs w:val="21"/>
                      <w:highlight w:val="none"/>
                      <w:lang w:val="en-US" w:eastAsia="zh-CN"/>
                    </w:rPr>
                    <w:t>部分</w:t>
                  </w:r>
                  <w:r>
                    <w:rPr>
                      <w:rFonts w:hint="default" w:ascii="Times New Roman" w:hAnsi="Times New Roman" w:eastAsia="宋体" w:cs="Times New Roman"/>
                      <w:b/>
                      <w:bCs/>
                      <w:color w:val="auto"/>
                      <w:sz w:val="21"/>
                      <w:szCs w:val="21"/>
                    </w:rPr>
                    <w:t>）水环境保护规划</w:t>
                  </w:r>
                  <w:r>
                    <w:rPr>
                      <w:rFonts w:hint="default" w:ascii="Times New Roman" w:hAnsi="Times New Roman" w:eastAsia="宋体" w:cs="Times New Roman"/>
                      <w:b/>
                      <w:color w:val="auto"/>
                      <w:sz w:val="21"/>
                      <w:szCs w:val="21"/>
                      <w:highlight w:val="none"/>
                      <w:lang w:val="en-US" w:eastAsia="zh-CN"/>
                    </w:rPr>
                    <w:t>（2009~2030）</w:t>
                  </w:r>
                  <w:r>
                    <w:rPr>
                      <w:rFonts w:hint="default" w:ascii="Times New Roman" w:hAnsi="Times New Roman" w:eastAsia="宋体" w:cs="Times New Roman"/>
                      <w:b/>
                      <w:bCs/>
                      <w:color w:val="auto"/>
                      <w:sz w:val="21"/>
                      <w:szCs w:val="21"/>
                    </w:rPr>
                    <w:t>》</w:t>
                  </w:r>
                  <w:r>
                    <w:rPr>
                      <w:rFonts w:hint="default" w:ascii="Times New Roman" w:hAnsi="Times New Roman" w:eastAsia="宋体" w:cs="Times New Roman"/>
                      <w:b/>
                      <w:bCs/>
                      <w:color w:val="auto"/>
                      <w:sz w:val="21"/>
                      <w:szCs w:val="21"/>
                      <w:lang w:val="en-US" w:eastAsia="zh-CN"/>
                    </w:rPr>
                    <w:t>相关要求</w:t>
                  </w:r>
                </w:p>
              </w:tc>
              <w:tc>
                <w:tcPr>
                  <w:tcW w:w="1872" w:type="pct"/>
                  <w:tcBorders>
                    <w:top w:val="single" w:color="auto" w:sz="4" w:space="0"/>
                    <w:left w:val="single" w:color="auto" w:sz="4" w:space="0"/>
                    <w:bottom w:val="single" w:color="auto" w:sz="4" w:space="0"/>
                    <w:right w:val="single" w:color="auto" w:sz="4" w:space="0"/>
                  </w:tcBorders>
                  <w:noWrap w:val="0"/>
                  <w:vAlign w:val="center"/>
                </w:tcPr>
                <w:p w14:paraId="0BB2852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eastAsia="zh-CN"/>
                    </w:rPr>
                    <w:t>本</w:t>
                  </w:r>
                  <w:r>
                    <w:rPr>
                      <w:rFonts w:hint="default" w:ascii="Times New Roman" w:hAnsi="Times New Roman" w:eastAsia="宋体" w:cs="Times New Roman"/>
                      <w:b/>
                      <w:bCs/>
                      <w:color w:val="auto"/>
                      <w:sz w:val="21"/>
                      <w:szCs w:val="21"/>
                    </w:rPr>
                    <w:t>项目</w:t>
                  </w:r>
                  <w:r>
                    <w:rPr>
                      <w:rFonts w:hint="default" w:ascii="Times New Roman" w:hAnsi="Times New Roman" w:eastAsia="宋体" w:cs="Times New Roman"/>
                      <w:b/>
                      <w:bCs/>
                      <w:color w:val="auto"/>
                      <w:sz w:val="21"/>
                      <w:szCs w:val="21"/>
                      <w:lang w:val="en-US" w:eastAsia="zh-CN"/>
                    </w:rPr>
                    <w:t>实际</w:t>
                  </w:r>
                  <w:r>
                    <w:rPr>
                      <w:rFonts w:hint="default" w:ascii="Times New Roman" w:hAnsi="Times New Roman" w:eastAsia="宋体" w:cs="Times New Roman"/>
                      <w:b/>
                      <w:bCs/>
                      <w:color w:val="auto"/>
                      <w:sz w:val="21"/>
                      <w:szCs w:val="21"/>
                    </w:rPr>
                    <w:t>情况</w:t>
                  </w:r>
                </w:p>
              </w:tc>
              <w:tc>
                <w:tcPr>
                  <w:tcW w:w="505" w:type="pct"/>
                  <w:tcBorders>
                    <w:top w:val="single" w:color="auto" w:sz="4" w:space="0"/>
                    <w:left w:val="single" w:color="auto" w:sz="4" w:space="0"/>
                    <w:bottom w:val="single" w:color="auto" w:sz="4" w:space="0"/>
                    <w:right w:val="single" w:color="auto" w:sz="4" w:space="0"/>
                  </w:tcBorders>
                  <w:noWrap w:val="0"/>
                  <w:vAlign w:val="center"/>
                </w:tcPr>
                <w:p w14:paraId="10AAE66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105" w:leftChars="-50" w:right="-105" w:rightChars="-5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相符性</w:t>
                  </w:r>
                </w:p>
              </w:tc>
            </w:tr>
            <w:tr w14:paraId="42DA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390" w:type="pct"/>
                  <w:tcBorders>
                    <w:top w:val="single" w:color="auto" w:sz="4" w:space="0"/>
                    <w:left w:val="single" w:color="auto" w:sz="4" w:space="0"/>
                    <w:bottom w:val="single" w:color="auto" w:sz="4" w:space="0"/>
                    <w:right w:val="single" w:color="auto" w:sz="4" w:space="0"/>
                  </w:tcBorders>
                  <w:noWrap w:val="0"/>
                  <w:vAlign w:val="center"/>
                </w:tcPr>
                <w:p w14:paraId="47BADB3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1、严格环境准入</w:t>
                  </w:r>
                </w:p>
              </w:tc>
              <w:tc>
                <w:tcPr>
                  <w:tcW w:w="2232" w:type="pct"/>
                  <w:tcBorders>
                    <w:top w:val="single" w:color="auto" w:sz="4" w:space="0"/>
                    <w:left w:val="single" w:color="auto" w:sz="4" w:space="0"/>
                    <w:bottom w:val="single" w:color="auto" w:sz="4" w:space="0"/>
                    <w:right w:val="single" w:color="auto" w:sz="4" w:space="0"/>
                  </w:tcBorders>
                  <w:noWrap w:val="0"/>
                  <w:vAlign w:val="center"/>
                </w:tcPr>
                <w:p w14:paraId="217FA2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严格环境准入政策，</w:t>
                  </w:r>
                  <w:r>
                    <w:rPr>
                      <w:rFonts w:hint="eastAsia"/>
                      <w:color w:val="auto"/>
                      <w:sz w:val="21"/>
                      <w:szCs w:val="21"/>
                    </w:rPr>
                    <w:t>避免新污染物输入。</w:t>
                  </w:r>
                  <w:r>
                    <w:rPr>
                      <w:rFonts w:hint="default"/>
                      <w:color w:val="auto"/>
                      <w:sz w:val="21"/>
                      <w:szCs w:val="21"/>
                    </w:rPr>
                    <w:t>调水水源区不得建设不符合国家产业政策的工业项目及高污染工业项目</w:t>
                  </w:r>
                  <w:r>
                    <w:rPr>
                      <w:rFonts w:hint="eastAsia"/>
                      <w:color w:val="auto"/>
                      <w:sz w:val="21"/>
                      <w:szCs w:val="21"/>
                    </w:rPr>
                    <w:t>，包括</w:t>
                  </w:r>
                  <w:r>
                    <w:rPr>
                      <w:rFonts w:hint="default"/>
                      <w:color w:val="auto"/>
                      <w:sz w:val="21"/>
                      <w:szCs w:val="21"/>
                    </w:rPr>
                    <w:t>污染严重的钢铁、有色冶金、基础化工、农药、电镀、造纸制浆、制革、印染、石棉制品、土硫磺、土磷肥和染料等企业和项目；新建工业项目必须</w:t>
                  </w:r>
                  <w:r>
                    <w:rPr>
                      <w:rFonts w:hint="eastAsia"/>
                      <w:color w:val="auto"/>
                      <w:sz w:val="21"/>
                      <w:szCs w:val="21"/>
                    </w:rPr>
                    <w:t>进入工业园区或废水实现“零”排放</w:t>
                  </w:r>
                  <w:r>
                    <w:rPr>
                      <w:rFonts w:hint="default"/>
                      <w:color w:val="auto"/>
                      <w:sz w:val="21"/>
                      <w:szCs w:val="21"/>
                    </w:rPr>
                    <w:t>，改扩建项目不得新增</w:t>
                  </w:r>
                  <w:r>
                    <w:rPr>
                      <w:rFonts w:hint="eastAsia"/>
                      <w:color w:val="auto"/>
                      <w:sz w:val="21"/>
                      <w:szCs w:val="21"/>
                    </w:rPr>
                    <w:t>化学需氧量</w:t>
                  </w:r>
                  <w:r>
                    <w:rPr>
                      <w:rFonts w:hint="default"/>
                      <w:color w:val="auto"/>
                      <w:sz w:val="21"/>
                      <w:szCs w:val="21"/>
                    </w:rPr>
                    <w:t>、</w:t>
                  </w:r>
                  <w:r>
                    <w:rPr>
                      <w:rFonts w:hint="eastAsia"/>
                      <w:color w:val="auto"/>
                      <w:sz w:val="21"/>
                      <w:szCs w:val="21"/>
                    </w:rPr>
                    <w:t>总氮</w:t>
                  </w:r>
                  <w:r>
                    <w:rPr>
                      <w:rFonts w:hint="default"/>
                      <w:color w:val="auto"/>
                      <w:sz w:val="21"/>
                      <w:szCs w:val="21"/>
                    </w:rPr>
                    <w:t>、</w:t>
                  </w:r>
                  <w:r>
                    <w:rPr>
                      <w:rFonts w:hint="eastAsia"/>
                      <w:color w:val="auto"/>
                      <w:sz w:val="21"/>
                      <w:szCs w:val="21"/>
                    </w:rPr>
                    <w:t>总磷</w:t>
                  </w:r>
                  <w:r>
                    <w:rPr>
                      <w:rFonts w:hint="default"/>
                      <w:color w:val="auto"/>
                      <w:sz w:val="21"/>
                      <w:szCs w:val="21"/>
                    </w:rPr>
                    <w:t>排放量；新建、改建、扩建工业项目应采用先进的生产工艺和污染防治技术，其清洁生产水平应达到国家清洁生产标准中的国内先进水平。</w:t>
                  </w:r>
                  <w:r>
                    <w:rPr>
                      <w:rFonts w:hint="eastAsia"/>
                      <w:color w:val="auto"/>
                      <w:sz w:val="21"/>
                      <w:szCs w:val="21"/>
                    </w:rPr>
                    <w:t>下游区工业废水排水水质达标率在100%</w:t>
                  </w:r>
                  <w:r>
                    <w:rPr>
                      <w:rFonts w:hint="default" w:ascii="Times New Roman" w:hAnsi="Times New Roman" w:eastAsia="宋体" w:cs="Times New Roman"/>
                      <w:color w:val="auto"/>
                      <w:sz w:val="21"/>
                      <w:szCs w:val="21"/>
                    </w:rPr>
                    <w:t>。</w:t>
                  </w:r>
                </w:p>
              </w:tc>
              <w:tc>
                <w:tcPr>
                  <w:tcW w:w="1872" w:type="pct"/>
                  <w:tcBorders>
                    <w:top w:val="single" w:color="auto" w:sz="4" w:space="0"/>
                    <w:left w:val="single" w:color="auto" w:sz="4" w:space="0"/>
                    <w:bottom w:val="single" w:color="auto" w:sz="4" w:space="0"/>
                    <w:right w:val="single" w:color="auto" w:sz="4" w:space="0"/>
                  </w:tcBorders>
                  <w:noWrap w:val="0"/>
                  <w:vAlign w:val="center"/>
                </w:tcPr>
                <w:p w14:paraId="44B168C3">
                  <w:pPr>
                    <w:keepNext w:val="0"/>
                    <w:keepLines w:val="0"/>
                    <w:numPr>
                      <w:ilvl w:val="0"/>
                      <w:numId w:val="0"/>
                    </w:numPr>
                    <w:suppressLineNumbers w:val="0"/>
                    <w:spacing w:before="0" w:beforeAutospacing="0" w:after="0" w:afterAutospacing="0" w:line="240" w:lineRule="auto"/>
                    <w:ind w:left="0" w:right="0" w:rightChars="0"/>
                    <w:jc w:val="both"/>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项目位于寻甸特色产业园区金所片区，已取得园区入园许可，</w:t>
                  </w:r>
                  <w:r>
                    <w:rPr>
                      <w:rFonts w:hint="eastAsia"/>
                      <w:color w:val="auto"/>
                      <w:lang w:val="en-US" w:eastAsia="zh-CN"/>
                    </w:rPr>
                    <w:t>项目与园区规划相符。</w:t>
                  </w:r>
                  <w:r>
                    <w:rPr>
                      <w:rFonts w:hint="default" w:ascii="Times New Roman" w:hAnsi="Times New Roman" w:eastAsia="宋体" w:cs="Times New Roman"/>
                      <w:color w:val="auto"/>
                      <w:kern w:val="2"/>
                      <w:sz w:val="21"/>
                      <w:szCs w:val="24"/>
                      <w:lang w:val="en-US" w:eastAsia="zh-CN" w:bidi="ar-SA"/>
                    </w:rPr>
                    <w:t>项目为塑料</w:t>
                  </w:r>
                  <w:r>
                    <w:rPr>
                      <w:rFonts w:hint="eastAsia" w:cs="Times New Roman"/>
                      <w:color w:val="auto"/>
                      <w:kern w:val="2"/>
                      <w:sz w:val="21"/>
                      <w:szCs w:val="24"/>
                      <w:lang w:val="en-US" w:eastAsia="zh-CN" w:bidi="ar-SA"/>
                    </w:rPr>
                    <w:t>制品</w:t>
                  </w:r>
                  <w:r>
                    <w:rPr>
                      <w:rFonts w:hint="default" w:ascii="Times New Roman" w:hAnsi="Times New Roman" w:eastAsia="宋体" w:cs="Times New Roman"/>
                      <w:color w:val="auto"/>
                      <w:kern w:val="2"/>
                      <w:sz w:val="21"/>
                      <w:szCs w:val="24"/>
                      <w:lang w:val="en-US" w:eastAsia="zh-CN" w:bidi="ar-SA"/>
                    </w:rPr>
                    <w:t>生产，不属于钢铁、化工、电镀等高污染类项目，不属于《产业结构调整指导目录（2024年本）》限制、淘汰类，不在市场准入负面清单禁止准入范畴，符合国家产业政策；项目冷却水循环回用，</w:t>
                  </w:r>
                  <w:r>
                    <w:rPr>
                      <w:rFonts w:hint="eastAsia" w:cs="Times New Roman"/>
                      <w:color w:val="auto"/>
                      <w:kern w:val="2"/>
                      <w:sz w:val="21"/>
                      <w:szCs w:val="24"/>
                      <w:lang w:val="en-US" w:eastAsia="zh-CN" w:bidi="ar-SA"/>
                    </w:rPr>
                    <w:t>定期排污冷却废水、</w:t>
                  </w:r>
                  <w:r>
                    <w:rPr>
                      <w:rFonts w:hint="default" w:ascii="Times New Roman" w:hAnsi="Times New Roman" w:eastAsia="宋体" w:cs="Times New Roman"/>
                      <w:color w:val="auto"/>
                      <w:kern w:val="2"/>
                      <w:sz w:val="21"/>
                      <w:szCs w:val="24"/>
                      <w:lang w:val="en-US" w:eastAsia="zh-CN" w:bidi="ar-SA"/>
                    </w:rPr>
                    <w:t>生活污水依托鹏达冠得现有污水设施处理后回用于绿化、洒水，实现废水零排放；项目采用成熟先进生产工艺，清洁生产水平可达国内先进水平，不新增COD、总氮、总磷水污染物排放。</w:t>
                  </w:r>
                </w:p>
              </w:tc>
              <w:tc>
                <w:tcPr>
                  <w:tcW w:w="505" w:type="pct"/>
                  <w:tcBorders>
                    <w:top w:val="single" w:color="auto" w:sz="4" w:space="0"/>
                    <w:left w:val="single" w:color="auto" w:sz="4" w:space="0"/>
                    <w:bottom w:val="single" w:color="auto" w:sz="4" w:space="0"/>
                    <w:right w:val="single" w:color="auto" w:sz="4" w:space="0"/>
                  </w:tcBorders>
                  <w:noWrap w:val="0"/>
                  <w:vAlign w:val="center"/>
                </w:tcPr>
                <w:p w14:paraId="7B353AC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符合</w:t>
                  </w:r>
                </w:p>
              </w:tc>
            </w:tr>
            <w:tr w14:paraId="4BE3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0" w:type="auto"/>
                  <w:noWrap w:val="0"/>
                  <w:vAlign w:val="center"/>
                </w:tcPr>
                <w:p w14:paraId="5113026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2、</w:t>
                  </w:r>
                  <w:r>
                    <w:rPr>
                      <w:rFonts w:hint="default" w:ascii="Times New Roman" w:hAnsi="Times New Roman" w:eastAsia="宋体" w:cs="Times New Roman"/>
                      <w:color w:val="auto"/>
                      <w:kern w:val="0"/>
                      <w:sz w:val="20"/>
                      <w:szCs w:val="20"/>
                      <w:lang w:val="en-US" w:eastAsia="zh-CN" w:bidi="ar"/>
                    </w:rPr>
                    <w:t>严格工业固体废弃物的管理</w:t>
                  </w:r>
                </w:p>
              </w:tc>
              <w:tc>
                <w:tcPr>
                  <w:tcW w:w="2232" w:type="pct"/>
                  <w:noWrap w:val="0"/>
                  <w:vAlign w:val="center"/>
                </w:tcPr>
                <w:p w14:paraId="00371DD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0"/>
                      <w:szCs w:val="20"/>
                      <w:lang w:val="en-US" w:eastAsia="zh-CN" w:bidi="ar"/>
                    </w:rPr>
                    <w:t>严格工业固体废弃物管理，实现固体废弃物安全处置。调水水源区内所有排放固体废弃物的企业，按国家有关固体废弃物安全处置的要求，对现有固体废弃物堆场进行安全处置，特别是磷化工企业固体废弃物的安全处置。新建固体废弃物堆场必须达到国家有关固体废弃物安全处置的要求。</w:t>
                  </w:r>
                </w:p>
              </w:tc>
              <w:tc>
                <w:tcPr>
                  <w:tcW w:w="1872" w:type="pct"/>
                  <w:noWrap w:val="0"/>
                  <w:vAlign w:val="center"/>
                </w:tcPr>
                <w:p w14:paraId="046BBD7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0"/>
                      <w:sz w:val="21"/>
                      <w:szCs w:val="21"/>
                      <w:lang w:val="en-US" w:eastAsia="zh-CN" w:bidi="ar"/>
                    </w:rPr>
                    <w:t>项目产生的固废</w:t>
                  </w:r>
                  <w:r>
                    <w:rPr>
                      <w:rFonts w:hint="eastAsia" w:cs="Times New Roman"/>
                      <w:color w:val="auto"/>
                      <w:kern w:val="0"/>
                      <w:sz w:val="21"/>
                      <w:szCs w:val="21"/>
                      <w:lang w:val="en-US" w:eastAsia="zh-CN" w:bidi="ar"/>
                    </w:rPr>
                    <w:t>处置率</w:t>
                  </w:r>
                  <w:r>
                    <w:rPr>
                      <w:rFonts w:hint="default" w:ascii="Times New Roman" w:hAnsi="Times New Roman" w:eastAsia="宋体" w:cs="Times New Roman"/>
                      <w:color w:val="auto"/>
                      <w:kern w:val="0"/>
                      <w:sz w:val="21"/>
                      <w:szCs w:val="21"/>
                      <w:lang w:val="en-US" w:eastAsia="zh-CN" w:bidi="ar"/>
                    </w:rPr>
                    <w:t>100%。废包装袋外售废品回收站，不合格品作为原料回用于生产，废润滑油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default" w:ascii="Times New Roman" w:hAnsi="Times New Roman" w:eastAsia="宋体" w:cs="Times New Roman"/>
                      <w:color w:val="auto"/>
                      <w:kern w:val="0"/>
                      <w:sz w:val="21"/>
                      <w:szCs w:val="21"/>
                      <w:lang w:val="en-US" w:eastAsia="zh-CN" w:bidi="ar"/>
                    </w:rPr>
                    <w:t>集中收集后暂存于</w:t>
                  </w:r>
                  <w:r>
                    <w:rPr>
                      <w:rFonts w:hint="eastAsia" w:cs="Times New Roman"/>
                      <w:color w:val="auto"/>
                      <w:kern w:val="0"/>
                      <w:sz w:val="21"/>
                      <w:szCs w:val="21"/>
                      <w:lang w:val="en-US" w:eastAsia="zh-CN" w:bidi="ar"/>
                    </w:rPr>
                    <w:t>危废贮存库</w:t>
                  </w:r>
                  <w:r>
                    <w:rPr>
                      <w:rFonts w:hint="default" w:ascii="Times New Roman" w:hAnsi="Times New Roman" w:eastAsia="宋体" w:cs="Times New Roman"/>
                      <w:color w:val="auto"/>
                      <w:kern w:val="0"/>
                      <w:sz w:val="21"/>
                      <w:szCs w:val="21"/>
                      <w:lang w:val="en-US" w:eastAsia="zh-CN" w:bidi="ar"/>
                    </w:rPr>
                    <w:t>内暂存，后定期委托具有危险废物处理资质单位清运处置。</w:t>
                  </w:r>
                </w:p>
              </w:tc>
              <w:tc>
                <w:tcPr>
                  <w:tcW w:w="0" w:type="auto"/>
                  <w:noWrap w:val="0"/>
                  <w:vAlign w:val="center"/>
                </w:tcPr>
                <w:p w14:paraId="39F8CE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符合</w:t>
                  </w:r>
                </w:p>
              </w:tc>
            </w:tr>
            <w:tr w14:paraId="6A79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0" w:type="auto"/>
                  <w:noWrap w:val="0"/>
                  <w:vAlign w:val="center"/>
                </w:tcPr>
                <w:p w14:paraId="0DC33BC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0"/>
                      <w:szCs w:val="20"/>
                      <w:lang w:val="en-US" w:eastAsia="zh-CN" w:bidi="ar"/>
                    </w:rPr>
                  </w:pPr>
                  <w:r>
                    <w:rPr>
                      <w:rFonts w:hint="default" w:ascii="Times New Roman" w:hAnsi="Times New Roman" w:eastAsia="宋体" w:cs="Times New Roman"/>
                      <w:color w:val="auto"/>
                      <w:szCs w:val="21"/>
                      <w:lang w:val="en-US" w:eastAsia="zh-CN"/>
                    </w:rPr>
                    <w:t>3、</w:t>
                  </w:r>
                  <w:r>
                    <w:rPr>
                      <w:rFonts w:hint="default" w:ascii="Times New Roman" w:hAnsi="Times New Roman" w:eastAsia="宋体" w:cs="Times New Roman"/>
                      <w:color w:val="auto"/>
                      <w:kern w:val="0"/>
                      <w:sz w:val="20"/>
                      <w:szCs w:val="20"/>
                      <w:lang w:val="en-US" w:eastAsia="zh-CN" w:bidi="ar"/>
                    </w:rPr>
                    <w:t>实施强制清洁审核，鼓励发展循环经济</w:t>
                  </w:r>
                </w:p>
              </w:tc>
              <w:tc>
                <w:tcPr>
                  <w:tcW w:w="2232" w:type="pct"/>
                  <w:noWrap w:val="0"/>
                  <w:vAlign w:val="center"/>
                </w:tcPr>
                <w:p w14:paraId="7E236AE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0"/>
                      <w:szCs w:val="20"/>
                      <w:lang w:val="en-US" w:eastAsia="zh-CN" w:bidi="ar"/>
                    </w:rPr>
                    <w:t>实施强制性清洁生产审核。对调水水源区内现有排放废水和废渣的重点工业企业实施强制性清洁生产审核，按清洁生产审核结果限期进行整改，并通过验收，对未开展工作企业的依法进行处罚。发展循环经济和低碳经济。鼓励在流域内发展循环经济和低碳经济，建设环境友好型企业，减少污染物排放。</w:t>
                  </w:r>
                </w:p>
              </w:tc>
              <w:tc>
                <w:tcPr>
                  <w:tcW w:w="1872" w:type="pct"/>
                  <w:noWrap w:val="0"/>
                  <w:vAlign w:val="center"/>
                </w:tcPr>
                <w:p w14:paraId="391834A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0"/>
                      <w:sz w:val="21"/>
                      <w:szCs w:val="21"/>
                      <w:lang w:val="en-US" w:eastAsia="zh-CN" w:bidi="ar"/>
                    </w:rPr>
                    <w:t>项目</w:t>
                  </w:r>
                  <w:r>
                    <w:rPr>
                      <w:rFonts w:hint="eastAsia" w:cs="Times New Roman"/>
                      <w:color w:val="auto"/>
                      <w:kern w:val="0"/>
                      <w:sz w:val="21"/>
                      <w:szCs w:val="21"/>
                      <w:lang w:val="en-US" w:eastAsia="zh-CN" w:bidi="ar"/>
                    </w:rPr>
                    <w:t>间接</w:t>
                  </w:r>
                  <w:r>
                    <w:rPr>
                      <w:rFonts w:hint="default" w:ascii="Times New Roman" w:hAnsi="Times New Roman" w:eastAsia="宋体" w:cs="Times New Roman"/>
                      <w:color w:val="auto"/>
                      <w:kern w:val="0"/>
                      <w:sz w:val="21"/>
                      <w:szCs w:val="21"/>
                      <w:lang w:val="en-US" w:eastAsia="zh-CN" w:bidi="ar"/>
                    </w:rPr>
                    <w:t>冷却循环</w:t>
                  </w:r>
                  <w:r>
                    <w:rPr>
                      <w:rFonts w:hint="eastAsia" w:cs="Times New Roman"/>
                      <w:color w:val="auto"/>
                      <w:kern w:val="0"/>
                      <w:sz w:val="21"/>
                      <w:szCs w:val="21"/>
                      <w:lang w:val="en-US" w:eastAsia="zh-CN" w:bidi="ar"/>
                    </w:rPr>
                    <w:t>废水、</w:t>
                  </w:r>
                  <w:r>
                    <w:rPr>
                      <w:rFonts w:hint="default" w:ascii="Times New Roman" w:hAnsi="Times New Roman" w:eastAsia="宋体" w:cs="Times New Roman"/>
                      <w:color w:val="auto"/>
                      <w:kern w:val="0"/>
                      <w:sz w:val="21"/>
                      <w:szCs w:val="21"/>
                      <w:lang w:val="en-US" w:eastAsia="zh-CN" w:bidi="ar"/>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绿化浇灌及道路洒水，不外排，项目废水“零排放”，项目运营期产生的“三废”通过采取本报告提出的措施处理后各污染物可达标排放，项目实施清洁生产。项目固废进行资源化、无害化处理。</w:t>
                  </w:r>
                </w:p>
              </w:tc>
              <w:tc>
                <w:tcPr>
                  <w:tcW w:w="0" w:type="auto"/>
                  <w:noWrap w:val="0"/>
                  <w:vAlign w:val="center"/>
                </w:tcPr>
                <w:p w14:paraId="3BE3C6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符合</w:t>
                  </w:r>
                </w:p>
              </w:tc>
            </w:tr>
            <w:tr w14:paraId="71A5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0" w:type="auto"/>
                  <w:noWrap w:val="0"/>
                  <w:vAlign w:val="center"/>
                </w:tcPr>
                <w:p w14:paraId="13484FB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kern w:val="0"/>
                      <w:sz w:val="21"/>
                      <w:szCs w:val="21"/>
                      <w:lang w:val="en-US" w:eastAsia="zh-CN" w:bidi="ar"/>
                    </w:rPr>
                    <w:t>加强重点工业污染源的监控</w:t>
                  </w:r>
                </w:p>
              </w:tc>
              <w:tc>
                <w:tcPr>
                  <w:tcW w:w="2232" w:type="pct"/>
                  <w:noWrap w:val="0"/>
                  <w:vAlign w:val="center"/>
                </w:tcPr>
                <w:p w14:paraId="5EF4BD7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加强重点工业污染源的监控。强化调水水源区内149家（官渡区6家，嵩明县82家，寻甸县23家，马龙县38家）废水产生企业的环境监察和监控，安装水污染源在线监测监控装置，并对50家主要废水产生企业和49家主要废水排放工业企业进行经常性不定期监察和监测，对违法排污行为依法从重处罚，直至关停。</w:t>
                  </w:r>
                </w:p>
              </w:tc>
              <w:tc>
                <w:tcPr>
                  <w:tcW w:w="1872" w:type="pct"/>
                  <w:noWrap w:val="0"/>
                  <w:vAlign w:val="center"/>
                </w:tcPr>
                <w:p w14:paraId="56DD946E">
                  <w:pPr>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sz w:val="21"/>
                      <w:szCs w:val="21"/>
                      <w:highlight w:val="none"/>
                      <w:lang w:val="en-US" w:eastAsia="zh-CN"/>
                    </w:rPr>
                    <w:t>项目</w:t>
                  </w:r>
                  <w:r>
                    <w:rPr>
                      <w:rFonts w:hint="eastAsia" w:cs="Times New Roman"/>
                      <w:color w:val="auto"/>
                      <w:kern w:val="0"/>
                      <w:sz w:val="21"/>
                      <w:szCs w:val="21"/>
                      <w:lang w:val="en-US" w:eastAsia="zh-CN" w:bidi="ar"/>
                    </w:rPr>
                    <w:t>间接</w:t>
                  </w:r>
                  <w:r>
                    <w:rPr>
                      <w:rFonts w:hint="default" w:ascii="Times New Roman" w:hAnsi="Times New Roman" w:eastAsia="宋体" w:cs="Times New Roman"/>
                      <w:color w:val="auto"/>
                      <w:kern w:val="0"/>
                      <w:sz w:val="21"/>
                      <w:szCs w:val="21"/>
                      <w:lang w:val="en-US" w:eastAsia="zh-CN" w:bidi="ar"/>
                    </w:rPr>
                    <w:t>冷却循环</w:t>
                  </w:r>
                  <w:r>
                    <w:rPr>
                      <w:rFonts w:hint="eastAsia" w:cs="Times New Roman"/>
                      <w:color w:val="auto"/>
                      <w:kern w:val="0"/>
                      <w:sz w:val="21"/>
                      <w:szCs w:val="21"/>
                      <w:lang w:val="en-US" w:eastAsia="zh-CN" w:bidi="ar"/>
                    </w:rPr>
                    <w:t>废水</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sz w:val="21"/>
                      <w:szCs w:val="21"/>
                      <w:highlight w:val="none"/>
                      <w:lang w:val="en-US" w:eastAsia="zh-CN"/>
                    </w:rPr>
                    <w:t>生活污水依托</w:t>
                  </w:r>
                  <w:r>
                    <w:rPr>
                      <w:rFonts w:hint="default" w:ascii="Times New Roman" w:hAnsi="Times New Roman" w:eastAsia="宋体" w:cs="Times New Roman"/>
                      <w:caps w:val="0"/>
                      <w:smallCaps w:val="0"/>
                      <w:color w:val="auto"/>
                      <w:kern w:val="2"/>
                      <w:sz w:val="21"/>
                      <w:szCs w:val="21"/>
                      <w:highlight w:val="none"/>
                      <w:lang w:val="en-US" w:eastAsia="zh-CN" w:bidi="ar-SA"/>
                    </w:rPr>
                    <w:t>云南鹏达冠得有限公司</w:t>
                  </w:r>
                  <w:r>
                    <w:rPr>
                      <w:rFonts w:hint="default" w:ascii="Times New Roman" w:hAnsi="Times New Roman" w:eastAsia="宋体" w:cs="Times New Roman"/>
                      <w:color w:val="auto"/>
                      <w:sz w:val="21"/>
                      <w:szCs w:val="21"/>
                      <w:highlight w:val="none"/>
                      <w:lang w:val="en-US" w:eastAsia="zh-CN"/>
                    </w:rPr>
                    <w:t>已建污水处理系统</w:t>
                  </w:r>
                  <w:r>
                    <w:rPr>
                      <w:rFonts w:hint="default" w:ascii="Times New Roman" w:hAnsi="Times New Roman" w:eastAsia="宋体" w:cs="Times New Roman"/>
                      <w:color w:val="auto"/>
                      <w:kern w:val="0"/>
                      <w:sz w:val="21"/>
                      <w:szCs w:val="21"/>
                      <w:highlight w:val="none"/>
                      <w:lang w:val="en-US" w:eastAsia="zh-CN" w:bidi="ar"/>
                    </w:rPr>
                    <w:t>处</w:t>
                  </w:r>
                  <w:r>
                    <w:rPr>
                      <w:rFonts w:hint="default" w:ascii="Times New Roman" w:hAnsi="Times New Roman" w:eastAsia="宋体" w:cs="Times New Roman"/>
                      <w:color w:val="auto"/>
                      <w:kern w:val="0"/>
                      <w:sz w:val="21"/>
                      <w:szCs w:val="21"/>
                      <w:lang w:val="en-US" w:eastAsia="zh-CN" w:bidi="ar"/>
                    </w:rPr>
                    <w:t>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绿化浇灌及道路洒水，不外</w:t>
                  </w:r>
                  <w:r>
                    <w:rPr>
                      <w:rFonts w:hint="default" w:ascii="Times New Roman" w:hAnsi="Times New Roman" w:eastAsia="宋体" w:cs="Times New Roman"/>
                      <w:color w:val="auto"/>
                      <w:kern w:val="0"/>
                      <w:sz w:val="21"/>
                      <w:szCs w:val="21"/>
                      <w:highlight w:val="none"/>
                      <w:lang w:val="en-US" w:eastAsia="zh-CN" w:bidi="ar"/>
                    </w:rPr>
                    <w:t>排</w:t>
                  </w:r>
                  <w:r>
                    <w:rPr>
                      <w:rFonts w:hint="default" w:ascii="Times New Roman" w:hAnsi="Times New Roman" w:eastAsia="宋体" w:cs="Times New Roman"/>
                      <w:color w:val="auto"/>
                      <w:sz w:val="21"/>
                      <w:szCs w:val="21"/>
                      <w:highlight w:val="none"/>
                      <w:lang w:val="en-US" w:eastAsia="zh-CN"/>
                    </w:rPr>
                    <w:t>，项目废水“零排放”，且建设单位不在重点废水产生及排放企业名单之列。</w:t>
                  </w:r>
                </w:p>
              </w:tc>
              <w:tc>
                <w:tcPr>
                  <w:tcW w:w="0" w:type="auto"/>
                  <w:noWrap w:val="0"/>
                  <w:vAlign w:val="center"/>
                </w:tcPr>
                <w:p w14:paraId="4AFBC83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符合</w:t>
                  </w:r>
                </w:p>
              </w:tc>
            </w:tr>
            <w:tr w14:paraId="5A08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0" w:type="auto"/>
                  <w:noWrap w:val="0"/>
                  <w:vAlign w:val="center"/>
                </w:tcPr>
                <w:p w14:paraId="1C4A362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5、强化工业园区环境管理</w:t>
                  </w:r>
                </w:p>
              </w:tc>
              <w:tc>
                <w:tcPr>
                  <w:tcW w:w="2232" w:type="pct"/>
                  <w:noWrap w:val="0"/>
                  <w:vAlign w:val="center"/>
                </w:tcPr>
                <w:p w14:paraId="4E4AD9B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对园区内各企业实现“雨污分流”，污水处理厂出水水质达到园区污水处理厂的进水水质要求，园区污水处理厂的出水水质必须达到再生水处理系统的进水水质，再生水处理系统出水水质必须达到回用水水质。</w:t>
                  </w:r>
                </w:p>
              </w:tc>
              <w:tc>
                <w:tcPr>
                  <w:tcW w:w="1872" w:type="pct"/>
                  <w:noWrap w:val="0"/>
                  <w:vAlign w:val="center"/>
                </w:tcPr>
                <w:p w14:paraId="68E042D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0"/>
                      <w:sz w:val="21"/>
                      <w:szCs w:val="21"/>
                      <w:lang w:val="en-US" w:eastAsia="zh-CN" w:bidi="ar"/>
                    </w:rPr>
                    <w:t>项目实施雨污分流，</w:t>
                  </w:r>
                  <w:r>
                    <w:rPr>
                      <w:rFonts w:hint="default" w:ascii="Times New Roman" w:hAnsi="Times New Roman" w:eastAsia="宋体" w:cs="Times New Roman"/>
                      <w:b w:val="0"/>
                      <w:bCs w:val="0"/>
                      <w:color w:val="auto"/>
                      <w:sz w:val="21"/>
                      <w:szCs w:val="21"/>
                      <w:highlight w:val="none"/>
                      <w:lang w:val="en-US" w:eastAsia="zh-CN"/>
                    </w:rPr>
                    <w:t>雨水经厂区雨水管收集后排入市政雨水管网</w:t>
                  </w:r>
                  <w:r>
                    <w:rPr>
                      <w:rFonts w:hint="default" w:ascii="Times New Roman" w:hAnsi="Times New Roman" w:eastAsia="宋体" w:cs="Times New Roman"/>
                      <w:color w:val="auto"/>
                      <w:sz w:val="21"/>
                      <w:szCs w:val="21"/>
                      <w:highlight w:val="none"/>
                    </w:rPr>
                    <w:t>。项目生产过程中</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default" w:ascii="Times New Roman" w:hAnsi="Times New Roman" w:eastAsia="宋体" w:cs="Times New Roman"/>
                      <w:color w:val="auto"/>
                      <w:sz w:val="21"/>
                      <w:szCs w:val="21"/>
                      <w:highlight w:val="none"/>
                    </w:rPr>
                    <w:t>，不外排</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sz w:val="21"/>
                      <w:szCs w:val="21"/>
                      <w:highlight w:val="none"/>
                    </w:rPr>
                    <w:t>生活污水</w:t>
                  </w:r>
                  <w:r>
                    <w:rPr>
                      <w:rFonts w:hint="default" w:ascii="Times New Roman" w:hAnsi="Times New Roman" w:eastAsia="宋体" w:cs="Times New Roman"/>
                      <w:color w:val="auto"/>
                      <w:sz w:val="21"/>
                      <w:szCs w:val="21"/>
                      <w:highlight w:val="none"/>
                      <w:lang w:val="en-US" w:eastAsia="zh-CN"/>
                    </w:rPr>
                    <w:t>依托</w:t>
                  </w:r>
                  <w:r>
                    <w:rPr>
                      <w:rFonts w:hint="default" w:ascii="Times New Roman" w:hAnsi="Times New Roman" w:eastAsia="宋体" w:cs="Times New Roman"/>
                      <w:caps w:val="0"/>
                      <w:smallCaps w:val="0"/>
                      <w:color w:val="auto"/>
                      <w:kern w:val="2"/>
                      <w:sz w:val="21"/>
                      <w:szCs w:val="21"/>
                      <w:highlight w:val="none"/>
                      <w:lang w:val="en-US" w:eastAsia="zh-CN" w:bidi="ar-SA"/>
                    </w:rPr>
                    <w:t>云南鹏达冠得有限公司</w:t>
                  </w:r>
                  <w:r>
                    <w:rPr>
                      <w:rFonts w:hint="default" w:ascii="Times New Roman" w:hAnsi="Times New Roman" w:eastAsia="宋体" w:cs="Times New Roman"/>
                      <w:color w:val="auto"/>
                      <w:sz w:val="21"/>
                      <w:szCs w:val="21"/>
                      <w:highlight w:val="none"/>
                      <w:lang w:val="en-US" w:eastAsia="zh-CN"/>
                    </w:rPr>
                    <w:t>已建污水处理系统（化粪池+</w:t>
                  </w:r>
                  <w:r>
                    <w:rPr>
                      <w:rFonts w:hint="default" w:ascii="Times New Roman" w:hAnsi="Times New Roman" w:eastAsia="宋体" w:cs="Times New Roman"/>
                      <w:color w:val="auto"/>
                      <w:kern w:val="0"/>
                      <w:sz w:val="21"/>
                      <w:szCs w:val="21"/>
                      <w:highlight w:val="none"/>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bidi="ar"/>
                    </w:rPr>
                    <w:t>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default" w:ascii="Times New Roman" w:hAnsi="Times New Roman" w:eastAsia="宋体" w:cs="Times New Roman"/>
                      <w:color w:val="auto"/>
                      <w:sz w:val="21"/>
                      <w:szCs w:val="21"/>
                      <w:highlight w:val="none"/>
                    </w:rPr>
                    <w:t>，不外排</w:t>
                  </w:r>
                  <w:r>
                    <w:rPr>
                      <w:rFonts w:hint="default" w:ascii="Times New Roman" w:hAnsi="Times New Roman" w:eastAsia="宋体" w:cs="Times New Roman"/>
                      <w:color w:val="auto"/>
                      <w:kern w:val="0"/>
                      <w:sz w:val="21"/>
                      <w:szCs w:val="21"/>
                      <w:highlight w:val="none"/>
                      <w:lang w:val="en-US" w:eastAsia="zh-CN" w:bidi="ar"/>
                    </w:rPr>
                    <w:t>，项目废水“零排放”。</w:t>
                  </w:r>
                </w:p>
              </w:tc>
              <w:tc>
                <w:tcPr>
                  <w:tcW w:w="0" w:type="auto"/>
                  <w:noWrap w:val="0"/>
                  <w:vAlign w:val="center"/>
                </w:tcPr>
                <w:p w14:paraId="1997ED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符合</w:t>
                  </w:r>
                </w:p>
              </w:tc>
            </w:tr>
            <w:tr w14:paraId="2883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0" w:type="auto"/>
                  <w:noWrap w:val="0"/>
                  <w:vAlign w:val="center"/>
                </w:tcPr>
                <w:p w14:paraId="5D6EE19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kern w:val="0"/>
                      <w:sz w:val="21"/>
                      <w:szCs w:val="21"/>
                      <w:lang w:val="en-US" w:eastAsia="zh-CN" w:bidi="ar"/>
                    </w:rPr>
                    <w:t>加强企业执法监督力度</w:t>
                  </w:r>
                </w:p>
              </w:tc>
              <w:tc>
                <w:tcPr>
                  <w:tcW w:w="2232" w:type="pct"/>
                  <w:noWrap w:val="0"/>
                  <w:vAlign w:val="center"/>
                </w:tcPr>
                <w:p w14:paraId="7529488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增加对产污企业的执法监督频次，对污水处理设施运行、应急处理设施等重点环节要严把监督关，杜绝偷排漏排现象。对有偷排漏排等行为的企业，加大处罚力度，直至停产整顿或关闭。对造成环境危害的单位要依法追究责任。</w:t>
                  </w:r>
                </w:p>
              </w:tc>
              <w:tc>
                <w:tcPr>
                  <w:tcW w:w="1872" w:type="pct"/>
                  <w:noWrap w:val="0"/>
                  <w:vAlign w:val="center"/>
                </w:tcPr>
                <w:p w14:paraId="50233AA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b w:val="0"/>
                      <w:bCs w:val="0"/>
                      <w:color w:val="auto"/>
                      <w:sz w:val="21"/>
                      <w:szCs w:val="21"/>
                      <w:highlight w:val="none"/>
                      <w:lang w:val="en-US" w:eastAsia="zh-CN"/>
                    </w:rPr>
                    <w:t>本评价根据相关法规要求，提出后续排污许可管理、自行监测等环境管理要求；建设单位后续申领排污许可证，严格落实排污许可管理制度，按规范开展自行监测；加强厂区</w:t>
                  </w:r>
                  <w:r>
                    <w:rPr>
                      <w:rFonts w:hint="eastAsia" w:cs="Times New Roman"/>
                      <w:b w:val="0"/>
                      <w:bCs w:val="0"/>
                      <w:color w:val="auto"/>
                      <w:sz w:val="21"/>
                      <w:szCs w:val="21"/>
                      <w:highlight w:val="none"/>
                      <w:lang w:val="en-US" w:eastAsia="zh-CN"/>
                    </w:rPr>
                    <w:t>污水</w:t>
                  </w:r>
                  <w:r>
                    <w:rPr>
                      <w:rFonts w:hint="default" w:ascii="Times New Roman" w:hAnsi="Times New Roman" w:eastAsia="宋体" w:cs="Times New Roman"/>
                      <w:b w:val="0"/>
                      <w:bCs w:val="0"/>
                      <w:color w:val="auto"/>
                      <w:sz w:val="21"/>
                      <w:szCs w:val="21"/>
                      <w:highlight w:val="none"/>
                      <w:lang w:val="en-US" w:eastAsia="zh-CN"/>
                    </w:rPr>
                    <w:t>、废气治理设施日常运维管理，建立台账记录，杜绝偷排漏排行为，自觉接受生态环境主管部门监督检查。项目雨水经厂区雨水管网收集后排入市政雨水管网；</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default" w:ascii="Times New Roman" w:hAnsi="Times New Roman" w:eastAsia="宋体" w:cs="Times New Roman"/>
                      <w:b w:val="0"/>
                      <w:bCs w:val="0"/>
                      <w:color w:val="auto"/>
                      <w:sz w:val="21"/>
                      <w:szCs w:val="21"/>
                      <w:highlight w:val="none"/>
                      <w:lang w:val="en-US" w:eastAsia="zh-CN"/>
                    </w:rPr>
                    <w:t xml:space="preserve">；生活污水依托云南鹏达冠得有限公司已建污水处理系统处理后回用于绿化浇灌、道路洒水，实现废水“零排放” </w:t>
                  </w:r>
                  <w:r>
                    <w:rPr>
                      <w:rFonts w:hint="eastAsia" w:cs="Times New Roman"/>
                      <w:color w:val="auto"/>
                      <w:kern w:val="0"/>
                      <w:sz w:val="21"/>
                      <w:szCs w:val="21"/>
                      <w:lang w:val="en-US" w:eastAsia="zh-CN" w:bidi="ar"/>
                    </w:rPr>
                    <w:t>。</w:t>
                  </w:r>
                </w:p>
              </w:tc>
              <w:tc>
                <w:tcPr>
                  <w:tcW w:w="0" w:type="auto"/>
                  <w:noWrap w:val="0"/>
                  <w:vAlign w:val="center"/>
                </w:tcPr>
                <w:p w14:paraId="21BB0BE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符合</w:t>
                  </w:r>
                </w:p>
              </w:tc>
            </w:tr>
          </w:tbl>
          <w:p w14:paraId="6C407E2C">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color w:val="auto"/>
                <w:sz w:val="24"/>
                <w:szCs w:val="24"/>
              </w:rPr>
              <w:t>由上表可知，项目</w:t>
            </w:r>
            <w:r>
              <w:rPr>
                <w:rFonts w:hint="default" w:ascii="Times New Roman" w:hAnsi="Times New Roman" w:eastAsia="宋体" w:cs="Times New Roman"/>
                <w:b w:val="0"/>
                <w:bCs w:val="0"/>
                <w:color w:val="auto"/>
                <w:sz w:val="24"/>
                <w:szCs w:val="24"/>
              </w:rPr>
              <w:t>建设</w:t>
            </w:r>
            <w:r>
              <w:rPr>
                <w:rStyle w:val="46"/>
                <w:rFonts w:hint="default" w:ascii="Times New Roman" w:hAnsi="Times New Roman" w:eastAsia="宋体" w:cs="Times New Roman"/>
                <w:b w:val="0"/>
                <w:bCs w:val="0"/>
                <w:color w:val="auto"/>
                <w:sz w:val="24"/>
                <w:szCs w:val="24"/>
                <w:lang w:val="en-US" w:eastAsia="zh-CN"/>
              </w:rPr>
              <w:t>符合</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highlight w:val="none"/>
                <w:lang w:val="en-US" w:eastAsia="zh-CN"/>
              </w:rPr>
              <w:t>牛栏江流域（云南部分）水环境保护规划（2009~2030）</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lang w:val="en-US" w:eastAsia="zh-CN"/>
              </w:rPr>
              <w:t>要求</w:t>
            </w:r>
            <w:r>
              <w:rPr>
                <w:rFonts w:hint="default" w:ascii="Times New Roman" w:hAnsi="Times New Roman" w:eastAsia="宋体" w:cs="Times New Roman"/>
                <w:b w:val="0"/>
                <w:bCs w:val="0"/>
                <w:color w:val="auto"/>
                <w:sz w:val="24"/>
                <w:szCs w:val="24"/>
                <w:lang w:eastAsia="zh-CN"/>
              </w:rPr>
              <w:t>。</w:t>
            </w:r>
          </w:p>
          <w:p w14:paraId="5F5E72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kern w:val="0"/>
                <w:sz w:val="24"/>
                <w:szCs w:val="24"/>
                <w:lang w:val="en-US" w:eastAsia="zh-CN" w:bidi="ar"/>
              </w:rPr>
              <w:t>6、与</w:t>
            </w:r>
            <w:r>
              <w:rPr>
                <w:rFonts w:hint="default" w:ascii="Times New Roman" w:hAnsi="Times New Roman" w:eastAsia="宋体" w:cs="Times New Roman"/>
                <w:b/>
                <w:bCs/>
                <w:i w:val="0"/>
                <w:iCs w:val="0"/>
                <w:caps w:val="0"/>
                <w:color w:val="auto"/>
                <w:spacing w:val="0"/>
                <w:sz w:val="24"/>
                <w:szCs w:val="24"/>
                <w:shd w:val="clear" w:fill="FFFFFF"/>
              </w:rPr>
              <w:t>《牛栏江流域（昆明段）水污染防治工作方案》</w:t>
            </w:r>
            <w:r>
              <w:rPr>
                <w:rFonts w:hint="default" w:ascii="Times New Roman" w:hAnsi="Times New Roman" w:eastAsia="宋体" w:cs="Times New Roman"/>
                <w:b/>
                <w:bCs/>
                <w:i w:val="0"/>
                <w:iCs w:val="0"/>
                <w:caps w:val="0"/>
                <w:color w:val="auto"/>
                <w:spacing w:val="0"/>
                <w:sz w:val="24"/>
                <w:szCs w:val="24"/>
                <w:shd w:val="clear" w:fill="FFFFFF"/>
                <w:lang w:eastAsia="zh-CN"/>
              </w:rPr>
              <w:t>（</w:t>
            </w:r>
            <w:r>
              <w:rPr>
                <w:rStyle w:val="39"/>
                <w:rFonts w:hint="default" w:ascii="Times New Roman" w:hAnsi="Times New Roman" w:eastAsia="宋体" w:cs="Times New Roman"/>
                <w:b/>
                <w:bCs/>
                <w:i w:val="0"/>
                <w:iCs w:val="0"/>
                <w:caps w:val="0"/>
                <w:color w:val="auto"/>
                <w:spacing w:val="0"/>
                <w:sz w:val="24"/>
                <w:szCs w:val="24"/>
                <w:shd w:val="clear" w:fill="FFFFFF"/>
              </w:rPr>
              <w:t>昆政办〔2011〕33号</w:t>
            </w:r>
            <w:r>
              <w:rPr>
                <w:rFonts w:hint="default" w:ascii="Times New Roman" w:hAnsi="Times New Roman" w:eastAsia="宋体" w:cs="Times New Roman"/>
                <w:b/>
                <w:bCs/>
                <w:i w:val="0"/>
                <w:iCs w:val="0"/>
                <w:caps w:val="0"/>
                <w:color w:val="auto"/>
                <w:spacing w:val="0"/>
                <w:sz w:val="24"/>
                <w:szCs w:val="24"/>
                <w:shd w:val="clear" w:fill="FFFFFF"/>
                <w:lang w:eastAsia="zh-CN"/>
              </w:rPr>
              <w:t>）</w:t>
            </w:r>
            <w:r>
              <w:rPr>
                <w:rFonts w:hint="default" w:ascii="Times New Roman" w:hAnsi="Times New Roman" w:eastAsia="宋体" w:cs="Times New Roman"/>
                <w:b/>
                <w:bCs/>
                <w:color w:val="auto"/>
                <w:kern w:val="0"/>
                <w:sz w:val="24"/>
                <w:szCs w:val="24"/>
                <w:lang w:val="en-US" w:eastAsia="zh-CN" w:bidi="ar"/>
              </w:rPr>
              <w:t xml:space="preserve">符合性分析 </w:t>
            </w:r>
          </w:p>
          <w:p w14:paraId="1A7CA6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2011年3月10日，为进一步加大牛栏江流域（昆明段）水污染防治工作力度，切实改善牛栏江流域（昆明段）水环境质量，</w:t>
            </w:r>
            <w:r>
              <w:rPr>
                <w:rFonts w:hint="default" w:ascii="Times New Roman" w:hAnsi="Times New Roman" w:eastAsia="宋体" w:cs="Times New Roman"/>
                <w:i w:val="0"/>
                <w:iCs w:val="0"/>
                <w:caps w:val="0"/>
                <w:color w:val="auto"/>
                <w:spacing w:val="0"/>
                <w:sz w:val="24"/>
                <w:szCs w:val="24"/>
                <w:shd w:val="clear" w:fill="FFFFFF"/>
              </w:rPr>
              <w:t>按照《牛栏江流域（云南部分）水环境保护规划（2009—2030年）》</w:t>
            </w:r>
            <w:r>
              <w:rPr>
                <w:rFonts w:hint="default" w:ascii="Times New Roman" w:hAnsi="Times New Roman" w:eastAsia="宋体" w:cs="Times New Roman"/>
                <w:color w:val="auto"/>
                <w:kern w:val="0"/>
                <w:sz w:val="24"/>
                <w:szCs w:val="24"/>
                <w:lang w:val="en-US" w:eastAsia="zh-CN" w:bidi="ar"/>
              </w:rPr>
              <w:t>，昆明市人民政府办公厅制定并印发了《牛栏江流域（昆明段）水污染防治工作方案的通知》</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Style w:val="39"/>
                <w:rFonts w:hint="default" w:ascii="Times New Roman" w:hAnsi="Times New Roman" w:eastAsia="宋体" w:cs="Times New Roman"/>
                <w:b w:val="0"/>
                <w:bCs w:val="0"/>
                <w:i w:val="0"/>
                <w:iCs w:val="0"/>
                <w:caps w:val="0"/>
                <w:color w:val="auto"/>
                <w:spacing w:val="0"/>
                <w:sz w:val="24"/>
                <w:szCs w:val="24"/>
                <w:shd w:val="clear" w:fill="FFFFFF"/>
              </w:rPr>
              <w:t>昆政办〔2011〕33号</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color w:val="auto"/>
                <w:kern w:val="0"/>
                <w:sz w:val="24"/>
                <w:szCs w:val="24"/>
                <w:lang w:val="en-US" w:eastAsia="zh-CN" w:bidi="ar"/>
              </w:rPr>
              <w:t>。本项目</w:t>
            </w:r>
            <w:r>
              <w:rPr>
                <w:rFonts w:hint="eastAsia" w:ascii="Times New Roman" w:hAnsi="Times New Roman" w:eastAsia="宋体" w:cs="Times New Roman"/>
                <w:color w:val="auto"/>
                <w:kern w:val="0"/>
                <w:sz w:val="24"/>
                <w:szCs w:val="24"/>
                <w:lang w:val="en-US" w:eastAsia="zh-CN" w:bidi="ar"/>
              </w:rPr>
              <w:t>位于</w:t>
            </w:r>
            <w:r>
              <w:rPr>
                <w:rFonts w:hint="default" w:ascii="Times New Roman" w:hAnsi="Times New Roman" w:eastAsia="宋体" w:cs="Times New Roman"/>
                <w:color w:val="auto"/>
                <w:kern w:val="2"/>
                <w:sz w:val="24"/>
                <w:szCs w:val="24"/>
                <w:lang w:val="en-US" w:eastAsia="zh-CN" w:bidi="ar-SA"/>
              </w:rPr>
              <w:t>寻甸特色产业园区金所片区</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kern w:val="0"/>
                <w:sz w:val="24"/>
                <w:szCs w:val="24"/>
                <w:lang w:val="en-US" w:eastAsia="zh-CN" w:bidi="ar"/>
              </w:rPr>
              <w:t>属于牛栏江流域（昆明段）污染控制区。本项目与《牛栏江流域（昆明段）水污染防治工作方案的通知》</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Style w:val="39"/>
                <w:rFonts w:hint="default" w:ascii="Times New Roman" w:hAnsi="Times New Roman" w:eastAsia="宋体" w:cs="Times New Roman"/>
                <w:b w:val="0"/>
                <w:bCs w:val="0"/>
                <w:i w:val="0"/>
                <w:iCs w:val="0"/>
                <w:caps w:val="0"/>
                <w:color w:val="auto"/>
                <w:spacing w:val="0"/>
                <w:sz w:val="24"/>
                <w:szCs w:val="24"/>
                <w:shd w:val="clear" w:fill="FFFFFF"/>
              </w:rPr>
              <w:t>昆政办〔2011〕33号</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color w:val="auto"/>
                <w:kern w:val="0"/>
                <w:sz w:val="24"/>
                <w:szCs w:val="24"/>
                <w:lang w:val="en-US" w:eastAsia="zh-CN" w:bidi="ar"/>
              </w:rPr>
              <w:t>如下</w:t>
            </w:r>
            <w:r>
              <w:rPr>
                <w:rFonts w:hint="eastAsia" w:ascii="Times New Roman" w:hAnsi="Times New Roman" w:eastAsia="宋体" w:cs="Times New Roman"/>
                <w:color w:val="auto"/>
                <w:kern w:val="0"/>
                <w:sz w:val="24"/>
                <w:szCs w:val="24"/>
                <w:lang w:val="en-US" w:eastAsia="zh-CN" w:bidi="ar"/>
              </w:rPr>
              <w:t>表所示</w:t>
            </w:r>
            <w:r>
              <w:rPr>
                <w:rFonts w:hint="default" w:ascii="Times New Roman" w:hAnsi="Times New Roman" w:eastAsia="宋体" w:cs="Times New Roman"/>
                <w:color w:val="auto"/>
                <w:kern w:val="0"/>
                <w:sz w:val="24"/>
                <w:szCs w:val="24"/>
                <w:lang w:val="en-US" w:eastAsia="zh-CN" w:bidi="ar"/>
              </w:rPr>
              <w:t xml:space="preserve">： </w:t>
            </w:r>
          </w:p>
          <w:p w14:paraId="0A68ED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表1-9  本项目与</w:t>
            </w:r>
            <w:r>
              <w:rPr>
                <w:rFonts w:hint="default" w:ascii="Times New Roman" w:hAnsi="Times New Roman" w:eastAsia="宋体" w:cs="Times New Roman"/>
                <w:b/>
                <w:bCs/>
                <w:i w:val="0"/>
                <w:iCs w:val="0"/>
                <w:caps w:val="0"/>
                <w:color w:val="auto"/>
                <w:spacing w:val="0"/>
                <w:sz w:val="21"/>
                <w:szCs w:val="21"/>
                <w:shd w:val="clear" w:fill="FFFFFF"/>
              </w:rPr>
              <w:t>《牛栏江流域（昆明段）水污染防治工作方案》</w:t>
            </w:r>
            <w:r>
              <w:rPr>
                <w:rFonts w:hint="default" w:ascii="Times New Roman" w:hAnsi="Times New Roman" w:eastAsia="宋体" w:cs="Times New Roman"/>
                <w:b/>
                <w:bCs/>
                <w:i w:val="0"/>
                <w:iCs w:val="0"/>
                <w:caps w:val="0"/>
                <w:color w:val="auto"/>
                <w:spacing w:val="0"/>
                <w:sz w:val="21"/>
                <w:szCs w:val="21"/>
                <w:shd w:val="clear" w:fill="FFFFFF"/>
                <w:lang w:eastAsia="zh-CN"/>
              </w:rPr>
              <w:t>（</w:t>
            </w:r>
            <w:r>
              <w:rPr>
                <w:rStyle w:val="39"/>
                <w:rFonts w:hint="default" w:ascii="Times New Roman" w:hAnsi="Times New Roman" w:eastAsia="宋体" w:cs="Times New Roman"/>
                <w:b/>
                <w:bCs/>
                <w:i w:val="0"/>
                <w:iCs w:val="0"/>
                <w:caps w:val="0"/>
                <w:color w:val="auto"/>
                <w:spacing w:val="0"/>
                <w:sz w:val="21"/>
                <w:szCs w:val="21"/>
                <w:shd w:val="clear" w:fill="FFFFFF"/>
              </w:rPr>
              <w:t>昆政办〔2011〕33号</w:t>
            </w:r>
            <w:r>
              <w:rPr>
                <w:rFonts w:hint="default" w:ascii="Times New Roman" w:hAnsi="Times New Roman" w:eastAsia="宋体" w:cs="Times New Roman"/>
                <w:b/>
                <w:bCs/>
                <w:i w:val="0"/>
                <w:iCs w:val="0"/>
                <w:caps w:val="0"/>
                <w:color w:val="auto"/>
                <w:spacing w:val="0"/>
                <w:sz w:val="21"/>
                <w:szCs w:val="21"/>
                <w:shd w:val="clear" w:fill="FFFFFF"/>
                <w:lang w:eastAsia="zh-CN"/>
              </w:rPr>
              <w:t>）</w:t>
            </w:r>
            <w:r>
              <w:rPr>
                <w:rFonts w:hint="default" w:ascii="Times New Roman" w:hAnsi="Times New Roman" w:eastAsia="宋体" w:cs="Times New Roman"/>
                <w:b/>
                <w:bCs/>
                <w:i w:val="0"/>
                <w:iCs w:val="0"/>
                <w:caps w:val="0"/>
                <w:color w:val="auto"/>
                <w:spacing w:val="0"/>
                <w:sz w:val="21"/>
                <w:szCs w:val="21"/>
                <w:shd w:val="clear" w:fill="FFFFFF"/>
                <w:lang w:val="en-US" w:eastAsia="zh-CN"/>
              </w:rPr>
              <w:t>符合性</w:t>
            </w:r>
            <w:r>
              <w:rPr>
                <w:rFonts w:hint="default" w:ascii="Times New Roman" w:hAnsi="Times New Roman" w:eastAsia="宋体" w:cs="Times New Roman"/>
                <w:b/>
                <w:bCs/>
                <w:color w:val="auto"/>
                <w:kern w:val="0"/>
                <w:sz w:val="21"/>
                <w:szCs w:val="21"/>
                <w:lang w:val="en-US" w:eastAsia="zh-CN" w:bidi="ar"/>
              </w:rPr>
              <w:t>分析</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3284"/>
              <w:gridCol w:w="3212"/>
              <w:gridCol w:w="706"/>
            </w:tblGrid>
            <w:tr w14:paraId="5388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0" w:type="dxa"/>
                  <w:gridSpan w:val="2"/>
                  <w:vAlign w:val="center"/>
                </w:tcPr>
                <w:p w14:paraId="7ADB5D3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Style w:val="39"/>
                      <w:rFonts w:hint="default" w:ascii="Times New Roman" w:hAnsi="Times New Roman" w:eastAsia="宋体" w:cs="Times New Roman"/>
                      <w:b/>
                      <w:bCs w:val="0"/>
                      <w:i w:val="0"/>
                      <w:iCs w:val="0"/>
                      <w:caps w:val="0"/>
                      <w:color w:val="auto"/>
                      <w:spacing w:val="0"/>
                      <w:sz w:val="21"/>
                      <w:szCs w:val="21"/>
                      <w:shd w:val="clear" w:fill="FFFFFF"/>
                    </w:rPr>
                    <w:t>昆政办〔2011〕33号</w:t>
                  </w:r>
                  <w:r>
                    <w:rPr>
                      <w:rFonts w:hint="default" w:ascii="Times New Roman" w:hAnsi="Times New Roman" w:eastAsia="宋体" w:cs="Times New Roman"/>
                      <w:b/>
                      <w:bCs w:val="0"/>
                      <w:color w:val="auto"/>
                      <w:kern w:val="0"/>
                      <w:sz w:val="21"/>
                      <w:szCs w:val="21"/>
                      <w:lang w:val="en-US" w:eastAsia="zh-CN" w:bidi="ar"/>
                    </w:rPr>
                    <w:t>要求</w:t>
                  </w:r>
                </w:p>
              </w:tc>
              <w:tc>
                <w:tcPr>
                  <w:tcW w:w="3212" w:type="dxa"/>
                  <w:vAlign w:val="center"/>
                </w:tcPr>
                <w:p w14:paraId="0C5DDC5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Style w:val="46"/>
                      <w:rFonts w:hint="default" w:ascii="Times New Roman" w:hAnsi="Times New Roman" w:eastAsia="宋体" w:cs="Times New Roman"/>
                      <w:color w:val="auto"/>
                      <w:sz w:val="21"/>
                      <w:szCs w:val="21"/>
                      <w:vertAlign w:val="baseline"/>
                      <w:lang w:val="en-US" w:eastAsia="zh-CN"/>
                    </w:rPr>
                    <w:t>本项目情况</w:t>
                  </w:r>
                </w:p>
              </w:tc>
              <w:tc>
                <w:tcPr>
                  <w:tcW w:w="706" w:type="dxa"/>
                  <w:vAlign w:val="center"/>
                </w:tcPr>
                <w:p w14:paraId="6476B17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Style w:val="46"/>
                      <w:rFonts w:hint="default" w:ascii="Times New Roman" w:hAnsi="Times New Roman" w:eastAsia="宋体" w:cs="Times New Roman"/>
                      <w:color w:val="auto"/>
                      <w:sz w:val="21"/>
                      <w:szCs w:val="21"/>
                      <w:vertAlign w:val="baseline"/>
                      <w:lang w:val="en-US" w:eastAsia="zh-CN"/>
                    </w:rPr>
                    <w:t>符合性</w:t>
                  </w:r>
                </w:p>
              </w:tc>
            </w:tr>
            <w:tr w14:paraId="2BA5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3624ED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1.引导产业发展。</w:t>
                  </w:r>
                </w:p>
              </w:tc>
              <w:tc>
                <w:tcPr>
                  <w:tcW w:w="3284" w:type="dxa"/>
                  <w:vAlign w:val="center"/>
                </w:tcPr>
                <w:p w14:paraId="265834E5">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center"/>
                    <w:textAlignment w:val="auto"/>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合理规划布局产业发展方向。禁止新建不符合国家产业政策的工业项目。禁止在牛栏江流域（昆明段）新建高污染工业项目，包括污染严重的钢铁、冶炼、基础化工、农药、电镀、造纸制浆、制革、印染、磷化工、石棉制品、土硫磺、土磷肥和染料等企业和项目。对原有的该类企业实施逐步、有计划地搬迁和淘汰。</w:t>
                  </w:r>
                </w:p>
              </w:tc>
              <w:tc>
                <w:tcPr>
                  <w:tcW w:w="3212" w:type="dxa"/>
                  <w:vAlign w:val="center"/>
                </w:tcPr>
                <w:p w14:paraId="1B19025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lang w:val="en-US" w:eastAsia="zh-CN" w:bidi="ar"/>
                    </w:rPr>
                    <w:t>本项目为塑料制品生产项目，租用寻甸特色产业园金所片区已建工业厂房，已取得入园许可；不属于钢铁、冶炼、化工、电镀等规划所列高污染行业；不属于限制、淘汰类产业，符合国家产业政策。</w:t>
                  </w:r>
                </w:p>
              </w:tc>
              <w:tc>
                <w:tcPr>
                  <w:tcW w:w="706" w:type="dxa"/>
                  <w:vAlign w:val="center"/>
                </w:tcPr>
                <w:p w14:paraId="1C5DBD8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eastAsia" w:ascii="Times New Roman" w:hAnsi="Times New Roman" w:eastAsia="宋体" w:cs="Times New Roman"/>
                      <w:b w:val="0"/>
                      <w:bCs w:val="0"/>
                      <w:color w:val="auto"/>
                      <w:sz w:val="21"/>
                      <w:szCs w:val="21"/>
                      <w:vertAlign w:val="baseline"/>
                      <w:lang w:val="en-US" w:eastAsia="zh-CN"/>
                    </w:rPr>
                    <w:t>符合</w:t>
                  </w:r>
                </w:p>
              </w:tc>
            </w:tr>
            <w:tr w14:paraId="4CCA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C3F45D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2.淘汰落后产能。</w:t>
                  </w:r>
                </w:p>
              </w:tc>
              <w:tc>
                <w:tcPr>
                  <w:tcW w:w="3284" w:type="dxa"/>
                  <w:vAlign w:val="center"/>
                </w:tcPr>
                <w:p w14:paraId="0CCAAB35">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center"/>
                    <w:textAlignment w:val="auto"/>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组织对牛栏江流域（昆明段）的工业企业进行全面排查，按照《产业结构调整指导目录》（2005本）和《国务院关于进一步加强淘汰落后产能工作的通知》（国发〔2010〕7号）的要求，坚决取缔淘汰不符合国家产业政策的落后产能和工艺设备。</w:t>
                  </w:r>
                </w:p>
              </w:tc>
              <w:tc>
                <w:tcPr>
                  <w:tcW w:w="3212" w:type="dxa"/>
                  <w:vAlign w:val="center"/>
                </w:tcPr>
                <w:p w14:paraId="649C76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项目生产工艺设备不属于国家明令淘汰落后工艺装备；项目设备均为现行允许使用的注塑生产设备，无落后产能。</w:t>
                  </w:r>
                </w:p>
              </w:tc>
              <w:tc>
                <w:tcPr>
                  <w:tcW w:w="706" w:type="dxa"/>
                  <w:vAlign w:val="center"/>
                </w:tcPr>
                <w:p w14:paraId="20925AA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eastAsia" w:ascii="Times New Roman" w:hAnsi="Times New Roman" w:eastAsia="宋体" w:cs="Times New Roman"/>
                      <w:b w:val="0"/>
                      <w:bCs w:val="0"/>
                      <w:color w:val="auto"/>
                      <w:sz w:val="21"/>
                      <w:szCs w:val="21"/>
                      <w:vertAlign w:val="baseline"/>
                      <w:lang w:val="en-US" w:eastAsia="zh-CN"/>
                    </w:rPr>
                    <w:t>符合</w:t>
                  </w:r>
                </w:p>
              </w:tc>
            </w:tr>
            <w:tr w14:paraId="6857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2E2B368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3.持续开展清洁生产审核。</w:t>
                  </w:r>
                </w:p>
              </w:tc>
              <w:tc>
                <w:tcPr>
                  <w:tcW w:w="3284" w:type="dxa"/>
                  <w:vAlign w:val="center"/>
                </w:tcPr>
                <w:p w14:paraId="73A17DF8">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center"/>
                    <w:textAlignment w:val="auto"/>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新、改、扩建工业项目应采用先进的生产工艺和污染防治技术，其清洁生产水平应达到国家清洁生产标准中的国内先进水平；水源区内工业企业应于2012年底前全部实施清洁生产审核，并持续开展清洁生产工作，其清洁生产水平应达到清洁生产评价指标体系中“清洁生产企业”的要求。对牛栏江流域（昆明段）现有排放废水和废渣的重点工业企业实施强制性清洁生产审核，根据清洁生产审核结果进行限期整改，并通过验收，对未开展清洁生产审核工作的企业依法进行处罚。</w:t>
                  </w:r>
                </w:p>
              </w:tc>
              <w:tc>
                <w:tcPr>
                  <w:tcW w:w="3212" w:type="dxa"/>
                  <w:vAlign w:val="center"/>
                </w:tcPr>
                <w:p w14:paraId="661E4C7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项目采用成熟先进注塑生产工艺，配套废气收集治理设施</w:t>
                  </w:r>
                  <w:r>
                    <w:rPr>
                      <w:rFonts w:hint="default" w:ascii="Times New Roman" w:hAnsi="Times New Roman" w:eastAsia="宋体" w:cs="Times New Roman"/>
                      <w:color w:val="auto"/>
                      <w:kern w:val="0"/>
                      <w:sz w:val="21"/>
                      <w:szCs w:val="21"/>
                      <w:lang w:val="en-US" w:eastAsia="zh-CN"/>
                    </w:rPr>
                    <w:t>，清洁生产可</w:t>
                  </w:r>
                  <w:r>
                    <w:rPr>
                      <w:rFonts w:hint="eastAsia" w:cs="Times New Roman"/>
                      <w:color w:val="auto"/>
                      <w:kern w:val="0"/>
                      <w:sz w:val="21"/>
                      <w:szCs w:val="21"/>
                      <w:lang w:val="en-US" w:eastAsia="zh-CN"/>
                    </w:rPr>
                    <w:t>达到</w:t>
                  </w:r>
                  <w:r>
                    <w:rPr>
                      <w:rFonts w:hint="default" w:ascii="Times New Roman" w:hAnsi="Times New Roman" w:eastAsia="宋体" w:cs="Times New Roman"/>
                      <w:color w:val="auto"/>
                      <w:kern w:val="0"/>
                      <w:sz w:val="21"/>
                      <w:szCs w:val="21"/>
                      <w:lang w:val="en-US" w:eastAsia="zh-CN"/>
                    </w:rPr>
                    <w:t>国内先进水平</w:t>
                  </w:r>
                  <w:r>
                    <w:rPr>
                      <w:rStyle w:val="46"/>
                      <w:rFonts w:hint="default" w:ascii="Times New Roman" w:hAnsi="Times New Roman" w:eastAsia="宋体" w:cs="Times New Roman"/>
                      <w:b w:val="0"/>
                      <w:bCs w:val="0"/>
                      <w:color w:val="auto"/>
                      <w:sz w:val="21"/>
                      <w:szCs w:val="21"/>
                      <w:vertAlign w:val="baseline"/>
                      <w:lang w:val="en-US" w:eastAsia="zh-CN"/>
                    </w:rPr>
                    <w:t>。</w:t>
                  </w:r>
                </w:p>
              </w:tc>
              <w:tc>
                <w:tcPr>
                  <w:tcW w:w="706" w:type="dxa"/>
                  <w:vAlign w:val="center"/>
                </w:tcPr>
                <w:p w14:paraId="0D8E082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eastAsia" w:ascii="Times New Roman" w:hAnsi="Times New Roman" w:eastAsia="宋体" w:cs="Times New Roman"/>
                      <w:b w:val="0"/>
                      <w:bCs w:val="0"/>
                      <w:color w:val="auto"/>
                      <w:sz w:val="21"/>
                      <w:szCs w:val="21"/>
                      <w:vertAlign w:val="baseline"/>
                      <w:lang w:val="en-US" w:eastAsia="zh-CN"/>
                    </w:rPr>
                    <w:t>符合</w:t>
                  </w:r>
                </w:p>
              </w:tc>
            </w:tr>
            <w:tr w14:paraId="22E5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125A686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4.实现工业园区废水零排放。</w:t>
                  </w:r>
                </w:p>
              </w:tc>
              <w:tc>
                <w:tcPr>
                  <w:tcW w:w="3284" w:type="dxa"/>
                  <w:vAlign w:val="center"/>
                </w:tcPr>
                <w:p w14:paraId="3270B958">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jc w:val="center"/>
                    <w:textAlignment w:val="auto"/>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确保杨林工业园区污水处理厂稳定正常运行，建设再生水处理设施、雨污分流管网，2011年6月30日前实现杨林工业园区废水零排放。加快推进寻甸特色工业园区污水处理厂及配套管网建设，建设再生水处理设施、雨污分流管网，2011年6月30日前实现寻甸工业园区废水零排放。</w:t>
                  </w:r>
                </w:p>
              </w:tc>
              <w:tc>
                <w:tcPr>
                  <w:tcW w:w="3212" w:type="dxa"/>
                  <w:vAlign w:val="center"/>
                </w:tcPr>
                <w:p w14:paraId="61F3280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Fonts w:hint="eastAsia" w:cs="Times New Roman"/>
                      <w:color w:val="auto"/>
                      <w:kern w:val="0"/>
                      <w:sz w:val="21"/>
                      <w:szCs w:val="21"/>
                      <w:lang w:val="en-US" w:eastAsia="zh-CN" w:bidi="ar"/>
                    </w:rPr>
                    <w:t>项目位于</w:t>
                  </w:r>
                  <w:r>
                    <w:rPr>
                      <w:rFonts w:hint="default" w:ascii="Times New Roman" w:hAnsi="Times New Roman" w:eastAsia="宋体" w:cs="Times New Roman"/>
                      <w:color w:val="auto"/>
                      <w:kern w:val="0"/>
                      <w:sz w:val="21"/>
                      <w:szCs w:val="21"/>
                      <w:lang w:val="en-US" w:eastAsia="zh-CN" w:bidi="ar"/>
                    </w:rPr>
                    <w:t>寻甸特色产业园金所片区</w:t>
                  </w:r>
                  <w:r>
                    <w:rPr>
                      <w:rFonts w:hint="eastAsia" w:cs="Times New Roman"/>
                      <w:color w:val="auto"/>
                      <w:kern w:val="0"/>
                      <w:sz w:val="21"/>
                      <w:szCs w:val="21"/>
                      <w:lang w:val="en-US" w:eastAsia="zh-CN" w:bidi="ar"/>
                    </w:rPr>
                    <w:t>，</w:t>
                  </w:r>
                  <w:r>
                    <w:rPr>
                      <w:rStyle w:val="46"/>
                      <w:rFonts w:hint="default" w:ascii="Times New Roman" w:hAnsi="Times New Roman" w:eastAsia="宋体" w:cs="Times New Roman"/>
                      <w:b w:val="0"/>
                      <w:bCs w:val="0"/>
                      <w:color w:val="auto"/>
                      <w:sz w:val="21"/>
                      <w:szCs w:val="21"/>
                      <w:vertAlign w:val="baseline"/>
                      <w:lang w:val="en-US" w:eastAsia="zh-CN"/>
                    </w:rPr>
                    <w:t>项目</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处理达到《城市污水再生利用 城市杂用水水质》（GB/T18920-2020）标准后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，不外排</w:t>
                  </w:r>
                  <w:r>
                    <w:rPr>
                      <w:rStyle w:val="46"/>
                      <w:rFonts w:hint="default" w:ascii="Times New Roman" w:hAnsi="Times New Roman" w:eastAsia="宋体" w:cs="Times New Roman"/>
                      <w:b w:val="0"/>
                      <w:bCs w:val="0"/>
                      <w:color w:val="auto"/>
                      <w:sz w:val="21"/>
                      <w:szCs w:val="21"/>
                      <w:vertAlign w:val="baseline"/>
                      <w:lang w:val="en-US" w:eastAsia="zh-CN"/>
                    </w:rPr>
                    <w:t>；厂区</w:t>
                  </w:r>
                  <w:r>
                    <w:rPr>
                      <w:rStyle w:val="46"/>
                      <w:rFonts w:hint="eastAsia" w:ascii="Times New Roman" w:hAnsi="Times New Roman" w:eastAsia="宋体" w:cs="Times New Roman"/>
                      <w:b w:val="0"/>
                      <w:bCs w:val="0"/>
                      <w:color w:val="auto"/>
                      <w:sz w:val="21"/>
                      <w:szCs w:val="21"/>
                      <w:vertAlign w:val="baseline"/>
                      <w:lang w:val="en-US" w:eastAsia="zh-CN"/>
                    </w:rPr>
                    <w:t>已</w:t>
                  </w:r>
                  <w:r>
                    <w:rPr>
                      <w:rStyle w:val="46"/>
                      <w:rFonts w:hint="default" w:ascii="Times New Roman" w:hAnsi="Times New Roman" w:eastAsia="宋体" w:cs="Times New Roman"/>
                      <w:b w:val="0"/>
                      <w:bCs w:val="0"/>
                      <w:color w:val="auto"/>
                      <w:sz w:val="21"/>
                      <w:szCs w:val="21"/>
                      <w:vertAlign w:val="baseline"/>
                      <w:lang w:val="en-US" w:eastAsia="zh-CN"/>
                    </w:rPr>
                    <w:t>落实雨污分流，雨水、污水管网分开设置。</w:t>
                  </w:r>
                </w:p>
              </w:tc>
              <w:tc>
                <w:tcPr>
                  <w:tcW w:w="706" w:type="dxa"/>
                  <w:vAlign w:val="center"/>
                </w:tcPr>
                <w:p w14:paraId="4ED543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eastAsia" w:ascii="Times New Roman" w:hAnsi="Times New Roman" w:eastAsia="宋体" w:cs="Times New Roman"/>
                      <w:b w:val="0"/>
                      <w:bCs w:val="0"/>
                      <w:color w:val="auto"/>
                      <w:sz w:val="21"/>
                      <w:szCs w:val="21"/>
                      <w:vertAlign w:val="baseline"/>
                      <w:lang w:val="en-US" w:eastAsia="zh-CN"/>
                    </w:rPr>
                    <w:t>符合</w:t>
                  </w:r>
                </w:p>
              </w:tc>
            </w:tr>
            <w:tr w14:paraId="7D98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3AD4EAD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5.实现企业废水零排放。</w:t>
                  </w:r>
                </w:p>
              </w:tc>
              <w:tc>
                <w:tcPr>
                  <w:tcW w:w="3284" w:type="dxa"/>
                  <w:vAlign w:val="center"/>
                </w:tcPr>
                <w:p w14:paraId="43D314C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停止审批新增工业废水的项目。已有的合法工业企业应升级改造，于2011年12月31日前全面实现牛栏江流域（昆明段）工业废水零排放。</w:t>
                  </w:r>
                </w:p>
              </w:tc>
              <w:tc>
                <w:tcPr>
                  <w:tcW w:w="3212" w:type="dxa"/>
                  <w:vAlign w:val="center"/>
                </w:tcPr>
                <w:p w14:paraId="0572BC1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本项目</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eastAsia" w:cs="Times New Roman"/>
                      <w:color w:val="auto"/>
                      <w:kern w:val="0"/>
                      <w:sz w:val="21"/>
                      <w:szCs w:val="21"/>
                      <w:highlight w:val="none"/>
                      <w:lang w:val="en-US" w:eastAsia="zh-CN" w:bidi="ar"/>
                    </w:rPr>
                    <w:t>；</w:t>
                  </w:r>
                  <w:r>
                    <w:rPr>
                      <w:rStyle w:val="46"/>
                      <w:rFonts w:hint="default" w:ascii="Times New Roman" w:hAnsi="Times New Roman" w:eastAsia="宋体" w:cs="Times New Roman"/>
                      <w:b w:val="0"/>
                      <w:bCs w:val="0"/>
                      <w:color w:val="auto"/>
                      <w:sz w:val="21"/>
                      <w:szCs w:val="21"/>
                      <w:vertAlign w:val="baseline"/>
                      <w:lang w:val="en-US" w:eastAsia="zh-CN"/>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处理达到《城市污水再生利用 城市杂用水水质》（GB/T18920-2020）标准后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w:t>
                  </w:r>
                  <w:r>
                    <w:rPr>
                      <w:rStyle w:val="46"/>
                      <w:rFonts w:hint="eastAsia" w:ascii="Times New Roman" w:hAnsi="Times New Roman" w:eastAsia="宋体" w:cs="Times New Roman"/>
                      <w:b w:val="0"/>
                      <w:bCs w:val="0"/>
                      <w:color w:val="auto"/>
                      <w:sz w:val="21"/>
                      <w:szCs w:val="21"/>
                      <w:vertAlign w:val="baseline"/>
                      <w:lang w:val="en-US" w:eastAsia="zh-CN"/>
                    </w:rPr>
                    <w:t>项目区</w:t>
                  </w:r>
                  <w:r>
                    <w:rPr>
                      <w:rStyle w:val="46"/>
                      <w:rFonts w:hint="default" w:ascii="Times New Roman" w:hAnsi="Times New Roman" w:eastAsia="宋体" w:cs="Times New Roman"/>
                      <w:b w:val="0"/>
                      <w:bCs w:val="0"/>
                      <w:color w:val="auto"/>
                      <w:sz w:val="21"/>
                      <w:szCs w:val="21"/>
                      <w:vertAlign w:val="baseline"/>
                      <w:lang w:val="en-US" w:eastAsia="zh-CN"/>
                    </w:rPr>
                    <w:t>无新增工业废水</w:t>
                  </w:r>
                  <w:r>
                    <w:rPr>
                      <w:rStyle w:val="46"/>
                      <w:rFonts w:hint="eastAsia" w:cs="Times New Roman"/>
                      <w:b w:val="0"/>
                      <w:bCs w:val="0"/>
                      <w:color w:val="auto"/>
                      <w:sz w:val="21"/>
                      <w:szCs w:val="21"/>
                      <w:vertAlign w:val="baseline"/>
                      <w:lang w:val="en-US" w:eastAsia="zh-CN"/>
                    </w:rPr>
                    <w:t>排放</w:t>
                  </w:r>
                  <w:r>
                    <w:rPr>
                      <w:rStyle w:val="46"/>
                      <w:rFonts w:hint="default" w:ascii="Times New Roman" w:hAnsi="Times New Roman" w:eastAsia="宋体" w:cs="Times New Roman"/>
                      <w:b w:val="0"/>
                      <w:bCs w:val="0"/>
                      <w:color w:val="auto"/>
                      <w:sz w:val="21"/>
                      <w:szCs w:val="21"/>
                      <w:vertAlign w:val="baseline"/>
                      <w:lang w:val="en-US" w:eastAsia="zh-CN"/>
                    </w:rPr>
                    <w:t>。</w:t>
                  </w:r>
                </w:p>
              </w:tc>
              <w:tc>
                <w:tcPr>
                  <w:tcW w:w="706" w:type="dxa"/>
                  <w:vAlign w:val="center"/>
                </w:tcPr>
                <w:p w14:paraId="2AE50A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eastAsia" w:ascii="Times New Roman" w:hAnsi="Times New Roman" w:eastAsia="宋体" w:cs="Times New Roman"/>
                      <w:b w:val="0"/>
                      <w:bCs w:val="0"/>
                      <w:color w:val="auto"/>
                      <w:sz w:val="21"/>
                      <w:szCs w:val="21"/>
                      <w:vertAlign w:val="baseline"/>
                      <w:lang w:val="en-US" w:eastAsia="zh-CN"/>
                    </w:rPr>
                    <w:t>符合</w:t>
                  </w:r>
                </w:p>
              </w:tc>
            </w:tr>
            <w:tr w14:paraId="566C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restart"/>
                  <w:vAlign w:val="center"/>
                </w:tcPr>
                <w:p w14:paraId="6E9630F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6.严格工业企业环境管理。</w:t>
                  </w:r>
                </w:p>
              </w:tc>
              <w:tc>
                <w:tcPr>
                  <w:tcW w:w="3284" w:type="dxa"/>
                  <w:vAlign w:val="center"/>
                </w:tcPr>
                <w:p w14:paraId="3114409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1）严格工业固体废弃物和危险废物管理，实现固体废弃物和危险废物安全处置。牛栏江流域（昆明段）所有排放固体废弃物和危险废物的企业，应按国家有关固体废弃物和危险废物安全处置的要求，对现有固体废弃物和危险废物堆场进行安全处置，特别是磷化工企业固体废弃物和危险废物的安全处置。新建固体废弃物和危险废物堆场必须达到国家有关固体废弃物和危险废物安全处置的要求。</w:t>
                  </w:r>
                </w:p>
              </w:tc>
              <w:tc>
                <w:tcPr>
                  <w:tcW w:w="3212" w:type="dxa"/>
                  <w:vAlign w:val="center"/>
                </w:tcPr>
                <w:p w14:paraId="38A26F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项目一般工业固废（塑料边角料、</w:t>
                  </w:r>
                  <w:r>
                    <w:rPr>
                      <w:rStyle w:val="46"/>
                      <w:rFonts w:hint="eastAsia" w:ascii="Times New Roman" w:hAnsi="Times New Roman" w:eastAsia="宋体" w:cs="Times New Roman"/>
                      <w:b w:val="0"/>
                      <w:bCs w:val="0"/>
                      <w:color w:val="auto"/>
                      <w:sz w:val="21"/>
                      <w:szCs w:val="21"/>
                      <w:vertAlign w:val="baseline"/>
                      <w:lang w:val="en-US" w:eastAsia="zh-CN"/>
                    </w:rPr>
                    <w:t>不合格品</w:t>
                  </w:r>
                  <w:r>
                    <w:rPr>
                      <w:rStyle w:val="46"/>
                      <w:rFonts w:hint="default" w:ascii="Times New Roman" w:hAnsi="Times New Roman" w:eastAsia="宋体" w:cs="Times New Roman"/>
                      <w:b w:val="0"/>
                      <w:bCs w:val="0"/>
                      <w:color w:val="auto"/>
                      <w:sz w:val="21"/>
                      <w:szCs w:val="21"/>
                      <w:vertAlign w:val="baseline"/>
                      <w:lang w:val="en-US" w:eastAsia="zh-CN"/>
                    </w:rPr>
                    <w:t>）厂内破碎全部回用于生产；危险废物（</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Style w:val="46"/>
                      <w:rFonts w:hint="default" w:ascii="Times New Roman" w:hAnsi="Times New Roman" w:eastAsia="宋体" w:cs="Times New Roman"/>
                      <w:b w:val="0"/>
                      <w:bCs w:val="0"/>
                      <w:color w:val="auto"/>
                      <w:sz w:val="21"/>
                      <w:szCs w:val="21"/>
                      <w:vertAlign w:val="baseline"/>
                      <w:lang w:val="en-US" w:eastAsia="zh-CN"/>
                    </w:rPr>
                    <w:t>等）设置规范</w:t>
                  </w:r>
                  <w:r>
                    <w:rPr>
                      <w:rStyle w:val="46"/>
                      <w:rFonts w:hint="eastAsia" w:cs="Times New Roman"/>
                      <w:b w:val="0"/>
                      <w:bCs w:val="0"/>
                      <w:color w:val="auto"/>
                      <w:sz w:val="21"/>
                      <w:szCs w:val="21"/>
                      <w:vertAlign w:val="baseline"/>
                      <w:lang w:val="en-US" w:eastAsia="zh-CN"/>
                    </w:rPr>
                    <w:t>危废贮存库</w:t>
                  </w:r>
                  <w:r>
                    <w:rPr>
                      <w:rStyle w:val="46"/>
                      <w:rFonts w:hint="default" w:ascii="Times New Roman" w:hAnsi="Times New Roman" w:eastAsia="宋体" w:cs="Times New Roman"/>
                      <w:b w:val="0"/>
                      <w:bCs w:val="0"/>
                      <w:color w:val="auto"/>
                      <w:sz w:val="21"/>
                      <w:szCs w:val="21"/>
                      <w:vertAlign w:val="baseline"/>
                      <w:lang w:val="en-US" w:eastAsia="zh-CN"/>
                    </w:rPr>
                    <w:t>，分类分区存放，委托具备资质单位安全处置，建立固废危废管理台账，落实转移联单制度。</w:t>
                  </w:r>
                </w:p>
              </w:tc>
              <w:tc>
                <w:tcPr>
                  <w:tcW w:w="706" w:type="dxa"/>
                  <w:vAlign w:val="center"/>
                </w:tcPr>
                <w:p w14:paraId="5660BDF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eastAsia" w:ascii="Times New Roman" w:hAnsi="Times New Roman" w:eastAsia="宋体" w:cs="Times New Roman"/>
                      <w:b w:val="0"/>
                      <w:bCs w:val="0"/>
                      <w:color w:val="auto"/>
                      <w:sz w:val="21"/>
                      <w:szCs w:val="21"/>
                      <w:vertAlign w:val="baseline"/>
                      <w:lang w:val="en-US" w:eastAsia="zh-CN"/>
                    </w:rPr>
                    <w:t>符合</w:t>
                  </w:r>
                </w:p>
              </w:tc>
            </w:tr>
            <w:tr w14:paraId="678F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vAlign w:val="center"/>
                </w:tcPr>
                <w:p w14:paraId="46FC26C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p>
              </w:tc>
              <w:tc>
                <w:tcPr>
                  <w:tcW w:w="3284" w:type="dxa"/>
                  <w:vAlign w:val="center"/>
                </w:tcPr>
                <w:p w14:paraId="222FCD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（2）制定不同风险源的应急处理处置方案，形成应对突发污染事故应急处理处置能力。</w:t>
                  </w:r>
                </w:p>
              </w:tc>
              <w:tc>
                <w:tcPr>
                  <w:tcW w:w="3212" w:type="dxa"/>
                  <w:vAlign w:val="center"/>
                </w:tcPr>
                <w:p w14:paraId="09B9642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环评要求建设单位编制突发环境事件应急预案并完成备案；识别废气、危废泄漏等风险源，制定对应的应急处置措施，配备应急物资，定期开展应急演练，具备突发事故处置能力。</w:t>
                  </w:r>
                </w:p>
              </w:tc>
              <w:tc>
                <w:tcPr>
                  <w:tcW w:w="706" w:type="dxa"/>
                  <w:vAlign w:val="center"/>
                </w:tcPr>
                <w:p w14:paraId="380272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符合</w:t>
                  </w:r>
                </w:p>
              </w:tc>
            </w:tr>
            <w:tr w14:paraId="2A8A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vAlign w:val="center"/>
                </w:tcPr>
                <w:p w14:paraId="4F9F2A0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p>
              </w:tc>
              <w:tc>
                <w:tcPr>
                  <w:tcW w:w="3284" w:type="dxa"/>
                  <w:vAlign w:val="center"/>
                </w:tcPr>
                <w:p w14:paraId="18EC7ED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3）按照《昆明市人大常委会关于整治违法排污建立健全环境监管长效机制的决议》和《昆明市人民政府关于加强整治违法排污行为的实施意见》，持续开展违法排污行为整治，严厉打击违法排污，对违法排污行为依法从重处罚，直至关停、取缔。</w:t>
                  </w:r>
                </w:p>
              </w:tc>
              <w:tc>
                <w:tcPr>
                  <w:tcW w:w="3212" w:type="dxa"/>
                  <w:vAlign w:val="center"/>
                </w:tcPr>
                <w:p w14:paraId="14EDC8A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环评提出环境管理要求，建设单位建立环保管理制度，规范废气、固废</w:t>
                  </w:r>
                  <w:r>
                    <w:rPr>
                      <w:rStyle w:val="46"/>
                      <w:rFonts w:hint="eastAsia" w:ascii="Times New Roman" w:hAnsi="Times New Roman" w:eastAsia="宋体" w:cs="Times New Roman"/>
                      <w:b w:val="0"/>
                      <w:bCs w:val="0"/>
                      <w:color w:val="auto"/>
                      <w:sz w:val="21"/>
                      <w:szCs w:val="21"/>
                      <w:vertAlign w:val="baseline"/>
                      <w:lang w:val="en-US" w:eastAsia="zh-CN"/>
                    </w:rPr>
                    <w:t>处理</w:t>
                  </w:r>
                  <w:r>
                    <w:rPr>
                      <w:rStyle w:val="46"/>
                      <w:rFonts w:hint="default" w:ascii="Times New Roman" w:hAnsi="Times New Roman" w:eastAsia="宋体" w:cs="Times New Roman"/>
                      <w:b w:val="0"/>
                      <w:bCs w:val="0"/>
                      <w:color w:val="auto"/>
                      <w:sz w:val="21"/>
                      <w:szCs w:val="21"/>
                      <w:vertAlign w:val="baseline"/>
                      <w:lang w:val="en-US" w:eastAsia="zh-CN"/>
                    </w:rPr>
                    <w:t>设施运维，建立运维台账；严格落实排污许可、自行监测，杜绝偷排漏排，自觉接受生态环境主管部门监督管理。</w:t>
                  </w:r>
                </w:p>
              </w:tc>
              <w:tc>
                <w:tcPr>
                  <w:tcW w:w="706" w:type="dxa"/>
                  <w:vAlign w:val="center"/>
                </w:tcPr>
                <w:p w14:paraId="13A8451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符合</w:t>
                  </w:r>
                </w:p>
              </w:tc>
            </w:tr>
            <w:tr w14:paraId="396F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560711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lang w:val="en-US" w:eastAsia="zh-CN"/>
                    </w:rPr>
                    <w:t>7.</w:t>
                  </w:r>
                  <w:r>
                    <w:rPr>
                      <w:rFonts w:hint="default" w:ascii="Times New Roman" w:hAnsi="Times New Roman" w:eastAsia="宋体" w:cs="Times New Roman"/>
                      <w:i w:val="0"/>
                      <w:iCs w:val="0"/>
                      <w:caps w:val="0"/>
                      <w:color w:val="auto"/>
                      <w:spacing w:val="0"/>
                      <w:sz w:val="21"/>
                      <w:szCs w:val="21"/>
                      <w:shd w:val="clear" w:fill="FFFFFF"/>
                    </w:rPr>
                    <w:t>建立污染物总量控制机制</w:t>
                  </w:r>
                </w:p>
              </w:tc>
              <w:tc>
                <w:tcPr>
                  <w:tcW w:w="3284" w:type="dxa"/>
                  <w:vAlign w:val="center"/>
                </w:tcPr>
                <w:p w14:paraId="6F00A28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Fonts w:hint="default" w:ascii="Times New Roman" w:hAnsi="Times New Roman" w:eastAsia="宋体" w:cs="Times New Roman"/>
                      <w:i w:val="0"/>
                      <w:iCs w:val="0"/>
                      <w:caps w:val="0"/>
                      <w:color w:val="auto"/>
                      <w:spacing w:val="0"/>
                      <w:sz w:val="21"/>
                      <w:szCs w:val="21"/>
                      <w:shd w:val="clear" w:fill="FFFFFF"/>
                    </w:rPr>
                  </w:pPr>
                  <w:r>
                    <w:rPr>
                      <w:rFonts w:hint="default" w:ascii="Times New Roman" w:hAnsi="Times New Roman" w:eastAsia="宋体" w:cs="Times New Roman"/>
                      <w:i w:val="0"/>
                      <w:iCs w:val="0"/>
                      <w:caps w:val="0"/>
                      <w:color w:val="auto"/>
                      <w:spacing w:val="0"/>
                      <w:sz w:val="21"/>
                      <w:szCs w:val="21"/>
                      <w:shd w:val="clear" w:fill="FFFFFF"/>
                    </w:rPr>
                    <w:t>逐步削减氨氮、总磷、化学需氧量排放量，牛栏江流域（昆明段）氨氮、总磷、化学需氧量控制在规定范围内。新改扩建项目不得新增氨氮、总磷、化学需氧量排放量。</w:t>
                  </w:r>
                </w:p>
              </w:tc>
              <w:tc>
                <w:tcPr>
                  <w:tcW w:w="3212" w:type="dxa"/>
                  <w:vAlign w:val="center"/>
                </w:tcPr>
                <w:p w14:paraId="79E5BB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本项目无生产工艺废水排放；不新增工业源COD、氨氮、总磷污染物；</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eastAsia" w:cs="Times New Roman"/>
                      <w:color w:val="auto"/>
                      <w:kern w:val="0"/>
                      <w:sz w:val="21"/>
                      <w:szCs w:val="21"/>
                      <w:highlight w:val="none"/>
                      <w:lang w:val="en-US" w:eastAsia="zh-CN" w:bidi="ar"/>
                    </w:rPr>
                    <w:t>；</w:t>
                  </w:r>
                  <w:r>
                    <w:rPr>
                      <w:rStyle w:val="46"/>
                      <w:rFonts w:hint="default" w:ascii="Times New Roman" w:hAnsi="Times New Roman" w:eastAsia="宋体" w:cs="Times New Roman"/>
                      <w:b w:val="0"/>
                      <w:bCs w:val="0"/>
                      <w:color w:val="auto"/>
                      <w:sz w:val="21"/>
                      <w:szCs w:val="21"/>
                      <w:vertAlign w:val="baseline"/>
                      <w:lang w:val="en-US" w:eastAsia="zh-CN"/>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w:t>
                  </w:r>
                  <w:r>
                    <w:rPr>
                      <w:rFonts w:hint="default" w:ascii="Times New Roman" w:hAnsi="Times New Roman" w:eastAsia="宋体" w:cs="Times New Roman"/>
                      <w:color w:val="auto"/>
                      <w:kern w:val="0"/>
                      <w:sz w:val="21"/>
                      <w:szCs w:val="21"/>
                      <w:lang w:val="en-US" w:eastAsia="zh-CN" w:bidi="ar"/>
                    </w:rPr>
                    <w:t>处理达到《城市污水再生利用 城市杂用水水质》（GB/T18920-2020）标准后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，不外排</w:t>
                  </w:r>
                  <w:r>
                    <w:rPr>
                      <w:rStyle w:val="46"/>
                      <w:rFonts w:hint="eastAsia" w:ascii="Times New Roman" w:hAnsi="Times New Roman" w:eastAsia="宋体" w:cs="Times New Roman"/>
                      <w:b w:val="0"/>
                      <w:bCs w:val="0"/>
                      <w:color w:val="auto"/>
                      <w:sz w:val="21"/>
                      <w:szCs w:val="21"/>
                      <w:vertAlign w:val="baseline"/>
                      <w:lang w:val="en-US" w:eastAsia="zh-CN"/>
                    </w:rPr>
                    <w:t>。项目建设</w:t>
                  </w:r>
                  <w:r>
                    <w:rPr>
                      <w:rStyle w:val="46"/>
                      <w:rFonts w:hint="default" w:ascii="Times New Roman" w:hAnsi="Times New Roman" w:eastAsia="宋体" w:cs="Times New Roman"/>
                      <w:b w:val="0"/>
                      <w:bCs w:val="0"/>
                      <w:color w:val="auto"/>
                      <w:sz w:val="21"/>
                      <w:szCs w:val="21"/>
                      <w:vertAlign w:val="baseline"/>
                      <w:lang w:val="en-US" w:eastAsia="zh-CN"/>
                    </w:rPr>
                    <w:t>不额外增加区域工业水污染物总量。</w:t>
                  </w:r>
                </w:p>
              </w:tc>
              <w:tc>
                <w:tcPr>
                  <w:tcW w:w="706" w:type="dxa"/>
                  <w:vAlign w:val="center"/>
                </w:tcPr>
                <w:p w14:paraId="59E99AE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2"/>
                    <w:rPr>
                      <w:rStyle w:val="46"/>
                      <w:rFonts w:hint="default" w:ascii="Times New Roman" w:hAnsi="Times New Roman" w:eastAsia="宋体" w:cs="Times New Roman"/>
                      <w:b w:val="0"/>
                      <w:bCs w:val="0"/>
                      <w:color w:val="auto"/>
                      <w:sz w:val="21"/>
                      <w:szCs w:val="21"/>
                      <w:vertAlign w:val="baseline"/>
                      <w:lang w:val="en-US" w:eastAsia="zh-CN"/>
                    </w:rPr>
                  </w:pPr>
                  <w:r>
                    <w:rPr>
                      <w:rStyle w:val="46"/>
                      <w:rFonts w:hint="default" w:ascii="Times New Roman" w:hAnsi="Times New Roman" w:eastAsia="宋体" w:cs="Times New Roman"/>
                      <w:b w:val="0"/>
                      <w:bCs w:val="0"/>
                      <w:color w:val="auto"/>
                      <w:sz w:val="21"/>
                      <w:szCs w:val="21"/>
                      <w:vertAlign w:val="baseline"/>
                      <w:lang w:val="en-US" w:eastAsia="zh-CN"/>
                    </w:rPr>
                    <w:t>符合</w:t>
                  </w:r>
                </w:p>
              </w:tc>
            </w:tr>
          </w:tbl>
          <w:p w14:paraId="73513008">
            <w:pPr>
              <w:keepNext w:val="0"/>
              <w:keepLines w:val="0"/>
              <w:pageBreakBefore w:val="0"/>
              <w:widowControl/>
              <w:suppressLineNumbers w:val="0"/>
              <w:kinsoku/>
              <w:wordWrap/>
              <w:overflowPunct/>
              <w:topLinePunct w:val="0"/>
              <w:autoSpaceDE/>
              <w:autoSpaceDN/>
              <w:bidi w:val="0"/>
              <w:spacing w:before="157" w:beforeLines="50" w:beforeAutospacing="0" w:after="0" w:afterAutospacing="0" w:line="360" w:lineRule="auto"/>
              <w:ind w:left="0" w:right="0" w:firstLine="480" w:firstLineChars="200"/>
              <w:jc w:val="left"/>
              <w:textAlignment w:val="auto"/>
              <w:rPr>
                <w:rFonts w:hint="default"/>
                <w:color w:val="auto"/>
                <w:sz w:val="24"/>
                <w:szCs w:val="24"/>
              </w:rPr>
            </w:pPr>
            <w:r>
              <w:rPr>
                <w:rFonts w:hint="eastAsia" w:ascii="宋体" w:hAnsi="宋体" w:eastAsia="宋体" w:cs="宋体"/>
                <w:color w:val="auto"/>
                <w:kern w:val="0"/>
                <w:sz w:val="24"/>
                <w:szCs w:val="24"/>
                <w:lang w:val="en-US" w:eastAsia="zh-CN" w:bidi="ar"/>
              </w:rPr>
              <w:t>综上所述，本项目与</w:t>
            </w:r>
            <w:r>
              <w:rPr>
                <w:rFonts w:hint="default" w:ascii="Times New Roman" w:hAnsi="Times New Roman" w:eastAsia="宋体" w:cs="Times New Roman"/>
                <w:color w:val="auto"/>
                <w:kern w:val="0"/>
                <w:sz w:val="24"/>
                <w:szCs w:val="24"/>
                <w:lang w:val="en-US" w:eastAsia="zh-CN" w:bidi="ar"/>
              </w:rPr>
              <w:t>《牛栏江流域（昆明段）水污染防治工作方案的通知》</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Style w:val="39"/>
                <w:rFonts w:hint="default" w:ascii="Times New Roman" w:hAnsi="Times New Roman" w:eastAsia="宋体" w:cs="Times New Roman"/>
                <w:b w:val="0"/>
                <w:bCs w:val="0"/>
                <w:i w:val="0"/>
                <w:iCs w:val="0"/>
                <w:caps w:val="0"/>
                <w:color w:val="auto"/>
                <w:spacing w:val="0"/>
                <w:sz w:val="24"/>
                <w:szCs w:val="24"/>
                <w:shd w:val="clear" w:fill="FFFFFF"/>
              </w:rPr>
              <w:t>昆政办〔2011〕33号</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eastAsia" w:ascii="宋体" w:hAnsi="宋体" w:eastAsia="宋体" w:cs="宋体"/>
                <w:color w:val="auto"/>
                <w:kern w:val="0"/>
                <w:sz w:val="24"/>
                <w:szCs w:val="24"/>
                <w:lang w:val="en-US" w:eastAsia="zh-CN" w:bidi="ar"/>
              </w:rPr>
              <w:t>相符。</w:t>
            </w:r>
          </w:p>
          <w:p w14:paraId="3A419114">
            <w:pPr>
              <w:keepNext w:val="0"/>
              <w:keepLines w:val="0"/>
              <w:suppressLineNumbers w:val="0"/>
              <w:adjustRightInd w:val="0"/>
              <w:snapToGrid w:val="0"/>
              <w:spacing w:before="0" w:beforeAutospacing="0" w:after="0" w:afterAutospacing="0" w:line="360" w:lineRule="auto"/>
              <w:ind w:left="0" w:right="0" w:firstLine="482" w:firstLineChars="200"/>
              <w:jc w:val="left"/>
              <w:outlineLvl w:val="2"/>
              <w:rPr>
                <w:rStyle w:val="46"/>
                <w:rFonts w:hint="default" w:ascii="Times New Roman" w:hAnsi="Times New Roman" w:eastAsia="宋体" w:cs="Times New Roman"/>
                <w:color w:val="auto"/>
                <w:sz w:val="24"/>
              </w:rPr>
            </w:pPr>
            <w:r>
              <w:rPr>
                <w:rStyle w:val="46"/>
                <w:rFonts w:hint="eastAsia" w:cs="Times New Roman"/>
                <w:color w:val="auto"/>
                <w:sz w:val="24"/>
                <w:lang w:val="en-US" w:eastAsia="zh-CN"/>
              </w:rPr>
              <w:t>7</w:t>
            </w:r>
            <w:r>
              <w:rPr>
                <w:rStyle w:val="46"/>
                <w:rFonts w:hint="default" w:ascii="Times New Roman" w:hAnsi="Times New Roman" w:eastAsia="宋体" w:cs="Times New Roman"/>
                <w:color w:val="auto"/>
                <w:sz w:val="24"/>
              </w:rPr>
              <w:t>、</w:t>
            </w:r>
            <w:r>
              <w:rPr>
                <w:rStyle w:val="46"/>
                <w:rFonts w:hint="default" w:ascii="Times New Roman" w:hAnsi="Times New Roman" w:eastAsia="宋体" w:cs="Times New Roman"/>
                <w:color w:val="auto"/>
                <w:sz w:val="24"/>
                <w:lang w:val="en-US" w:eastAsia="zh-CN"/>
              </w:rPr>
              <w:t>项目</w:t>
            </w:r>
            <w:r>
              <w:rPr>
                <w:rStyle w:val="46"/>
                <w:rFonts w:hint="default" w:ascii="Times New Roman" w:hAnsi="Times New Roman" w:eastAsia="宋体" w:cs="Times New Roman"/>
                <w:color w:val="auto"/>
                <w:sz w:val="24"/>
              </w:rPr>
              <w:t>与《牛栏江流域（寻甸段）水环境保护规划》</w:t>
            </w:r>
            <w:r>
              <w:rPr>
                <w:rFonts w:hint="default" w:ascii="Times New Roman" w:hAnsi="Times New Roman" w:eastAsia="宋体" w:cs="Times New Roman"/>
                <w:b/>
                <w:bCs/>
                <w:color w:val="auto"/>
                <w:sz w:val="24"/>
              </w:rPr>
              <w:t>符合性分析</w:t>
            </w:r>
          </w:p>
          <w:p w14:paraId="4CEFDD3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根据《牛栏江流域（寻甸段）水环境保护规划（2011~2030）》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牛栏江流域（寻甸段）水环境分区范围涉及规划区干流及主要支流（前进河、羊街河、马龙河、尹武河等）河流径流区。</w:t>
            </w:r>
          </w:p>
          <w:p w14:paraId="03F23D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规划区分为3个保护区：水源保护核心区、重点污染控制区、重点水源涵养区，各分区范围节点如下：</w:t>
            </w:r>
          </w:p>
          <w:p w14:paraId="55DAF8C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（1）水源保护核心区范围为牛栏江流域（寻甸段）干流1000m范围。水源保护核心区分为禁止建设区、限制建设区两个区，禁止建设区范围指干流河面水域及沿岸外延200m的区域，限制建设区范围指干流沿岸外200m</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1000m之间的区域。</w:t>
            </w:r>
          </w:p>
          <w:p w14:paraId="04D1CD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（2）重点污染控制区</w:t>
            </w:r>
          </w:p>
          <w:p w14:paraId="43046A2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重点污染控制区范围指水体保护核心区外，主要入江支流水域外延3000m的区域和流域范围内的坝区，若区域范围超过一级山脊，按一级山脊线划定。</w:t>
            </w:r>
          </w:p>
          <w:p w14:paraId="31FC28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（3）水源涵养区</w:t>
            </w:r>
          </w:p>
          <w:p w14:paraId="1C4B70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重点水源涵养区范围指流域范围内除水源保护核心区、重点污染控制区以外的区域。</w:t>
            </w:r>
          </w:p>
          <w:p w14:paraId="2B86F3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4"/>
                <w:szCs w:val="24"/>
              </w:rPr>
              <w:t>项目位于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根据项目与牛栏江流域（寻甸段）水环境保护分区位置关系图可知，项目所在区域属于</w:t>
            </w:r>
            <w:r>
              <w:rPr>
                <w:rFonts w:hint="default" w:ascii="Times New Roman" w:hAnsi="Times New Roman" w:eastAsia="宋体" w:cs="Times New Roman"/>
                <w:color w:val="auto"/>
                <w:sz w:val="24"/>
                <w:szCs w:val="24"/>
              </w:rPr>
              <w:t>重点水源涵养区，</w:t>
            </w:r>
            <w:r>
              <w:rPr>
                <w:rFonts w:hint="default" w:ascii="Times New Roman" w:hAnsi="Times New Roman" w:eastAsia="宋体" w:cs="Times New Roman"/>
                <w:color w:val="auto"/>
                <w:sz w:val="24"/>
                <w:szCs w:val="24"/>
                <w:lang w:val="en-US" w:eastAsia="zh-CN"/>
              </w:rPr>
              <w:t>项目与</w:t>
            </w:r>
            <w:r>
              <w:rPr>
                <w:rFonts w:hint="default" w:ascii="Times New Roman" w:hAnsi="Times New Roman" w:eastAsia="宋体" w:cs="Times New Roman"/>
                <w:color w:val="auto"/>
                <w:sz w:val="24"/>
                <w:szCs w:val="24"/>
              </w:rPr>
              <w:t>《牛栏江（寻甸段）水环境保护规划（2011~2030）》符合性分析见</w:t>
            </w:r>
            <w:r>
              <w:rPr>
                <w:rFonts w:hint="default" w:ascii="Times New Roman" w:hAnsi="Times New Roman" w:eastAsia="宋体" w:cs="Times New Roman"/>
                <w:color w:val="auto"/>
                <w:sz w:val="24"/>
                <w:szCs w:val="24"/>
                <w:lang w:eastAsia="zh-CN"/>
              </w:rPr>
              <w:t>下</w:t>
            </w:r>
            <w:r>
              <w:rPr>
                <w:rFonts w:hint="default" w:ascii="Times New Roman" w:hAnsi="Times New Roman" w:eastAsia="宋体" w:cs="Times New Roman"/>
                <w:color w:val="auto"/>
                <w:sz w:val="24"/>
                <w:szCs w:val="24"/>
              </w:rPr>
              <w:t>表</w:t>
            </w:r>
            <w:r>
              <w:rPr>
                <w:rFonts w:hint="default" w:ascii="Times New Roman" w:hAnsi="Times New Roman" w:eastAsia="宋体" w:cs="Times New Roman"/>
                <w:color w:val="auto"/>
                <w:sz w:val="24"/>
                <w:szCs w:val="24"/>
                <w:lang w:eastAsia="zh-CN"/>
              </w:rPr>
              <w:t>。</w:t>
            </w:r>
          </w:p>
          <w:p w14:paraId="25466D53">
            <w:pPr>
              <w:keepNext w:val="0"/>
              <w:keepLines w:val="0"/>
              <w:suppressLineNumbers w:val="0"/>
              <w:adjustRightInd w:val="0"/>
              <w:snapToGrid w:val="0"/>
              <w:spacing w:before="0" w:beforeAutospacing="0" w:after="0" w:afterAutospacing="0" w:line="360" w:lineRule="auto"/>
              <w:ind w:left="0" w:right="0"/>
              <w:jc w:val="center"/>
              <w:outlineLvl w:val="2"/>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表1-</w:t>
            </w:r>
            <w:r>
              <w:rPr>
                <w:rFonts w:hint="eastAsia" w:cs="Times New Roman"/>
                <w:b/>
                <w:color w:val="auto"/>
                <w:sz w:val="21"/>
                <w:szCs w:val="21"/>
                <w:lang w:val="en-US" w:eastAsia="zh-CN"/>
              </w:rPr>
              <w:t>10</w:t>
            </w:r>
            <w:r>
              <w:rPr>
                <w:rFonts w:hint="default" w:ascii="Times New Roman" w:hAnsi="Times New Roman" w:eastAsia="宋体" w:cs="Times New Roman"/>
                <w:b/>
                <w:color w:val="auto"/>
                <w:sz w:val="21"/>
                <w:szCs w:val="21"/>
                <w:lang w:val="en-US" w:eastAsia="zh-CN"/>
              </w:rPr>
              <w:t xml:space="preserve"> </w:t>
            </w:r>
            <w:r>
              <w:rPr>
                <w:rFonts w:hint="default" w:ascii="Times New Roman" w:hAnsi="Times New Roman" w:eastAsia="宋体" w:cs="Times New Roman"/>
                <w:b/>
                <w:color w:val="auto"/>
                <w:sz w:val="21"/>
                <w:szCs w:val="21"/>
              </w:rPr>
              <w:t xml:space="preserve"> </w:t>
            </w:r>
            <w:r>
              <w:rPr>
                <w:rFonts w:hint="default" w:ascii="Times New Roman" w:hAnsi="Times New Roman" w:eastAsia="宋体" w:cs="Times New Roman"/>
                <w:b/>
                <w:color w:val="auto"/>
                <w:sz w:val="21"/>
                <w:szCs w:val="21"/>
                <w:lang w:val="en-US" w:eastAsia="zh-CN"/>
              </w:rPr>
              <w:t>项目</w:t>
            </w:r>
            <w:r>
              <w:rPr>
                <w:rFonts w:hint="default" w:ascii="Times New Roman" w:hAnsi="Times New Roman" w:eastAsia="宋体" w:cs="Times New Roman"/>
                <w:b/>
                <w:color w:val="auto"/>
                <w:sz w:val="21"/>
                <w:szCs w:val="21"/>
              </w:rPr>
              <w:t>与</w:t>
            </w:r>
            <w:r>
              <w:rPr>
                <w:rFonts w:hint="default" w:ascii="Times New Roman" w:hAnsi="Times New Roman" w:eastAsia="宋体" w:cs="Times New Roman"/>
                <w:b/>
                <w:bCs/>
                <w:color w:val="auto"/>
                <w:sz w:val="21"/>
                <w:szCs w:val="21"/>
              </w:rPr>
              <w:t>《</w:t>
            </w:r>
            <w:r>
              <w:rPr>
                <w:rStyle w:val="46"/>
                <w:rFonts w:hint="default" w:ascii="Times New Roman" w:hAnsi="Times New Roman" w:eastAsia="宋体" w:cs="Times New Roman"/>
                <w:color w:val="auto"/>
                <w:sz w:val="21"/>
                <w:szCs w:val="21"/>
              </w:rPr>
              <w:t>牛栏江流域（寻甸段）水环境保护规划</w:t>
            </w:r>
            <w:r>
              <w:rPr>
                <w:rFonts w:hint="default" w:ascii="Times New Roman" w:hAnsi="Times New Roman" w:eastAsia="宋体" w:cs="Times New Roman"/>
                <w:b/>
                <w:bCs/>
                <w:color w:val="auto"/>
                <w:sz w:val="21"/>
                <w:szCs w:val="21"/>
              </w:rPr>
              <w:t>》符合性</w:t>
            </w:r>
            <w:r>
              <w:rPr>
                <w:rFonts w:hint="default" w:ascii="Times New Roman" w:hAnsi="Times New Roman" w:eastAsia="宋体" w:cs="Times New Roman"/>
                <w:b/>
                <w:color w:val="auto"/>
                <w:sz w:val="21"/>
                <w:szCs w:val="21"/>
              </w:rPr>
              <w:t>分析</w:t>
            </w:r>
          </w:p>
          <w:tbl>
            <w:tblPr>
              <w:tblStyle w:val="3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3237"/>
              <w:gridCol w:w="3325"/>
              <w:gridCol w:w="849"/>
            </w:tblGrid>
            <w:tr w14:paraId="4BA4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 w:type="pct"/>
                  <w:tcBorders>
                    <w:top w:val="single" w:color="auto" w:sz="4" w:space="0"/>
                    <w:left w:val="single" w:color="auto" w:sz="4" w:space="0"/>
                    <w:bottom w:val="single" w:color="auto" w:sz="4" w:space="0"/>
                    <w:right w:val="single" w:color="auto" w:sz="4" w:space="0"/>
                  </w:tcBorders>
                  <w:noWrap w:val="0"/>
                  <w:vAlign w:val="center"/>
                </w:tcPr>
                <w:p w14:paraId="2188F8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序号</w:t>
                  </w:r>
                </w:p>
              </w:tc>
              <w:tc>
                <w:tcPr>
                  <w:tcW w:w="2049" w:type="pct"/>
                  <w:tcBorders>
                    <w:top w:val="single" w:color="auto" w:sz="4" w:space="0"/>
                    <w:left w:val="nil"/>
                    <w:bottom w:val="single" w:color="auto" w:sz="4" w:space="0"/>
                    <w:right w:val="single" w:color="auto" w:sz="4" w:space="0"/>
                  </w:tcBorders>
                  <w:noWrap w:val="0"/>
                  <w:vAlign w:val="center"/>
                </w:tcPr>
                <w:p w14:paraId="693FDD4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《牛栏江流域（寻甸段）水环境保护规划》</w:t>
                  </w:r>
                  <w:r>
                    <w:rPr>
                      <w:rFonts w:hint="default" w:ascii="Times New Roman" w:hAnsi="Times New Roman" w:eastAsia="宋体" w:cs="Times New Roman"/>
                      <w:b/>
                      <w:bCs/>
                      <w:color w:val="auto"/>
                      <w:sz w:val="21"/>
                      <w:szCs w:val="21"/>
                      <w:lang w:val="en-US" w:eastAsia="zh-CN"/>
                    </w:rPr>
                    <w:t>相关要求</w:t>
                  </w:r>
                </w:p>
              </w:tc>
              <w:tc>
                <w:tcPr>
                  <w:tcW w:w="2105" w:type="pct"/>
                  <w:tcBorders>
                    <w:top w:val="single" w:color="auto" w:sz="4" w:space="0"/>
                    <w:left w:val="nil"/>
                    <w:bottom w:val="single" w:color="auto" w:sz="4" w:space="0"/>
                    <w:right w:val="single" w:color="auto" w:sz="4" w:space="0"/>
                  </w:tcBorders>
                  <w:noWrap w:val="0"/>
                  <w:vAlign w:val="center"/>
                </w:tcPr>
                <w:p w14:paraId="6D7B07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lang w:val="en-US" w:eastAsia="zh-CN"/>
                    </w:rPr>
                    <w:t>本</w:t>
                  </w:r>
                  <w:r>
                    <w:rPr>
                      <w:rFonts w:hint="default" w:ascii="Times New Roman" w:hAnsi="Times New Roman" w:eastAsia="宋体" w:cs="Times New Roman"/>
                      <w:b/>
                      <w:bCs/>
                      <w:color w:val="auto"/>
                      <w:szCs w:val="21"/>
                    </w:rPr>
                    <w:t>项目</w:t>
                  </w:r>
                  <w:r>
                    <w:rPr>
                      <w:rFonts w:hint="default" w:ascii="Times New Roman" w:hAnsi="Times New Roman" w:eastAsia="宋体" w:cs="Times New Roman"/>
                      <w:b/>
                      <w:bCs/>
                      <w:color w:val="auto"/>
                      <w:szCs w:val="21"/>
                      <w:lang w:val="en-US" w:eastAsia="zh-CN"/>
                    </w:rPr>
                    <w:t>实际</w:t>
                  </w:r>
                  <w:r>
                    <w:rPr>
                      <w:rFonts w:hint="default" w:ascii="Times New Roman" w:hAnsi="Times New Roman" w:eastAsia="宋体" w:cs="Times New Roman"/>
                      <w:b/>
                      <w:bCs/>
                      <w:color w:val="auto"/>
                      <w:szCs w:val="21"/>
                    </w:rPr>
                    <w:t>情况</w:t>
                  </w:r>
                </w:p>
              </w:tc>
              <w:tc>
                <w:tcPr>
                  <w:tcW w:w="537" w:type="pct"/>
                  <w:tcBorders>
                    <w:top w:val="single" w:color="auto" w:sz="4" w:space="0"/>
                    <w:left w:val="nil"/>
                    <w:bottom w:val="single" w:color="auto" w:sz="4" w:space="0"/>
                    <w:right w:val="single" w:color="auto" w:sz="4" w:space="0"/>
                  </w:tcBorders>
                  <w:noWrap w:val="0"/>
                  <w:vAlign w:val="center"/>
                </w:tcPr>
                <w:p w14:paraId="4C88C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05" w:leftChars="-50" w:right="-105" w:rightChars="-5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相符性</w:t>
                  </w:r>
                </w:p>
              </w:tc>
            </w:tr>
            <w:tr w14:paraId="244C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 w:type="pct"/>
                  <w:tcBorders>
                    <w:top w:val="single" w:color="auto" w:sz="4" w:space="0"/>
                    <w:left w:val="single" w:color="auto" w:sz="4" w:space="0"/>
                    <w:bottom w:val="single" w:color="auto" w:sz="4" w:space="0"/>
                    <w:right w:val="single" w:color="auto" w:sz="4" w:space="0"/>
                  </w:tcBorders>
                  <w:noWrap w:val="0"/>
                  <w:vAlign w:val="center"/>
                </w:tcPr>
                <w:p w14:paraId="43C45A82">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1</w:t>
                  </w:r>
                </w:p>
              </w:tc>
              <w:tc>
                <w:tcPr>
                  <w:tcW w:w="2049" w:type="pct"/>
                  <w:tcBorders>
                    <w:top w:val="single" w:color="auto" w:sz="4" w:space="0"/>
                    <w:left w:val="nil"/>
                    <w:bottom w:val="single" w:color="auto" w:sz="4" w:space="0"/>
                    <w:right w:val="single" w:color="auto" w:sz="4" w:space="0"/>
                  </w:tcBorders>
                  <w:noWrap w:val="0"/>
                  <w:vAlign w:val="center"/>
                </w:tcPr>
                <w:p w14:paraId="59A7B58A">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加强对重点工业污染源的监督，确保牛栏江流域（寻甸段）内重点企业污水稳定达标排放并实现“零排放”</w:t>
                  </w:r>
                  <w:r>
                    <w:rPr>
                      <w:rFonts w:hint="eastAsia" w:cs="Times New Roman"/>
                      <w:bCs/>
                      <w:color w:val="auto"/>
                      <w:szCs w:val="21"/>
                      <w:lang w:eastAsia="zh-CN"/>
                    </w:rPr>
                    <w:t>，对</w:t>
                  </w:r>
                  <w:r>
                    <w:rPr>
                      <w:rFonts w:hint="default" w:ascii="Times New Roman" w:hAnsi="Times New Roman" w:eastAsia="宋体" w:cs="Times New Roman"/>
                      <w:bCs/>
                      <w:color w:val="auto"/>
                      <w:szCs w:val="21"/>
                    </w:rPr>
                    <w:t>固体废弃物最大程度重复利用和安全处置，消除工业企业的环境安全隐患，确保环保设施的正常运行，杜绝工业企业偷排、漏排污染物的现象。</w:t>
                  </w:r>
                </w:p>
              </w:tc>
              <w:tc>
                <w:tcPr>
                  <w:tcW w:w="2105" w:type="pct"/>
                  <w:tcBorders>
                    <w:top w:val="single" w:color="auto" w:sz="4" w:space="0"/>
                    <w:left w:val="nil"/>
                    <w:bottom w:val="single" w:color="auto" w:sz="4" w:space="0"/>
                    <w:right w:val="single" w:color="auto" w:sz="4" w:space="0"/>
                  </w:tcBorders>
                  <w:noWrap w:val="0"/>
                  <w:vAlign w:val="center"/>
                </w:tcPr>
                <w:p w14:paraId="5373F563">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项目</w:t>
                  </w:r>
                  <w:r>
                    <w:rPr>
                      <w:rFonts w:hint="eastAsia" w:ascii="Times New Roman" w:cs="Times New Roman"/>
                      <w:color w:val="auto"/>
                      <w:sz w:val="21"/>
                      <w:szCs w:val="21"/>
                      <w:lang w:val="en-US" w:eastAsia="zh-CN"/>
                    </w:rPr>
                    <w:t>年用水量为</w:t>
                  </w:r>
                  <w:r>
                    <w:rPr>
                      <w:rFonts w:hint="eastAsia" w:cs="Times New Roman"/>
                      <w:color w:val="auto"/>
                      <w:sz w:val="21"/>
                      <w:szCs w:val="21"/>
                      <w:lang w:val="en-US" w:eastAsia="zh-CN"/>
                    </w:rPr>
                    <w:t>2327.5m</w:t>
                  </w:r>
                  <w:r>
                    <w:rPr>
                      <w:rFonts w:hint="eastAsia" w:cs="Times New Roman"/>
                      <w:color w:val="auto"/>
                      <w:sz w:val="21"/>
                      <w:szCs w:val="21"/>
                      <w:vertAlign w:val="superscript"/>
                      <w:lang w:val="en-US" w:eastAsia="zh-CN"/>
                    </w:rPr>
                    <w:t>3</w:t>
                  </w:r>
                  <w:r>
                    <w:rPr>
                      <w:rFonts w:hint="eastAsia" w:ascii="Times New Roman" w:cs="Times New Roman"/>
                      <w:color w:val="auto"/>
                      <w:sz w:val="21"/>
                      <w:szCs w:val="21"/>
                      <w:lang w:val="en-US" w:eastAsia="zh-CN"/>
                    </w:rPr>
                    <w:t>，</w:t>
                  </w:r>
                  <w:r>
                    <w:rPr>
                      <w:rFonts w:hint="default" w:ascii="Times New Roman" w:hAnsi="Times New Roman" w:eastAsia="宋体" w:cs="Times New Roman"/>
                      <w:color w:val="auto"/>
                      <w:kern w:val="0"/>
                      <w:szCs w:val="21"/>
                    </w:rPr>
                    <w:t>用水量较小，且</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已建污水处理系统（化粪池+</w:t>
                  </w:r>
                  <w:r>
                    <w:rPr>
                      <w:rFonts w:hint="default" w:ascii="Times New Roman" w:hAnsi="Times New Roman" w:eastAsia="宋体" w:cs="Times New Roman"/>
                      <w:color w:val="auto"/>
                      <w:kern w:val="0"/>
                      <w:sz w:val="21"/>
                      <w:szCs w:val="21"/>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，不外排</w:t>
                  </w:r>
                  <w:r>
                    <w:rPr>
                      <w:rFonts w:hint="eastAsia" w:cs="Times New Roman"/>
                      <w:color w:val="auto"/>
                      <w:sz w:val="21"/>
                      <w:szCs w:val="21"/>
                      <w:lang w:eastAsia="zh-CN"/>
                    </w:rPr>
                    <w:t>；</w:t>
                  </w:r>
                  <w:r>
                    <w:rPr>
                      <w:rFonts w:hint="eastAsia" w:cs="Times New Roman"/>
                      <w:color w:val="auto"/>
                      <w:sz w:val="21"/>
                      <w:szCs w:val="21"/>
                      <w:lang w:val="en-US" w:eastAsia="zh-CN"/>
                    </w:rPr>
                    <w:t>间接冷却循环废水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w:t>
                  </w:r>
                  <w:r>
                    <w:rPr>
                      <w:rFonts w:hint="default" w:ascii="Times New Roman" w:hAnsi="Times New Roman" w:eastAsia="宋体" w:cs="Times New Roman"/>
                      <w:color w:val="auto"/>
                      <w:kern w:val="0"/>
                      <w:sz w:val="21"/>
                      <w:szCs w:val="21"/>
                      <w:lang w:val="en-US" w:eastAsia="zh-CN" w:bidi="ar"/>
                    </w:rPr>
                    <w:t>一体化污水处理设施处理后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kern w:val="0"/>
                      <w:szCs w:val="21"/>
                    </w:rPr>
                    <w:t>无废水</w:t>
                  </w:r>
                  <w:r>
                    <w:rPr>
                      <w:rFonts w:hint="default" w:ascii="Times New Roman" w:hAnsi="Times New Roman" w:eastAsia="宋体" w:cs="Times New Roman"/>
                      <w:color w:val="auto"/>
                      <w:kern w:val="0"/>
                      <w:szCs w:val="21"/>
                      <w:lang w:val="en-US" w:eastAsia="zh-CN"/>
                    </w:rPr>
                    <w:t>外排</w:t>
                  </w:r>
                  <w:r>
                    <w:rPr>
                      <w:rFonts w:hint="default" w:ascii="Times New Roman" w:hAnsi="Times New Roman" w:eastAsia="宋体" w:cs="Times New Roman"/>
                      <w:color w:val="auto"/>
                      <w:sz w:val="21"/>
                      <w:szCs w:val="21"/>
                    </w:rPr>
                    <w:t>。</w:t>
                  </w:r>
                  <w:r>
                    <w:rPr>
                      <w:rFonts w:hint="default" w:ascii="Times New Roman" w:hAnsi="Times New Roman" w:eastAsia="宋体" w:cs="Times New Roman"/>
                      <w:bCs/>
                      <w:color w:val="auto"/>
                      <w:sz w:val="21"/>
                      <w:szCs w:val="21"/>
                    </w:rPr>
                    <w:t>本项目废水能够实现“零排</w:t>
                  </w:r>
                  <w:r>
                    <w:rPr>
                      <w:rFonts w:hint="default" w:ascii="Times New Roman" w:hAnsi="Times New Roman" w:eastAsia="宋体" w:cs="Times New Roman"/>
                      <w:bCs/>
                      <w:color w:val="auto"/>
                      <w:szCs w:val="21"/>
                    </w:rPr>
                    <w:t>放”；固废处置率100%。</w:t>
                  </w:r>
                </w:p>
              </w:tc>
              <w:tc>
                <w:tcPr>
                  <w:tcW w:w="537" w:type="pct"/>
                  <w:tcBorders>
                    <w:top w:val="single" w:color="auto" w:sz="4" w:space="0"/>
                    <w:left w:val="nil"/>
                    <w:bottom w:val="single" w:color="auto" w:sz="4" w:space="0"/>
                    <w:right w:val="single" w:color="auto" w:sz="4" w:space="0"/>
                  </w:tcBorders>
                  <w:noWrap w:val="0"/>
                  <w:vAlign w:val="center"/>
                </w:tcPr>
                <w:p w14:paraId="51DB02C5">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符合</w:t>
                  </w:r>
                </w:p>
              </w:tc>
            </w:tr>
            <w:tr w14:paraId="3E26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 w:type="pct"/>
                  <w:tcBorders>
                    <w:top w:val="single" w:color="auto" w:sz="4" w:space="0"/>
                    <w:left w:val="single" w:color="auto" w:sz="4" w:space="0"/>
                    <w:bottom w:val="single" w:color="auto" w:sz="4" w:space="0"/>
                    <w:right w:val="single" w:color="auto" w:sz="4" w:space="0"/>
                  </w:tcBorders>
                  <w:noWrap w:val="0"/>
                  <w:vAlign w:val="center"/>
                </w:tcPr>
                <w:p w14:paraId="3E01BDEE">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2</w:t>
                  </w:r>
                </w:p>
              </w:tc>
              <w:tc>
                <w:tcPr>
                  <w:tcW w:w="2049" w:type="pct"/>
                  <w:tcBorders>
                    <w:top w:val="single" w:color="auto" w:sz="4" w:space="0"/>
                    <w:left w:val="nil"/>
                    <w:bottom w:val="single" w:color="auto" w:sz="4" w:space="0"/>
                    <w:right w:val="single" w:color="auto" w:sz="4" w:space="0"/>
                  </w:tcBorders>
                  <w:noWrap w:val="0"/>
                  <w:vAlign w:val="center"/>
                </w:tcPr>
                <w:p w14:paraId="526609A5">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建设再生水回用系统，污染控制区内不得建设不符合国家产业政策的工业项目及高污染工业项目；新增工业项目废水不得排放有毒有害物质，改扩建项目不得新增COD、TN、TP排放量；新增、改建、扩建工业项目应采用先进的生产工艺和污染防治技术，其清洁生产水平达到国家清洁生产标准中的国内先进水平。</w:t>
                  </w:r>
                </w:p>
              </w:tc>
              <w:tc>
                <w:tcPr>
                  <w:tcW w:w="2105" w:type="pct"/>
                  <w:tcBorders>
                    <w:top w:val="single" w:color="auto" w:sz="4" w:space="0"/>
                    <w:left w:val="nil"/>
                    <w:bottom w:val="single" w:color="auto" w:sz="4" w:space="0"/>
                    <w:right w:val="single" w:color="auto" w:sz="4" w:space="0"/>
                  </w:tcBorders>
                  <w:noWrap w:val="0"/>
                  <w:vAlign w:val="center"/>
                </w:tcPr>
                <w:p w14:paraId="197928BB">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kern w:val="0"/>
                      <w:szCs w:val="21"/>
                    </w:rPr>
                    <w:t>项目用水量较小，且</w:t>
                  </w:r>
                  <w:r>
                    <w:rPr>
                      <w:rFonts w:hint="eastAsia" w:cs="Times New Roman"/>
                      <w:color w:val="auto"/>
                      <w:sz w:val="21"/>
                      <w:szCs w:val="21"/>
                      <w:lang w:val="en-US" w:eastAsia="zh-CN"/>
                    </w:rPr>
                    <w:t>间接冷却循环废水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w:t>
                  </w:r>
                  <w:r>
                    <w:rPr>
                      <w:rFonts w:hint="default" w:ascii="Times New Roman" w:hAnsi="Times New Roman" w:eastAsia="宋体" w:cs="Times New Roman"/>
                      <w:color w:val="auto"/>
                      <w:kern w:val="0"/>
                      <w:sz w:val="21"/>
                      <w:szCs w:val="21"/>
                      <w:lang w:val="en-US" w:eastAsia="zh-CN" w:bidi="ar"/>
                    </w:rPr>
                    <w:t>一体化污水处理设施处理后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kern w:val="0"/>
                      <w:sz w:val="21"/>
                      <w:szCs w:val="21"/>
                    </w:rPr>
                    <w:t>无生产废水</w:t>
                  </w:r>
                  <w:r>
                    <w:rPr>
                      <w:rFonts w:hint="default" w:ascii="Times New Roman" w:hAnsi="Times New Roman" w:eastAsia="宋体" w:cs="Times New Roman"/>
                      <w:color w:val="auto"/>
                      <w:kern w:val="0"/>
                      <w:sz w:val="21"/>
                      <w:szCs w:val="21"/>
                      <w:lang w:val="en-US" w:eastAsia="zh-CN"/>
                    </w:rPr>
                    <w:t>外排</w:t>
                  </w:r>
                  <w:r>
                    <w:rPr>
                      <w:rFonts w:hint="eastAsia" w:cs="Times New Roman"/>
                      <w:color w:val="auto"/>
                      <w:kern w:val="0"/>
                      <w:sz w:val="21"/>
                      <w:szCs w:val="21"/>
                      <w:lang w:eastAsia="zh-CN"/>
                    </w:rPr>
                    <w:t>；</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已建污水处理系统（化粪池+</w:t>
                  </w:r>
                  <w:r>
                    <w:rPr>
                      <w:rFonts w:hint="default" w:ascii="Times New Roman" w:hAnsi="Times New Roman" w:eastAsia="宋体" w:cs="Times New Roman"/>
                      <w:color w:val="auto"/>
                      <w:kern w:val="0"/>
                      <w:sz w:val="21"/>
                      <w:szCs w:val="21"/>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，不外排</w:t>
                  </w:r>
                  <w:r>
                    <w:rPr>
                      <w:rFonts w:hint="default" w:ascii="Times New Roman" w:hAnsi="Times New Roman" w:eastAsia="宋体" w:cs="Times New Roman"/>
                      <w:color w:val="auto"/>
                      <w:sz w:val="21"/>
                      <w:szCs w:val="21"/>
                      <w:lang w:eastAsia="zh-CN"/>
                    </w:rPr>
                    <w:t>。</w:t>
                  </w:r>
                </w:p>
              </w:tc>
              <w:tc>
                <w:tcPr>
                  <w:tcW w:w="537" w:type="pct"/>
                  <w:tcBorders>
                    <w:top w:val="single" w:color="auto" w:sz="4" w:space="0"/>
                    <w:left w:val="nil"/>
                    <w:bottom w:val="single" w:color="auto" w:sz="4" w:space="0"/>
                    <w:right w:val="single" w:color="auto" w:sz="4" w:space="0"/>
                  </w:tcBorders>
                  <w:noWrap w:val="0"/>
                  <w:vAlign w:val="center"/>
                </w:tcPr>
                <w:p w14:paraId="53AFCAB5">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符合</w:t>
                  </w:r>
                </w:p>
              </w:tc>
            </w:tr>
          </w:tbl>
          <w:p w14:paraId="03FB37EA">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由上表可知，项目</w:t>
            </w:r>
            <w:r>
              <w:rPr>
                <w:rFonts w:hint="default" w:ascii="Times New Roman" w:hAnsi="Times New Roman" w:eastAsia="宋体" w:cs="Times New Roman"/>
                <w:color w:val="auto"/>
                <w:sz w:val="24"/>
                <w:szCs w:val="24"/>
                <w:lang w:val="en-US" w:eastAsia="zh-CN"/>
              </w:rPr>
              <w:t>建设</w:t>
            </w:r>
            <w:r>
              <w:rPr>
                <w:rFonts w:hint="default" w:ascii="Times New Roman" w:hAnsi="Times New Roman" w:eastAsia="宋体" w:cs="Times New Roman"/>
                <w:color w:val="auto"/>
                <w:sz w:val="24"/>
                <w:szCs w:val="24"/>
              </w:rPr>
              <w:t>符合《牛栏江流域（寻甸段）水环境保护规划》相关要求</w:t>
            </w:r>
            <w:r>
              <w:rPr>
                <w:rFonts w:hint="default" w:ascii="Times New Roman" w:hAnsi="Times New Roman" w:eastAsia="宋体" w:cs="Times New Roman"/>
                <w:color w:val="auto"/>
                <w:sz w:val="24"/>
                <w:szCs w:val="24"/>
                <w:lang w:eastAsia="zh-CN"/>
              </w:rPr>
              <w:t>。</w:t>
            </w:r>
          </w:p>
          <w:p w14:paraId="3FA178AA">
            <w:pPr>
              <w:pStyle w:val="24"/>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color w:val="000000"/>
                <w:sz w:val="24"/>
                <w:szCs w:val="24"/>
              </w:rPr>
            </w:pPr>
            <w:r>
              <w:rPr>
                <w:rFonts w:hint="eastAsia" w:ascii="Times New Roman" w:hAnsi="Times New Roman" w:cs="Times New Roman"/>
                <w:b/>
                <w:color w:val="000000"/>
                <w:sz w:val="24"/>
                <w:szCs w:val="24"/>
                <w:lang w:val="en-US" w:eastAsia="zh-CN"/>
              </w:rPr>
              <w:t>8</w:t>
            </w:r>
            <w:r>
              <w:rPr>
                <w:rFonts w:hint="default" w:ascii="Times New Roman" w:hAnsi="Times New Roman" w:eastAsia="宋体" w:cs="Times New Roman"/>
                <w:b/>
                <w:color w:val="000000"/>
                <w:sz w:val="24"/>
                <w:szCs w:val="24"/>
              </w:rPr>
              <w:t>、《</w:t>
            </w:r>
            <w:r>
              <w:rPr>
                <w:rFonts w:hint="eastAsia" w:ascii="Times New Roman" w:hAnsi="Times New Roman" w:cs="Times New Roman"/>
                <w:b/>
                <w:color w:val="000000"/>
                <w:sz w:val="24"/>
                <w:szCs w:val="24"/>
                <w:lang w:val="en-US" w:eastAsia="zh-CN"/>
              </w:rPr>
              <w:t>&lt;</w:t>
            </w:r>
            <w:r>
              <w:rPr>
                <w:rFonts w:hint="default" w:ascii="Times New Roman" w:hAnsi="Times New Roman" w:eastAsia="宋体" w:cs="Times New Roman"/>
                <w:b/>
                <w:color w:val="000000"/>
                <w:sz w:val="24"/>
                <w:szCs w:val="24"/>
              </w:rPr>
              <w:t>长江经济带发展负面清单指南</w:t>
            </w:r>
            <w:r>
              <w:rPr>
                <w:rFonts w:hint="eastAsia" w:ascii="Times New Roman" w:hAnsi="Times New Roman" w:cs="Times New Roman"/>
                <w:b/>
                <w:color w:val="000000"/>
                <w:sz w:val="24"/>
                <w:szCs w:val="24"/>
                <w:lang w:val="en-US" w:eastAsia="zh-CN"/>
              </w:rPr>
              <w:t>&gt;</w:t>
            </w:r>
            <w:r>
              <w:rPr>
                <w:rFonts w:hint="default" w:ascii="Times New Roman" w:hAnsi="Times New Roman" w:eastAsia="宋体" w:cs="Times New Roman"/>
                <w:b/>
                <w:color w:val="000000"/>
                <w:sz w:val="24"/>
                <w:szCs w:val="24"/>
              </w:rPr>
              <w:t>（试行，2022年版）的通知》的符合性分析</w:t>
            </w:r>
          </w:p>
          <w:p w14:paraId="6F90C4A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项目与《</w:t>
            </w:r>
            <w:r>
              <w:rPr>
                <w:rFonts w:hint="eastAsia" w:cs="Times New Roman"/>
                <w:color w:val="000000"/>
                <w:sz w:val="24"/>
                <w:lang w:val="en-US" w:eastAsia="zh-CN"/>
              </w:rPr>
              <w:t>&lt;</w:t>
            </w:r>
            <w:r>
              <w:rPr>
                <w:rFonts w:hint="default" w:ascii="Times New Roman" w:hAnsi="Times New Roman" w:eastAsia="宋体" w:cs="Times New Roman"/>
                <w:color w:val="000000"/>
                <w:sz w:val="24"/>
              </w:rPr>
              <w:t>长江经济带发展负面清单指南</w:t>
            </w:r>
            <w:r>
              <w:rPr>
                <w:rFonts w:hint="eastAsia" w:cs="Times New Roman"/>
                <w:color w:val="000000"/>
                <w:sz w:val="24"/>
                <w:lang w:val="en-US" w:eastAsia="zh-CN"/>
              </w:rPr>
              <w:t>&gt;</w:t>
            </w:r>
            <w:r>
              <w:rPr>
                <w:rFonts w:hint="default" w:ascii="Times New Roman" w:hAnsi="Times New Roman" w:eastAsia="宋体" w:cs="Times New Roman"/>
                <w:color w:val="000000"/>
                <w:sz w:val="24"/>
              </w:rPr>
              <w:t>（试行，2022年版）的通知》对比分析情况见下表1-1</w:t>
            </w:r>
            <w:r>
              <w:rPr>
                <w:rFonts w:hint="eastAsia" w:cs="Times New Roman"/>
                <w:color w:val="000000"/>
                <w:sz w:val="24"/>
                <w:lang w:val="en-US" w:eastAsia="zh-CN"/>
              </w:rPr>
              <w:t>1</w:t>
            </w:r>
            <w:r>
              <w:rPr>
                <w:rFonts w:hint="default" w:ascii="Times New Roman" w:hAnsi="Times New Roman" w:eastAsia="宋体" w:cs="Times New Roman"/>
                <w:color w:val="000000"/>
                <w:sz w:val="24"/>
              </w:rPr>
              <w:t>。</w:t>
            </w:r>
          </w:p>
          <w:p w14:paraId="6E693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color w:val="000000"/>
                <w:szCs w:val="21"/>
              </w:rPr>
            </w:pPr>
            <w:r>
              <w:rPr>
                <w:rFonts w:hint="default" w:ascii="Times New Roman" w:hAnsi="Times New Roman" w:eastAsia="宋体" w:cs="Times New Roman"/>
                <w:b/>
                <w:color w:val="000000"/>
                <w:szCs w:val="21"/>
              </w:rPr>
              <w:t>表1-1</w:t>
            </w:r>
            <w:r>
              <w:rPr>
                <w:rFonts w:hint="eastAsia" w:cs="Times New Roman"/>
                <w:b/>
                <w:color w:val="000000"/>
                <w:szCs w:val="21"/>
                <w:lang w:val="en-US" w:eastAsia="zh-CN"/>
              </w:rPr>
              <w:t xml:space="preserve">1 </w:t>
            </w:r>
            <w:r>
              <w:rPr>
                <w:rFonts w:hint="default" w:ascii="Times New Roman" w:hAnsi="Times New Roman" w:eastAsia="宋体" w:cs="Times New Roman"/>
                <w:b/>
                <w:color w:val="000000"/>
                <w:szCs w:val="21"/>
                <w:lang w:val="en-US" w:eastAsia="zh-CN"/>
              </w:rPr>
              <w:t xml:space="preserve"> </w:t>
            </w:r>
            <w:r>
              <w:rPr>
                <w:rFonts w:hint="default" w:ascii="Times New Roman" w:hAnsi="Times New Roman" w:eastAsia="宋体" w:cs="Times New Roman"/>
                <w:b/>
                <w:color w:val="000000"/>
                <w:szCs w:val="21"/>
              </w:rPr>
              <w:t>与《</w:t>
            </w:r>
            <w:r>
              <w:rPr>
                <w:rFonts w:hint="eastAsia" w:cs="Times New Roman"/>
                <w:b/>
                <w:color w:val="000000"/>
                <w:szCs w:val="21"/>
                <w:lang w:val="en-US" w:eastAsia="zh-CN"/>
              </w:rPr>
              <w:t>&lt;</w:t>
            </w:r>
            <w:r>
              <w:rPr>
                <w:rFonts w:hint="default" w:ascii="Times New Roman" w:hAnsi="Times New Roman" w:eastAsia="宋体" w:cs="Times New Roman"/>
                <w:b/>
                <w:color w:val="000000"/>
                <w:szCs w:val="21"/>
              </w:rPr>
              <w:t>长江经济带发展负面清单指南</w:t>
            </w:r>
            <w:r>
              <w:rPr>
                <w:rFonts w:hint="eastAsia" w:cs="Times New Roman"/>
                <w:b/>
                <w:color w:val="000000"/>
                <w:szCs w:val="21"/>
                <w:lang w:val="en-US" w:eastAsia="zh-CN"/>
              </w:rPr>
              <w:t>&gt;</w:t>
            </w:r>
            <w:r>
              <w:rPr>
                <w:rFonts w:hint="default" w:ascii="Times New Roman" w:hAnsi="Times New Roman" w:eastAsia="宋体" w:cs="Times New Roman"/>
                <w:b/>
                <w:color w:val="000000"/>
                <w:szCs w:val="21"/>
              </w:rPr>
              <w:t>（试行，2022年版）的通知》相符性分析</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5"/>
              <w:gridCol w:w="2562"/>
              <w:gridCol w:w="889"/>
            </w:tblGrid>
            <w:tr w14:paraId="7764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51F168E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《指南》要求</w:t>
                  </w:r>
                </w:p>
              </w:tc>
              <w:tc>
                <w:tcPr>
                  <w:tcW w:w="1622" w:type="pct"/>
                  <w:noWrap w:val="0"/>
                  <w:vAlign w:val="center"/>
                </w:tcPr>
                <w:p w14:paraId="2328112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本项目</w:t>
                  </w:r>
                </w:p>
              </w:tc>
              <w:tc>
                <w:tcPr>
                  <w:tcW w:w="563" w:type="pct"/>
                  <w:noWrap w:val="0"/>
                  <w:vAlign w:val="center"/>
                </w:tcPr>
                <w:p w14:paraId="4FD87C0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相符性</w:t>
                  </w:r>
                </w:p>
              </w:tc>
            </w:tr>
            <w:tr w14:paraId="38D2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51A5660C">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（一）</w:t>
                  </w:r>
                  <w:r>
                    <w:rPr>
                      <w:rFonts w:hint="default" w:ascii="Times New Roman" w:hAnsi="Times New Roman" w:eastAsia="宋体" w:cs="Times New Roman"/>
                      <w:color w:val="000000"/>
                      <w:szCs w:val="21"/>
                      <w:lang w:val="zh-CN"/>
                    </w:rPr>
                    <w:t>禁止建设不符合全国和省级港口布局规划以及港口</w:t>
                  </w:r>
                  <w:r>
                    <w:rPr>
                      <w:rFonts w:hint="eastAsia" w:cs="Times New Roman"/>
                      <w:color w:val="000000"/>
                      <w:szCs w:val="21"/>
                      <w:lang w:val="zh-CN"/>
                    </w:rPr>
                    <w:t>总体规划</w:t>
                  </w:r>
                  <w:r>
                    <w:rPr>
                      <w:rFonts w:hint="default" w:ascii="Times New Roman" w:hAnsi="Times New Roman" w:eastAsia="宋体" w:cs="Times New Roman"/>
                      <w:color w:val="000000"/>
                      <w:szCs w:val="21"/>
                      <w:lang w:val="zh-CN"/>
                    </w:rPr>
                    <w:t>的码头项目，禁止建设不符合《长江干线过江通道布局规划》的过长江通道项目。</w:t>
                  </w:r>
                </w:p>
              </w:tc>
              <w:tc>
                <w:tcPr>
                  <w:tcW w:w="1622" w:type="pct"/>
                  <w:noWrap w:val="0"/>
                  <w:vAlign w:val="center"/>
                </w:tcPr>
                <w:p w14:paraId="5E88D33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项目不属于码头或过长江通道项目。</w:t>
                  </w:r>
                </w:p>
              </w:tc>
              <w:tc>
                <w:tcPr>
                  <w:tcW w:w="563" w:type="pct"/>
                  <w:noWrap w:val="0"/>
                  <w:vAlign w:val="center"/>
                </w:tcPr>
                <w:p w14:paraId="716B2D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716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1FF27DBF">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color w:val="000000"/>
                      <w:szCs w:val="21"/>
                      <w:lang w:val="zh-CN"/>
                    </w:rPr>
                    <w:t>禁止在自然保护区核心区、缓冲区的岸线和河段范围内投资建设旅游和生产经营项目。禁止在风景名胜区核心景区的岸线和河段范围内投资建设与风景名胜资源保护无关的项目。</w:t>
                  </w:r>
                </w:p>
              </w:tc>
              <w:tc>
                <w:tcPr>
                  <w:tcW w:w="1622" w:type="pct"/>
                  <w:noWrap w:val="0"/>
                  <w:vAlign w:val="center"/>
                </w:tcPr>
                <w:p w14:paraId="2CB6E3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w:t>
                  </w:r>
                  <w:r>
                    <w:rPr>
                      <w:rFonts w:hint="eastAsia" w:cs="Times New Roman"/>
                      <w:color w:val="000000"/>
                      <w:szCs w:val="21"/>
                      <w:lang w:eastAsia="zh-CN"/>
                    </w:rPr>
                    <w:t>寻甸回族彝族自治县</w:t>
                  </w:r>
                  <w:r>
                    <w:rPr>
                      <w:rFonts w:hint="default" w:ascii="Times New Roman" w:hAnsi="Times New Roman" w:eastAsia="宋体" w:cs="Times New Roman"/>
                      <w:color w:val="000000"/>
                      <w:kern w:val="0"/>
                      <w:szCs w:val="21"/>
                    </w:rPr>
                    <w:t>寻甸特色产业园区金所片区</w:t>
                  </w:r>
                  <w:r>
                    <w:rPr>
                      <w:rFonts w:hint="default" w:ascii="Times New Roman" w:hAnsi="Times New Roman" w:eastAsia="宋体" w:cs="Times New Roman"/>
                      <w:color w:val="000000"/>
                      <w:szCs w:val="21"/>
                    </w:rPr>
                    <w:t>内，不涉及自然保护区、风景名胜区等，不涉及条款禁止行为。</w:t>
                  </w:r>
                </w:p>
              </w:tc>
              <w:tc>
                <w:tcPr>
                  <w:tcW w:w="563" w:type="pct"/>
                  <w:noWrap w:val="0"/>
                  <w:vAlign w:val="center"/>
                </w:tcPr>
                <w:p w14:paraId="4D25B6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72C4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3D4CA287">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color w:val="000000"/>
                      <w:szCs w:val="21"/>
                      <w:lang w:val="zh-CN"/>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622" w:type="pct"/>
                  <w:noWrap w:val="0"/>
                  <w:vAlign w:val="center"/>
                </w:tcPr>
                <w:p w14:paraId="779132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w:t>
                  </w:r>
                  <w:r>
                    <w:rPr>
                      <w:rFonts w:hint="eastAsia" w:cs="Times New Roman"/>
                      <w:color w:val="000000"/>
                      <w:szCs w:val="21"/>
                      <w:lang w:eastAsia="zh-CN"/>
                    </w:rPr>
                    <w:t>寻甸回族彝族自治县</w:t>
                  </w:r>
                  <w:r>
                    <w:rPr>
                      <w:rFonts w:hint="default" w:ascii="Times New Roman" w:hAnsi="Times New Roman" w:eastAsia="宋体" w:cs="Times New Roman"/>
                      <w:color w:val="000000"/>
                      <w:kern w:val="0"/>
                      <w:szCs w:val="21"/>
                    </w:rPr>
                    <w:t>寻甸特色产业园区金所片区</w:t>
                  </w:r>
                  <w:r>
                    <w:rPr>
                      <w:rFonts w:hint="default" w:ascii="Times New Roman" w:hAnsi="Times New Roman" w:eastAsia="宋体" w:cs="Times New Roman"/>
                      <w:color w:val="000000"/>
                      <w:szCs w:val="21"/>
                    </w:rPr>
                    <w:t>内，项目选址区域不涉及</w:t>
                  </w:r>
                  <w:r>
                    <w:rPr>
                      <w:rFonts w:hint="default" w:ascii="Times New Roman" w:hAnsi="Times New Roman" w:eastAsia="宋体" w:cs="Times New Roman"/>
                      <w:color w:val="000000"/>
                      <w:szCs w:val="21"/>
                      <w:lang w:val="zh-CN"/>
                    </w:rPr>
                    <w:t>饮用水水源一、二级保护区，</w:t>
                  </w:r>
                  <w:r>
                    <w:rPr>
                      <w:rFonts w:hint="default" w:ascii="Times New Roman" w:hAnsi="Times New Roman" w:eastAsia="宋体" w:cs="Times New Roman"/>
                      <w:color w:val="000000"/>
                      <w:szCs w:val="21"/>
                    </w:rPr>
                    <w:t>不涉及条款禁止行为。</w:t>
                  </w:r>
                </w:p>
              </w:tc>
              <w:tc>
                <w:tcPr>
                  <w:tcW w:w="563" w:type="pct"/>
                  <w:noWrap w:val="0"/>
                  <w:vAlign w:val="center"/>
                </w:tcPr>
                <w:p w14:paraId="1BA2B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5F61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26FBF3B6">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（四）</w:t>
                  </w:r>
                  <w:r>
                    <w:rPr>
                      <w:rFonts w:hint="default" w:ascii="Times New Roman" w:hAnsi="Times New Roman" w:eastAsia="宋体" w:cs="Times New Roman"/>
                      <w:color w:val="000000"/>
                      <w:szCs w:val="21"/>
                      <w:lang w:val="zh-CN"/>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622" w:type="pct"/>
                  <w:noWrap w:val="0"/>
                  <w:vAlign w:val="center"/>
                </w:tcPr>
                <w:p w14:paraId="7CAB71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w:t>
                  </w:r>
                  <w:r>
                    <w:rPr>
                      <w:rFonts w:hint="eastAsia" w:cs="Times New Roman"/>
                      <w:color w:val="000000"/>
                      <w:szCs w:val="21"/>
                      <w:lang w:eastAsia="zh-CN"/>
                    </w:rPr>
                    <w:t>寻甸回族彝族自治县</w:t>
                  </w:r>
                  <w:r>
                    <w:rPr>
                      <w:rFonts w:hint="default" w:ascii="Times New Roman" w:hAnsi="Times New Roman" w:eastAsia="宋体" w:cs="Times New Roman"/>
                      <w:color w:val="000000"/>
                      <w:kern w:val="0"/>
                      <w:szCs w:val="21"/>
                    </w:rPr>
                    <w:t>寻甸特色产业园区金所片区</w:t>
                  </w:r>
                  <w:r>
                    <w:rPr>
                      <w:rFonts w:hint="default" w:ascii="Times New Roman" w:hAnsi="Times New Roman" w:eastAsia="宋体" w:cs="Times New Roman"/>
                      <w:color w:val="000000"/>
                      <w:szCs w:val="21"/>
                    </w:rPr>
                    <w:t>内</w:t>
                  </w: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lang w:val="en-US" w:eastAsia="zh-CN"/>
                    </w:rPr>
                    <w:t>不涉及</w:t>
                  </w:r>
                  <w:r>
                    <w:rPr>
                      <w:rFonts w:hint="default" w:ascii="Times New Roman" w:hAnsi="Times New Roman" w:eastAsia="宋体" w:cs="Times New Roman"/>
                      <w:color w:val="000000"/>
                      <w:szCs w:val="21"/>
                      <w:lang w:val="zh-CN"/>
                    </w:rPr>
                    <w:t>水产种质资源保护区的岸线和河段范围</w:t>
                  </w:r>
                  <w:r>
                    <w:rPr>
                      <w:rFonts w:hint="eastAsia" w:ascii="Times New Roman" w:hAnsi="Times New Roman" w:eastAsia="宋体" w:cs="Times New Roman"/>
                      <w:color w:val="000000"/>
                      <w:szCs w:val="21"/>
                      <w:lang w:val="zh-CN"/>
                    </w:rPr>
                    <w:t>、</w:t>
                  </w:r>
                  <w:r>
                    <w:rPr>
                      <w:rFonts w:hint="default" w:ascii="Times New Roman" w:hAnsi="Times New Roman" w:eastAsia="宋体" w:cs="Times New Roman"/>
                      <w:color w:val="000000"/>
                      <w:szCs w:val="21"/>
                      <w:lang w:val="zh-CN"/>
                    </w:rPr>
                    <w:t>国家湿地公园的岸线和河段范围</w:t>
                  </w:r>
                  <w:r>
                    <w:rPr>
                      <w:rFonts w:hint="default" w:ascii="Times New Roman" w:hAnsi="Times New Roman" w:eastAsia="宋体" w:cs="Times New Roman"/>
                      <w:color w:val="000000"/>
                      <w:szCs w:val="21"/>
                      <w:highlight w:val="none"/>
                      <w:lang w:val="zh-CN"/>
                    </w:rPr>
                    <w:t>。</w:t>
                  </w:r>
                </w:p>
              </w:tc>
              <w:tc>
                <w:tcPr>
                  <w:tcW w:w="563" w:type="pct"/>
                  <w:noWrap w:val="0"/>
                  <w:vAlign w:val="center"/>
                </w:tcPr>
                <w:p w14:paraId="1E00E8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811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59B8DED3">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（五）</w:t>
                  </w:r>
                  <w:r>
                    <w:rPr>
                      <w:rFonts w:hint="default" w:ascii="Times New Roman" w:hAnsi="Times New Roman" w:eastAsia="宋体" w:cs="Times New Roman"/>
                      <w:color w:val="000000"/>
                      <w:szCs w:val="21"/>
                      <w:lang w:val="zh-CN"/>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622" w:type="pct"/>
                  <w:noWrap w:val="0"/>
                  <w:vAlign w:val="center"/>
                </w:tcPr>
                <w:p w14:paraId="1FA510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w:t>
                  </w:r>
                  <w:r>
                    <w:rPr>
                      <w:rFonts w:hint="eastAsia" w:cs="Times New Roman"/>
                      <w:color w:val="000000"/>
                      <w:szCs w:val="21"/>
                      <w:lang w:eastAsia="zh-CN"/>
                    </w:rPr>
                    <w:t>寻甸回族彝族自治县</w:t>
                  </w:r>
                  <w:r>
                    <w:rPr>
                      <w:rFonts w:hint="default" w:ascii="Times New Roman" w:hAnsi="Times New Roman" w:eastAsia="宋体" w:cs="Times New Roman"/>
                      <w:color w:val="000000"/>
                      <w:kern w:val="0"/>
                      <w:szCs w:val="21"/>
                    </w:rPr>
                    <w:t>寻甸特色产业园区金所片区</w:t>
                  </w:r>
                  <w:r>
                    <w:rPr>
                      <w:rFonts w:hint="default" w:ascii="Times New Roman" w:hAnsi="Times New Roman" w:eastAsia="宋体" w:cs="Times New Roman"/>
                      <w:color w:val="000000"/>
                      <w:szCs w:val="21"/>
                    </w:rPr>
                    <w:t>内，不属于</w:t>
                  </w:r>
                  <w:r>
                    <w:rPr>
                      <w:rFonts w:hint="default" w:ascii="Times New Roman" w:hAnsi="Times New Roman" w:eastAsia="宋体" w:cs="Times New Roman"/>
                      <w:color w:val="000000"/>
                      <w:szCs w:val="21"/>
                      <w:lang w:val="zh-CN"/>
                    </w:rPr>
                    <w:t>违法利用、占用长江流域河湖岸线和投资建设不利于水资源及自然生态保护的项目</w:t>
                  </w:r>
                  <w:r>
                    <w:rPr>
                      <w:rFonts w:hint="default" w:ascii="Times New Roman" w:hAnsi="Times New Roman" w:eastAsia="宋体" w:cs="Times New Roman"/>
                      <w:color w:val="000000"/>
                      <w:szCs w:val="21"/>
                    </w:rPr>
                    <w:t>。</w:t>
                  </w:r>
                </w:p>
              </w:tc>
              <w:tc>
                <w:tcPr>
                  <w:tcW w:w="563" w:type="pct"/>
                  <w:noWrap w:val="0"/>
                  <w:vAlign w:val="center"/>
                </w:tcPr>
                <w:p w14:paraId="3D5F6D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7E1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48EAB2EF">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（六）</w:t>
                  </w:r>
                  <w:r>
                    <w:rPr>
                      <w:rFonts w:hint="default" w:ascii="Times New Roman" w:hAnsi="Times New Roman" w:eastAsia="宋体" w:cs="Times New Roman"/>
                      <w:color w:val="000000"/>
                      <w:szCs w:val="21"/>
                      <w:lang w:val="zh-CN"/>
                    </w:rPr>
                    <w:t>禁止未经许可在长江干支流及湖泊新设、改设或扩大排污口。</w:t>
                  </w:r>
                </w:p>
              </w:tc>
              <w:tc>
                <w:tcPr>
                  <w:tcW w:w="1622" w:type="pct"/>
                  <w:noWrap w:val="0"/>
                  <w:vAlign w:val="center"/>
                </w:tcPr>
                <w:p w14:paraId="4FDEC2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项目废水不外排。</w:t>
                  </w:r>
                </w:p>
              </w:tc>
              <w:tc>
                <w:tcPr>
                  <w:tcW w:w="563" w:type="pct"/>
                  <w:noWrap w:val="0"/>
                  <w:vAlign w:val="center"/>
                </w:tcPr>
                <w:p w14:paraId="555795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4C8A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69607E29">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（七）</w:t>
                  </w:r>
                  <w:r>
                    <w:rPr>
                      <w:rFonts w:hint="default" w:ascii="Times New Roman" w:hAnsi="Times New Roman" w:eastAsia="宋体" w:cs="Times New Roman"/>
                      <w:color w:val="000000"/>
                      <w:szCs w:val="21"/>
                      <w:lang w:val="zh-CN"/>
                    </w:rPr>
                    <w:t>禁止在“一江一口两湖七河”和332个水生生物保护区开展生产性捕捞。</w:t>
                  </w:r>
                </w:p>
              </w:tc>
              <w:tc>
                <w:tcPr>
                  <w:tcW w:w="1622" w:type="pct"/>
                  <w:noWrap w:val="0"/>
                  <w:vAlign w:val="center"/>
                </w:tcPr>
                <w:p w14:paraId="594C16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项目不涉及捕捞。</w:t>
                  </w:r>
                </w:p>
              </w:tc>
              <w:tc>
                <w:tcPr>
                  <w:tcW w:w="563" w:type="pct"/>
                  <w:noWrap w:val="0"/>
                  <w:vAlign w:val="center"/>
                </w:tcPr>
                <w:p w14:paraId="7CDE4F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19D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539EA69E">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（八）</w:t>
                  </w:r>
                  <w:r>
                    <w:rPr>
                      <w:rFonts w:hint="default" w:ascii="Times New Roman" w:hAnsi="Times New Roman" w:eastAsia="宋体" w:cs="Times New Roman"/>
                      <w:color w:val="000000"/>
                      <w:szCs w:val="21"/>
                      <w:lang w:val="zh-CN"/>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622" w:type="pct"/>
                  <w:noWrap w:val="0"/>
                  <w:vAlign w:val="center"/>
                </w:tcPr>
                <w:p w14:paraId="2CDD54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w:t>
                  </w:r>
                  <w:r>
                    <w:rPr>
                      <w:rFonts w:hint="eastAsia" w:cs="Times New Roman"/>
                      <w:color w:val="000000"/>
                      <w:szCs w:val="21"/>
                      <w:lang w:eastAsia="zh-CN"/>
                    </w:rPr>
                    <w:t>寻甸回族彝族自治县</w:t>
                  </w:r>
                  <w:r>
                    <w:rPr>
                      <w:rFonts w:hint="default" w:ascii="Times New Roman" w:hAnsi="Times New Roman" w:eastAsia="宋体" w:cs="Times New Roman"/>
                      <w:color w:val="000000"/>
                      <w:kern w:val="0"/>
                      <w:szCs w:val="21"/>
                    </w:rPr>
                    <w:t>寻甸特色产业园区金所片区</w:t>
                  </w:r>
                  <w:r>
                    <w:rPr>
                      <w:rFonts w:hint="default" w:ascii="Times New Roman" w:hAnsi="Times New Roman" w:eastAsia="宋体" w:cs="Times New Roman"/>
                      <w:color w:val="000000"/>
                      <w:szCs w:val="21"/>
                    </w:rPr>
                    <w:t>内，位于合规园区内，项目不属于</w:t>
                  </w:r>
                  <w:r>
                    <w:rPr>
                      <w:rFonts w:hint="default" w:ascii="Times New Roman" w:hAnsi="Times New Roman" w:eastAsia="宋体" w:cs="Times New Roman"/>
                      <w:color w:val="000000"/>
                      <w:szCs w:val="21"/>
                      <w:lang w:val="zh-CN"/>
                    </w:rPr>
                    <w:t>尾矿库、冶炼渣库和磷石膏库的项目</w:t>
                  </w:r>
                  <w:r>
                    <w:rPr>
                      <w:rFonts w:hint="default" w:ascii="Times New Roman" w:hAnsi="Times New Roman" w:eastAsia="宋体" w:cs="Times New Roman"/>
                      <w:color w:val="000000"/>
                      <w:szCs w:val="21"/>
                    </w:rPr>
                    <w:t>。</w:t>
                  </w:r>
                </w:p>
              </w:tc>
              <w:tc>
                <w:tcPr>
                  <w:tcW w:w="563" w:type="pct"/>
                  <w:noWrap w:val="0"/>
                  <w:vAlign w:val="center"/>
                </w:tcPr>
                <w:p w14:paraId="51E221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70B7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551F1B3C">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（九）</w:t>
                  </w:r>
                  <w:r>
                    <w:rPr>
                      <w:rFonts w:hint="default" w:ascii="Times New Roman" w:hAnsi="Times New Roman" w:eastAsia="宋体" w:cs="Times New Roman"/>
                      <w:color w:val="000000"/>
                      <w:szCs w:val="21"/>
                      <w:lang w:val="zh-CN"/>
                    </w:rPr>
                    <w:t>禁止在合规园区外新建、扩建钢铁、石化、化工、焦化、建材、有色、制浆造纸等高污染项目。</w:t>
                  </w:r>
                </w:p>
              </w:tc>
              <w:tc>
                <w:tcPr>
                  <w:tcW w:w="1622" w:type="pct"/>
                  <w:noWrap w:val="0"/>
                  <w:vAlign w:val="center"/>
                </w:tcPr>
                <w:p w14:paraId="326F03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w:t>
                  </w:r>
                  <w:r>
                    <w:rPr>
                      <w:rFonts w:hint="default" w:ascii="Times New Roman" w:hAnsi="Times New Roman" w:eastAsia="宋体" w:cs="Times New Roman"/>
                      <w:color w:val="000000"/>
                      <w:szCs w:val="21"/>
                      <w:lang w:val="zh-CN"/>
                    </w:rPr>
                    <w:t>合规园区内，</w:t>
                  </w:r>
                  <w:r>
                    <w:rPr>
                      <w:rFonts w:hint="default" w:ascii="Times New Roman" w:hAnsi="Times New Roman" w:eastAsia="宋体" w:cs="Times New Roman"/>
                      <w:color w:val="000000"/>
                      <w:szCs w:val="21"/>
                      <w:lang w:val="en-US" w:eastAsia="zh-CN"/>
                    </w:rPr>
                    <w:t>且不属于</w:t>
                  </w:r>
                  <w:r>
                    <w:rPr>
                      <w:rFonts w:hint="default" w:ascii="Times New Roman" w:hAnsi="Times New Roman" w:eastAsia="宋体" w:cs="Times New Roman"/>
                      <w:color w:val="000000"/>
                      <w:szCs w:val="21"/>
                      <w:lang w:val="zh-CN"/>
                    </w:rPr>
                    <w:t>钢铁、石化、化工、焦化、建材、有色、制浆造纸等高污染项目</w:t>
                  </w:r>
                  <w:r>
                    <w:rPr>
                      <w:rFonts w:hint="default" w:ascii="Times New Roman" w:hAnsi="Times New Roman" w:eastAsia="宋体" w:cs="Times New Roman"/>
                      <w:color w:val="000000"/>
                      <w:szCs w:val="21"/>
                    </w:rPr>
                    <w:t>。</w:t>
                  </w:r>
                </w:p>
              </w:tc>
              <w:tc>
                <w:tcPr>
                  <w:tcW w:w="563" w:type="pct"/>
                  <w:noWrap w:val="0"/>
                  <w:vAlign w:val="center"/>
                </w:tcPr>
                <w:p w14:paraId="112438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7CB2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14" w:type="pct"/>
                  <w:noWrap w:val="0"/>
                  <w:vAlign w:val="center"/>
                </w:tcPr>
                <w:p w14:paraId="00F9AE4F">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（十）</w:t>
                  </w:r>
                  <w:r>
                    <w:rPr>
                      <w:rFonts w:hint="default" w:ascii="Times New Roman" w:hAnsi="Times New Roman" w:eastAsia="宋体" w:cs="Times New Roman"/>
                      <w:color w:val="000000"/>
                      <w:szCs w:val="21"/>
                      <w:lang w:val="zh-CN"/>
                    </w:rPr>
                    <w:t>禁止新建、扩建法律法规和相关政策明令禁止的落后产能项目。禁止新建、扩建不符合国家产能置换要求的严重过剩产能行业的项目。禁止新建、扩建不符合要求的高耗能高排放项目。</w:t>
                  </w:r>
                </w:p>
              </w:tc>
              <w:tc>
                <w:tcPr>
                  <w:tcW w:w="1622" w:type="pct"/>
                  <w:noWrap w:val="0"/>
                  <w:vAlign w:val="center"/>
                </w:tcPr>
                <w:p w14:paraId="1B5C21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w:t>
                  </w:r>
                  <w:r>
                    <w:rPr>
                      <w:rFonts w:hint="default" w:ascii="Times New Roman" w:hAnsi="Times New Roman" w:eastAsia="宋体" w:cs="Times New Roman"/>
                      <w:color w:val="000000"/>
                      <w:sz w:val="21"/>
                      <w:szCs w:val="21"/>
                    </w:rPr>
                    <w:t>目</w:t>
                  </w:r>
                  <w:r>
                    <w:rPr>
                      <w:rFonts w:hint="default" w:ascii="Times New Roman" w:hAnsi="Times New Roman" w:eastAsia="宋体" w:cs="Times New Roman"/>
                      <w:color w:val="000000"/>
                      <w:kern w:val="0"/>
                      <w:sz w:val="21"/>
                      <w:szCs w:val="21"/>
                      <w:lang w:val="en-US" w:eastAsia="zh-CN" w:bidi="ar"/>
                    </w:rPr>
                    <w:t>为塑料制品生产项目</w:t>
                  </w: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sz w:val="21"/>
                      <w:szCs w:val="21"/>
                    </w:rPr>
                    <w:t>不属于</w:t>
                  </w:r>
                  <w:r>
                    <w:rPr>
                      <w:rFonts w:hint="default" w:ascii="Times New Roman" w:hAnsi="Times New Roman" w:eastAsia="宋体" w:cs="Times New Roman"/>
                      <w:color w:val="000000"/>
                      <w:sz w:val="21"/>
                      <w:szCs w:val="21"/>
                      <w:lang w:val="zh-CN"/>
                    </w:rPr>
                    <w:t>新建、</w:t>
                  </w:r>
                  <w:r>
                    <w:rPr>
                      <w:rFonts w:hint="default" w:ascii="Times New Roman" w:hAnsi="Times New Roman" w:eastAsia="宋体" w:cs="Times New Roman"/>
                      <w:color w:val="000000"/>
                      <w:szCs w:val="21"/>
                      <w:lang w:val="zh-CN"/>
                    </w:rPr>
                    <w:t>扩建法律法规和相关政策明令禁止的落后产能项目，不属于禁止新建、扩建不符合国家产能置换要求的严重过剩产能行业的项目，不属于禁止新建、扩建不符合要求的高耗能高排放项目</w:t>
                  </w:r>
                  <w:r>
                    <w:rPr>
                      <w:rFonts w:hint="default" w:ascii="Times New Roman" w:hAnsi="Times New Roman" w:eastAsia="宋体" w:cs="Times New Roman"/>
                      <w:color w:val="000000"/>
                      <w:szCs w:val="21"/>
                    </w:rPr>
                    <w:t>。</w:t>
                  </w:r>
                </w:p>
              </w:tc>
              <w:tc>
                <w:tcPr>
                  <w:tcW w:w="563" w:type="pct"/>
                  <w:noWrap w:val="0"/>
                  <w:vAlign w:val="center"/>
                </w:tcPr>
                <w:p w14:paraId="4284C2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bl>
          <w:p w14:paraId="2AF2ABDD">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000000"/>
                <w:kern w:val="0"/>
                <w:sz w:val="24"/>
              </w:rPr>
            </w:pPr>
            <w:r>
              <w:rPr>
                <w:rFonts w:hint="eastAsia" w:cs="Times New Roman"/>
                <w:b/>
                <w:bCs/>
                <w:color w:val="000000"/>
                <w:kern w:val="0"/>
                <w:sz w:val="24"/>
                <w:lang w:val="en-US" w:eastAsia="zh-CN"/>
              </w:rPr>
              <w:t>9</w:t>
            </w:r>
            <w:r>
              <w:rPr>
                <w:rFonts w:hint="default" w:ascii="Times New Roman" w:hAnsi="Times New Roman" w:eastAsia="宋体" w:cs="Times New Roman"/>
                <w:b/>
                <w:bCs/>
                <w:color w:val="000000"/>
                <w:kern w:val="0"/>
                <w:sz w:val="24"/>
              </w:rPr>
              <w:t>、与《云南省长江经济带发展负面清单实施细则（试行）》（2022年版）相符性分析</w:t>
            </w:r>
          </w:p>
          <w:p w14:paraId="7D2FAFD9">
            <w:pPr>
              <w:pStyle w:val="19"/>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szCs w:val="24"/>
                <w:lang w:val="zh-CN"/>
              </w:rPr>
            </w:pPr>
            <w:r>
              <w:rPr>
                <w:rFonts w:hint="default" w:ascii="Times New Roman" w:hAnsi="Times New Roman" w:eastAsia="宋体" w:cs="Times New Roman"/>
                <w:color w:val="000000"/>
                <w:sz w:val="24"/>
                <w:szCs w:val="24"/>
                <w:lang w:val="zh-CN"/>
              </w:rPr>
              <w:t>本项目与</w:t>
            </w:r>
            <w:r>
              <w:rPr>
                <w:rFonts w:hint="default" w:ascii="Times New Roman" w:hAnsi="Times New Roman" w:eastAsia="宋体" w:cs="Times New Roman"/>
                <w:color w:val="000000"/>
                <w:sz w:val="24"/>
                <w:szCs w:val="24"/>
              </w:rPr>
              <w:t>《云南省长江经济带发展负面清单实施细则（试行）》（2022年版）</w:t>
            </w:r>
            <w:r>
              <w:rPr>
                <w:rFonts w:hint="default" w:ascii="Times New Roman" w:hAnsi="Times New Roman" w:eastAsia="宋体" w:cs="Times New Roman"/>
                <w:color w:val="000000"/>
                <w:sz w:val="24"/>
                <w:szCs w:val="24"/>
                <w:lang w:val="zh-CN"/>
              </w:rPr>
              <w:t>的符合性具体分析如下表所示。</w:t>
            </w:r>
          </w:p>
          <w:p w14:paraId="4012D9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b/>
                <w:bCs/>
                <w:color w:val="000000"/>
                <w:szCs w:val="21"/>
              </w:rPr>
              <w:t>表1-1</w:t>
            </w:r>
            <w:r>
              <w:rPr>
                <w:rFonts w:hint="eastAsia" w:cs="Times New Roman"/>
                <w:b/>
                <w:bCs/>
                <w:color w:val="000000"/>
                <w:szCs w:val="21"/>
                <w:lang w:val="en-US" w:eastAsia="zh-CN"/>
              </w:rPr>
              <w:t>2</w:t>
            </w:r>
            <w:r>
              <w:rPr>
                <w:rFonts w:hint="default" w:ascii="Times New Roman" w:hAnsi="Times New Roman" w:eastAsia="宋体" w:cs="Times New Roman"/>
                <w:b/>
                <w:bCs/>
                <w:color w:val="000000"/>
                <w:szCs w:val="21"/>
                <w:lang w:val="en-US" w:eastAsia="zh-CN"/>
              </w:rPr>
              <w:t xml:space="preserve">  </w:t>
            </w:r>
            <w:r>
              <w:rPr>
                <w:rFonts w:hint="default" w:ascii="Times New Roman" w:hAnsi="Times New Roman" w:eastAsia="宋体" w:cs="Times New Roman"/>
                <w:b/>
                <w:bCs/>
                <w:color w:val="000000"/>
                <w:szCs w:val="21"/>
              </w:rPr>
              <w:t>与《云南省长江经济带发展负面清单实施细则（试行）》（2022年版）相符性分析</w:t>
            </w:r>
          </w:p>
          <w:tbl>
            <w:tblPr>
              <w:tblStyle w:val="3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89"/>
              <w:gridCol w:w="2839"/>
              <w:gridCol w:w="867"/>
            </w:tblGrid>
            <w:tr w14:paraId="2652F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2CA649A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szCs w:val="21"/>
                      <w:shd w:val="clear" w:color="auto" w:fill="FFFFFF"/>
                    </w:rPr>
                    <w:t>规范要求</w:t>
                  </w:r>
                </w:p>
              </w:tc>
              <w:tc>
                <w:tcPr>
                  <w:tcW w:w="1797" w:type="pct"/>
                  <w:noWrap w:val="0"/>
                  <w:vAlign w:val="center"/>
                </w:tcPr>
                <w:p w14:paraId="228426D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szCs w:val="21"/>
                    </w:rPr>
                    <w:t>项目实际情况</w:t>
                  </w:r>
                </w:p>
              </w:tc>
              <w:tc>
                <w:tcPr>
                  <w:tcW w:w="549" w:type="pct"/>
                  <w:noWrap w:val="0"/>
                  <w:vAlign w:val="center"/>
                </w:tcPr>
                <w:p w14:paraId="2476C4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kern w:val="0"/>
                      <w:szCs w:val="21"/>
                    </w:rPr>
                  </w:pPr>
                  <w:r>
                    <w:rPr>
                      <w:rFonts w:hint="default" w:ascii="Times New Roman" w:hAnsi="Times New Roman" w:eastAsia="宋体" w:cs="Times New Roman"/>
                      <w:b/>
                      <w:bCs/>
                      <w:color w:val="000000"/>
                      <w:szCs w:val="21"/>
                    </w:rPr>
                    <w:t>相符性</w:t>
                  </w:r>
                </w:p>
              </w:tc>
            </w:tr>
            <w:tr w14:paraId="386EC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12D31385">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新建、改建和扩建不符合《全国内河航道与港口布局规划》等全国港口规划和《昭通市港口码头岸线规划（金沙江段2019年—2035年）》、《景洪港总体规划（2019—2035年）》等州（市）级以上港口布局规划以及港口总体规划的码头项目。</w:t>
                  </w:r>
                </w:p>
              </w:tc>
              <w:tc>
                <w:tcPr>
                  <w:tcW w:w="1797" w:type="pct"/>
                  <w:noWrap w:val="0"/>
                  <w:vAlign w:val="center"/>
                </w:tcPr>
                <w:p w14:paraId="62CFDF3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本项目不属于港口布局规划以及港口总体规划的码头项目。</w:t>
                  </w:r>
                </w:p>
              </w:tc>
              <w:tc>
                <w:tcPr>
                  <w:tcW w:w="549" w:type="pct"/>
                  <w:noWrap w:val="0"/>
                  <w:vAlign w:val="center"/>
                </w:tcPr>
                <w:p w14:paraId="21F0D96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1BB45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3F6BD583">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797" w:type="pct"/>
                  <w:noWrap w:val="0"/>
                  <w:vAlign w:val="center"/>
                </w:tcPr>
                <w:p w14:paraId="6C0679E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项目位于云南省昆明市寻甸特色产业园区金所片区，</w:t>
                  </w:r>
                  <w:r>
                    <w:rPr>
                      <w:rFonts w:hint="default" w:ascii="Times New Roman" w:hAnsi="Times New Roman" w:eastAsia="宋体" w:cs="Times New Roman"/>
                      <w:color w:val="000000"/>
                      <w:szCs w:val="21"/>
                      <w:shd w:val="clear" w:color="auto" w:fill="FFFFFF"/>
                    </w:rPr>
                    <w:t>本项目用地不涉及自然保护区的核心区、缓冲区和试验区内。</w:t>
                  </w:r>
                </w:p>
              </w:tc>
              <w:tc>
                <w:tcPr>
                  <w:tcW w:w="549" w:type="pct"/>
                  <w:noWrap w:val="0"/>
                  <w:vAlign w:val="center"/>
                </w:tcPr>
                <w:p w14:paraId="06BDEE6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DC4C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6C55203B">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797" w:type="pct"/>
                  <w:noWrap w:val="0"/>
                  <w:vAlign w:val="center"/>
                </w:tcPr>
                <w:p w14:paraId="656DF21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项目位于云南省昆明市寻甸特色产业园区金所片区</w:t>
                  </w:r>
                  <w:r>
                    <w:rPr>
                      <w:rFonts w:hint="eastAsia" w:cs="Times New Roman"/>
                      <w:color w:val="000000"/>
                      <w:szCs w:val="21"/>
                      <w:lang w:eastAsia="zh-CN"/>
                    </w:rPr>
                    <w:t>，</w:t>
                  </w:r>
                  <w:r>
                    <w:rPr>
                      <w:rFonts w:hint="default" w:ascii="Times New Roman" w:hAnsi="Times New Roman" w:eastAsia="宋体" w:cs="Times New Roman"/>
                      <w:color w:val="000000"/>
                      <w:szCs w:val="21"/>
                    </w:rPr>
                    <w:t>项目用地不涉及风景名胜区。</w:t>
                  </w:r>
                </w:p>
              </w:tc>
              <w:tc>
                <w:tcPr>
                  <w:tcW w:w="549" w:type="pct"/>
                  <w:noWrap w:val="0"/>
                  <w:vAlign w:val="center"/>
                </w:tcPr>
                <w:p w14:paraId="24D78B2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5C5FD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6FDF43F2">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797" w:type="pct"/>
                  <w:noWrap w:val="0"/>
                  <w:vAlign w:val="center"/>
                </w:tcPr>
                <w:p w14:paraId="56D1F4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项目位于云南省昆明市寻甸特色产业园区金所片区</w:t>
                  </w:r>
                  <w:r>
                    <w:rPr>
                      <w:rFonts w:hint="eastAsia" w:cs="Times New Roman"/>
                      <w:color w:val="000000"/>
                      <w:szCs w:val="21"/>
                      <w:lang w:eastAsia="zh-CN"/>
                    </w:rPr>
                    <w:t>，</w:t>
                  </w:r>
                  <w:r>
                    <w:rPr>
                      <w:rFonts w:hint="default" w:ascii="Times New Roman" w:hAnsi="Times New Roman" w:eastAsia="宋体" w:cs="Times New Roman"/>
                      <w:color w:val="000000"/>
                      <w:szCs w:val="21"/>
                    </w:rPr>
                    <w:t>本项目不涉及饮用水水源一级保护区、</w:t>
                  </w:r>
                  <w:r>
                    <w:rPr>
                      <w:rFonts w:hint="default" w:ascii="Times New Roman" w:hAnsi="Times New Roman" w:eastAsia="宋体" w:cs="Times New Roman"/>
                      <w:color w:val="000000"/>
                      <w:szCs w:val="21"/>
                      <w:shd w:val="clear" w:color="auto" w:fill="FFFFFF"/>
                    </w:rPr>
                    <w:t>饮用水水源二级保护区</w:t>
                  </w:r>
                  <w:r>
                    <w:rPr>
                      <w:rFonts w:hint="default" w:ascii="Times New Roman" w:hAnsi="Times New Roman" w:eastAsia="宋体" w:cs="Times New Roman"/>
                      <w:color w:val="000000"/>
                      <w:szCs w:val="21"/>
                    </w:rPr>
                    <w:t>。</w:t>
                  </w:r>
                </w:p>
              </w:tc>
              <w:tc>
                <w:tcPr>
                  <w:tcW w:w="549" w:type="pct"/>
                  <w:noWrap w:val="0"/>
                  <w:vAlign w:val="center"/>
                </w:tcPr>
                <w:p w14:paraId="3CA6C3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38EE3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6138E8E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797" w:type="pct"/>
                  <w:noWrap w:val="0"/>
                  <w:vAlign w:val="center"/>
                </w:tcPr>
                <w:p w14:paraId="7DD4DD3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项目位于云南省昆明市寻甸特色产业园区金所片区</w:t>
                  </w:r>
                  <w:r>
                    <w:rPr>
                      <w:rFonts w:hint="eastAsia" w:cs="Times New Roman"/>
                      <w:color w:val="000000"/>
                      <w:szCs w:val="21"/>
                      <w:lang w:eastAsia="zh-CN"/>
                    </w:rPr>
                    <w:t>，</w:t>
                  </w:r>
                  <w:r>
                    <w:rPr>
                      <w:rFonts w:hint="default" w:ascii="Times New Roman" w:hAnsi="Times New Roman" w:eastAsia="宋体" w:cs="Times New Roman"/>
                      <w:color w:val="000000"/>
                      <w:szCs w:val="21"/>
                    </w:rPr>
                    <w:t>本项目不涉及水产种质资源保护区的岸线或河段范围；本项目不涉及国家湿地公园的土地。</w:t>
                  </w:r>
                </w:p>
              </w:tc>
              <w:tc>
                <w:tcPr>
                  <w:tcW w:w="549" w:type="pct"/>
                  <w:noWrap w:val="0"/>
                  <w:vAlign w:val="center"/>
                </w:tcPr>
                <w:p w14:paraId="4F68796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514C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5F71EC25">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797" w:type="pct"/>
                  <w:noWrap w:val="0"/>
                  <w:vAlign w:val="center"/>
                </w:tcPr>
                <w:p w14:paraId="138D69D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项目位于云南省昆明市寻甸特色产业园区金所片区</w:t>
                  </w:r>
                  <w:r>
                    <w:rPr>
                      <w:rFonts w:hint="eastAsia" w:cs="Times New Roman"/>
                      <w:color w:val="000000"/>
                      <w:szCs w:val="21"/>
                      <w:lang w:eastAsia="zh-CN"/>
                    </w:rPr>
                    <w:t>，</w:t>
                  </w:r>
                  <w:r>
                    <w:rPr>
                      <w:rFonts w:hint="default" w:ascii="Times New Roman" w:hAnsi="Times New Roman" w:eastAsia="宋体" w:cs="Times New Roman"/>
                      <w:color w:val="000000"/>
                      <w:szCs w:val="21"/>
                    </w:rPr>
                    <w:t>本项目不属于</w:t>
                  </w:r>
                  <w:r>
                    <w:rPr>
                      <w:rFonts w:hint="default" w:ascii="Times New Roman" w:hAnsi="Times New Roman" w:eastAsia="宋体" w:cs="Times New Roman"/>
                      <w:color w:val="000000"/>
                      <w:szCs w:val="21"/>
                      <w:shd w:val="clear" w:color="auto" w:fill="FFFFFF"/>
                    </w:rPr>
                    <w:t>占用长江流域河湖岸线项目。</w:t>
                  </w:r>
                </w:p>
              </w:tc>
              <w:tc>
                <w:tcPr>
                  <w:tcW w:w="549" w:type="pct"/>
                  <w:noWrap w:val="0"/>
                  <w:vAlign w:val="center"/>
                </w:tcPr>
                <w:p w14:paraId="4075B37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CF60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51BCAD4C">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禁止在金沙江干流、长江一级支流建设除党中央、国务院、</w:t>
                  </w:r>
                  <w:r>
                    <w:rPr>
                      <w:rFonts w:hint="eastAsia" w:cs="Times New Roman"/>
                      <w:color w:val="000000"/>
                      <w:szCs w:val="21"/>
                      <w:lang w:eastAsia="zh-CN"/>
                    </w:rPr>
                    <w:t>国务院投资主管部门</w:t>
                  </w:r>
                  <w:r>
                    <w:rPr>
                      <w:rFonts w:hint="default" w:ascii="Times New Roman" w:hAnsi="Times New Roman" w:eastAsia="宋体" w:cs="Times New Roman"/>
                      <w:color w:val="000000"/>
                      <w:szCs w:val="21"/>
                    </w:rPr>
                    <w:t>、省级有关部门批复同意以外的过江基础设施项目；禁止未经许可在金沙江干流、长江一级支流、九大高原湖泊流域新设、改设或扩大排污口。</w:t>
                  </w:r>
                </w:p>
              </w:tc>
              <w:tc>
                <w:tcPr>
                  <w:tcW w:w="1797" w:type="pct"/>
                  <w:noWrap w:val="0"/>
                  <w:vAlign w:val="center"/>
                </w:tcPr>
                <w:p w14:paraId="6FB6A6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项目位于云南省昆明市寻甸特色产业园区金所片区</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项目不属于过江基础设施项目，项目不涉及在金沙江干流、长江一级支流、九大高原湖泊流域新设、改设或扩大排污口。</w:t>
                  </w:r>
                </w:p>
              </w:tc>
              <w:tc>
                <w:tcPr>
                  <w:tcW w:w="549" w:type="pct"/>
                  <w:noWrap w:val="0"/>
                  <w:vAlign w:val="center"/>
                </w:tcPr>
                <w:p w14:paraId="050997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2387A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146D9F4F">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禁止在金沙江干流、长江一级支流、水生生物保护区和长江流域禁捕水域开展天然渔业资源生产性捕捞。</w:t>
                  </w:r>
                </w:p>
              </w:tc>
              <w:tc>
                <w:tcPr>
                  <w:tcW w:w="1797" w:type="pct"/>
                  <w:noWrap w:val="0"/>
                  <w:vAlign w:val="center"/>
                </w:tcPr>
                <w:p w14:paraId="5925D7D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项目位于云南省昆明市寻甸特色产业园区金所片区</w:t>
                  </w:r>
                  <w:r>
                    <w:rPr>
                      <w:rFonts w:hint="eastAsia" w:cs="Times New Roman"/>
                      <w:color w:val="000000"/>
                      <w:sz w:val="21"/>
                      <w:szCs w:val="21"/>
                      <w:lang w:eastAsia="zh-CN"/>
                    </w:rPr>
                    <w:t>，</w:t>
                  </w:r>
                  <w:r>
                    <w:rPr>
                      <w:rFonts w:hint="default" w:ascii="Times New Roman" w:hAnsi="Times New Roman" w:eastAsia="宋体" w:cs="Times New Roman"/>
                      <w:color w:val="000000"/>
                      <w:sz w:val="21"/>
                      <w:szCs w:val="21"/>
                    </w:rPr>
                    <w:t>本项目不涉及</w:t>
                  </w:r>
                  <w:r>
                    <w:rPr>
                      <w:rFonts w:hint="default" w:ascii="Times New Roman" w:hAnsi="Times New Roman" w:eastAsia="宋体" w:cs="Times New Roman"/>
                      <w:color w:val="000000"/>
                      <w:sz w:val="21"/>
                      <w:szCs w:val="21"/>
                      <w:shd w:val="clear" w:color="auto" w:fill="FFFFFF"/>
                    </w:rPr>
                    <w:t>天然渔业资源生产性捕捞</w:t>
                  </w:r>
                  <w:r>
                    <w:rPr>
                      <w:rFonts w:hint="default" w:ascii="Times New Roman" w:hAnsi="Times New Roman" w:eastAsia="宋体" w:cs="Times New Roman"/>
                      <w:color w:val="000000"/>
                      <w:sz w:val="21"/>
                      <w:szCs w:val="21"/>
                    </w:rPr>
                    <w:t>。</w:t>
                  </w:r>
                </w:p>
              </w:tc>
              <w:tc>
                <w:tcPr>
                  <w:tcW w:w="549" w:type="pct"/>
                  <w:noWrap w:val="0"/>
                  <w:vAlign w:val="center"/>
                </w:tcPr>
                <w:p w14:paraId="1DCDCB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2BEA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2E066A3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797" w:type="pct"/>
                  <w:noWrap w:val="0"/>
                  <w:vAlign w:val="center"/>
                </w:tcPr>
                <w:p w14:paraId="73FD35F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本项目</w:t>
                  </w:r>
                  <w:r>
                    <w:rPr>
                      <w:rFonts w:hint="default" w:ascii="Times New Roman" w:hAnsi="Times New Roman" w:eastAsia="宋体" w:cs="Times New Roman"/>
                      <w:color w:val="000000"/>
                      <w:kern w:val="0"/>
                      <w:sz w:val="21"/>
                      <w:szCs w:val="21"/>
                      <w:lang w:val="en-US" w:eastAsia="zh-CN" w:bidi="ar"/>
                    </w:rPr>
                    <w:t>为塑料制品生产项目，</w:t>
                  </w:r>
                  <w:r>
                    <w:rPr>
                      <w:rFonts w:hint="default" w:ascii="Times New Roman" w:hAnsi="Times New Roman" w:eastAsia="宋体" w:cs="Times New Roman"/>
                      <w:color w:val="000000"/>
                      <w:sz w:val="21"/>
                      <w:szCs w:val="21"/>
                    </w:rPr>
                    <w:t>不属于</w:t>
                  </w:r>
                  <w:r>
                    <w:rPr>
                      <w:rFonts w:hint="default" w:ascii="Times New Roman" w:hAnsi="Times New Roman" w:eastAsia="宋体" w:cs="Times New Roman"/>
                      <w:color w:val="000000"/>
                      <w:sz w:val="21"/>
                      <w:szCs w:val="21"/>
                      <w:shd w:val="clear" w:color="auto" w:fill="FFFFFF"/>
                    </w:rPr>
                    <w:t>化工项目，不涉及新建、改建、扩建尾矿库、冶炼渣库和磷石膏库。</w:t>
                  </w:r>
                </w:p>
              </w:tc>
              <w:tc>
                <w:tcPr>
                  <w:tcW w:w="549" w:type="pct"/>
                  <w:noWrap w:val="0"/>
                  <w:vAlign w:val="center"/>
                </w:tcPr>
                <w:p w14:paraId="6D67031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7559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76D793D4">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禁止在合规园区外新建、扩建钢铁、石化、化工、焦化、建材、有色、制浆造纸行业中的高污染项目。</w:t>
                  </w:r>
                </w:p>
              </w:tc>
              <w:tc>
                <w:tcPr>
                  <w:tcW w:w="1797" w:type="pct"/>
                  <w:noWrap w:val="0"/>
                  <w:vAlign w:val="center"/>
                </w:tcPr>
                <w:p w14:paraId="501AE3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本项目</w:t>
                  </w:r>
                  <w:r>
                    <w:rPr>
                      <w:rFonts w:hint="default" w:ascii="Times New Roman" w:hAnsi="Times New Roman" w:eastAsia="宋体" w:cs="Times New Roman"/>
                      <w:color w:val="000000"/>
                      <w:kern w:val="0"/>
                      <w:sz w:val="21"/>
                      <w:szCs w:val="21"/>
                      <w:lang w:val="en-US" w:eastAsia="zh-CN" w:bidi="ar"/>
                    </w:rPr>
                    <w:t>为塑料制品生产项目，</w:t>
                  </w:r>
                  <w:r>
                    <w:rPr>
                      <w:rFonts w:hint="default" w:ascii="Times New Roman" w:hAnsi="Times New Roman" w:eastAsia="宋体" w:cs="Times New Roman"/>
                      <w:color w:val="000000"/>
                      <w:sz w:val="21"/>
                      <w:szCs w:val="21"/>
                    </w:rPr>
                    <w:t>不属于高污染项目。</w:t>
                  </w:r>
                </w:p>
              </w:tc>
              <w:tc>
                <w:tcPr>
                  <w:tcW w:w="549" w:type="pct"/>
                  <w:noWrap w:val="0"/>
                  <w:vAlign w:val="center"/>
                </w:tcPr>
                <w:p w14:paraId="24D89A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052F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7A54DBEE">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禁止新建、扩建不符合国家石化、现代煤化工等产业布局规划的项目。禁止列入《云南省城镇人口密集区危险化学品生产企业搬迁改造名单》的搬迁改造企业在原址新建、扩建危险化学品生产项目</w:t>
                  </w:r>
                </w:p>
              </w:tc>
              <w:tc>
                <w:tcPr>
                  <w:tcW w:w="1797" w:type="pct"/>
                  <w:noWrap w:val="0"/>
                  <w:vAlign w:val="center"/>
                </w:tcPr>
                <w:p w14:paraId="0DF63E5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本项目</w:t>
                  </w:r>
                  <w:r>
                    <w:rPr>
                      <w:rFonts w:hint="default" w:ascii="Times New Roman" w:hAnsi="Times New Roman" w:eastAsia="宋体" w:cs="Times New Roman"/>
                      <w:color w:val="000000"/>
                      <w:kern w:val="0"/>
                      <w:sz w:val="21"/>
                      <w:szCs w:val="21"/>
                      <w:lang w:val="en-US" w:eastAsia="zh-CN" w:bidi="ar"/>
                    </w:rPr>
                    <w:t>为塑料制品生产项目，</w:t>
                  </w:r>
                  <w:r>
                    <w:rPr>
                      <w:rFonts w:hint="default" w:ascii="Times New Roman" w:hAnsi="Times New Roman" w:eastAsia="宋体" w:cs="Times New Roman"/>
                      <w:color w:val="000000"/>
                      <w:sz w:val="21"/>
                      <w:szCs w:val="21"/>
                    </w:rPr>
                    <w:t>不属于不符合</w:t>
                  </w:r>
                  <w:r>
                    <w:rPr>
                      <w:rFonts w:hint="default" w:ascii="Times New Roman" w:hAnsi="Times New Roman" w:eastAsia="宋体" w:cs="Times New Roman"/>
                      <w:color w:val="000000"/>
                      <w:sz w:val="21"/>
                      <w:szCs w:val="21"/>
                      <w:shd w:val="clear" w:color="auto" w:fill="FFFFFF"/>
                    </w:rPr>
                    <w:t>国家石化、现代煤化工等产业布局规划的项目；不属于危险化学品生产项目。</w:t>
                  </w:r>
                </w:p>
              </w:tc>
              <w:tc>
                <w:tcPr>
                  <w:tcW w:w="549" w:type="pct"/>
                  <w:noWrap w:val="0"/>
                  <w:vAlign w:val="center"/>
                </w:tcPr>
                <w:p w14:paraId="66A9C1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r w14:paraId="05321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652" w:type="pct"/>
                  <w:noWrap w:val="0"/>
                  <w:vAlign w:val="center"/>
                </w:tcPr>
                <w:p w14:paraId="71E3D69F">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shd w:val="clear" w:color="auto" w:fill="FFFFFF"/>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建产能。</w:t>
                  </w:r>
                </w:p>
              </w:tc>
              <w:tc>
                <w:tcPr>
                  <w:tcW w:w="1797" w:type="pct"/>
                  <w:noWrap w:val="0"/>
                  <w:vAlign w:val="center"/>
                </w:tcPr>
                <w:p w14:paraId="1EF4F9C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本项目不属于落后产能项目、过剩产能行业的项目、高能耗、高排放项目。本项目不涉及建设</w:t>
                  </w:r>
                  <w:r>
                    <w:rPr>
                      <w:rFonts w:hint="default" w:ascii="Times New Roman" w:hAnsi="Times New Roman" w:eastAsia="宋体" w:cs="Times New Roman"/>
                      <w:color w:val="000000"/>
                      <w:szCs w:val="21"/>
                      <w:shd w:val="clear" w:color="auto" w:fill="FFFFFF"/>
                    </w:rPr>
                    <w:t>高毒高残留以及对环境影响大的农药原药生产装置，不属于尿素、磷铵、电石、焦炭、黄磷、烧碱、纯碱、聚氯乙烯等行业。</w:t>
                  </w:r>
                </w:p>
              </w:tc>
              <w:tc>
                <w:tcPr>
                  <w:tcW w:w="549" w:type="pct"/>
                  <w:noWrap w:val="0"/>
                  <w:vAlign w:val="center"/>
                </w:tcPr>
                <w:p w14:paraId="68C600F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相符</w:t>
                  </w:r>
                </w:p>
              </w:tc>
            </w:tr>
          </w:tbl>
          <w:p w14:paraId="517A388C">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color w:val="000000"/>
                <w:sz w:val="24"/>
                <w:szCs w:val="24"/>
              </w:rPr>
              <w:t>综上，本项目与《云南省长江经济带发展负面清单指南实施细则（试行）》（2022年版）规定的内容相符合。</w:t>
            </w:r>
          </w:p>
          <w:p w14:paraId="19B9B9E4">
            <w:pPr>
              <w:keepNext w:val="0"/>
              <w:keepLines w:val="0"/>
              <w:suppressLineNumbers w:val="0"/>
              <w:bidi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10</w:t>
            </w:r>
            <w:r>
              <w:rPr>
                <w:rFonts w:hint="default" w:ascii="Times New Roman" w:hAnsi="Times New Roman" w:eastAsia="宋体" w:cs="Times New Roman"/>
                <w:b/>
                <w:bCs/>
                <w:color w:val="auto"/>
                <w:sz w:val="24"/>
                <w:szCs w:val="24"/>
                <w:lang w:val="en-US" w:eastAsia="zh-CN"/>
              </w:rPr>
              <w:t>、项目与《昆明市空气质量持续改善行动实施方案》符合性分析</w:t>
            </w:r>
          </w:p>
          <w:p w14:paraId="7BE3BD7A">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2025年1月23日，昆明市人民政府发布了“昆明市人民政府关于印发《昆明市空气质量持续改善行动实施方案》的通知（昆政发〔2025〕4号）”。本项目与《昆明市空气质量持续改善行动实施方案》相关符合性分析如下：</w:t>
            </w:r>
          </w:p>
          <w:p w14:paraId="35151156">
            <w:pPr>
              <w:keepNext w:val="0"/>
              <w:keepLines w:val="0"/>
              <w:suppressLineNumbers w:val="0"/>
              <w:bidi w:val="0"/>
              <w:spacing w:before="0" w:beforeAutospacing="0" w:after="0" w:afterAutospacing="0" w:line="360" w:lineRule="auto"/>
              <w:ind w:left="0" w:leftChars="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表1-</w:t>
            </w:r>
            <w:r>
              <w:rPr>
                <w:rFonts w:hint="eastAsia" w:cs="Times New Roman"/>
                <w:b/>
                <w:bCs/>
                <w:color w:val="auto"/>
                <w:sz w:val="21"/>
                <w:szCs w:val="21"/>
                <w:lang w:val="en-US" w:eastAsia="zh-CN"/>
              </w:rPr>
              <w:t>13</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项目与《昆明市空气质量持续改善行动实施方案》</w:t>
            </w:r>
            <w:r>
              <w:rPr>
                <w:rFonts w:hint="default" w:ascii="Times New Roman" w:hAnsi="Times New Roman" w:eastAsia="宋体" w:cs="Times New Roman"/>
                <w:b/>
                <w:bCs/>
                <w:color w:val="auto"/>
                <w:sz w:val="21"/>
                <w:szCs w:val="21"/>
                <w:lang w:val="en-US" w:eastAsia="zh-CN"/>
              </w:rPr>
              <w:t>相关</w:t>
            </w:r>
            <w:r>
              <w:rPr>
                <w:rFonts w:hint="default" w:ascii="Times New Roman" w:hAnsi="Times New Roman" w:eastAsia="宋体" w:cs="Times New Roman"/>
                <w:b/>
                <w:bCs/>
                <w:color w:val="auto"/>
                <w:sz w:val="21"/>
                <w:szCs w:val="21"/>
              </w:rPr>
              <w:t>符合性分析</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5" w:type="dxa"/>
                <w:bottom w:w="0" w:type="dxa"/>
                <w:right w:w="45" w:type="dxa"/>
              </w:tblCellMar>
            </w:tblPr>
            <w:tblGrid>
              <w:gridCol w:w="993"/>
              <w:gridCol w:w="3378"/>
              <w:gridCol w:w="2704"/>
              <w:gridCol w:w="820"/>
            </w:tblGrid>
            <w:tr w14:paraId="17DE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tblHeader/>
                <w:jc w:val="center"/>
              </w:trPr>
              <w:tc>
                <w:tcPr>
                  <w:tcW w:w="2768" w:type="pct"/>
                  <w:gridSpan w:val="2"/>
                  <w:noWrap w:val="0"/>
                  <w:vAlign w:val="center"/>
                </w:tcPr>
                <w:p w14:paraId="74B846A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《昆明市空气质量持续改善行动实施方案》相关内容</w:t>
                  </w:r>
                </w:p>
              </w:tc>
              <w:tc>
                <w:tcPr>
                  <w:tcW w:w="1712" w:type="pct"/>
                  <w:noWrap w:val="0"/>
                  <w:vAlign w:val="center"/>
                </w:tcPr>
                <w:p w14:paraId="3263A24E">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项目情况</w:t>
                  </w:r>
                </w:p>
              </w:tc>
              <w:tc>
                <w:tcPr>
                  <w:tcW w:w="519" w:type="pct"/>
                  <w:noWrap w:val="0"/>
                  <w:vAlign w:val="center"/>
                </w:tcPr>
                <w:p w14:paraId="46CEB61A">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符合性</w:t>
                  </w:r>
                </w:p>
              </w:tc>
            </w:tr>
            <w:tr w14:paraId="5F05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restart"/>
                  <w:noWrap w:val="0"/>
                  <w:vAlign w:val="center"/>
                </w:tcPr>
                <w:p w14:paraId="3960D52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二、优化产业结构</w:t>
                  </w:r>
                </w:p>
              </w:tc>
              <w:tc>
                <w:tcPr>
                  <w:tcW w:w="2138" w:type="pct"/>
                  <w:noWrap w:val="0"/>
                  <w:vAlign w:val="center"/>
                </w:tcPr>
                <w:p w14:paraId="47C3DBD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一）坚决遏制“两高一低”项目盲目上马。完成生态保护红线、环境质量底线、资源利用上线、环境准入清单编制并运用。新改扩建“两高一低”项目要严格落实国家、省、市产业规划、产业政策、生态环境分区管控、环境影响评价、规划环评、项目环评、节能审查、产能置换、重点污染物总量控制、污染物排放区域削减、碳排放达峰目标等相关要求，原则上采用清洁运输方式。</w:t>
                  </w:r>
                </w:p>
              </w:tc>
              <w:tc>
                <w:tcPr>
                  <w:tcW w:w="1712" w:type="pct"/>
                  <w:noWrap w:val="0"/>
                  <w:vAlign w:val="center"/>
                </w:tcPr>
                <w:p w14:paraId="0C4B6D3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000000"/>
                      <w:kern w:val="0"/>
                      <w:sz w:val="21"/>
                      <w:szCs w:val="21"/>
                      <w:lang w:val="en-US" w:eastAsia="zh-CN" w:bidi="ar"/>
                    </w:rPr>
                    <w:t>为塑料制品生产项目</w:t>
                  </w:r>
                  <w:r>
                    <w:rPr>
                      <w:rFonts w:hint="default" w:ascii="Times New Roman" w:hAnsi="Times New Roman" w:eastAsia="宋体" w:cs="Times New Roman"/>
                      <w:color w:val="auto"/>
                      <w:sz w:val="21"/>
                      <w:szCs w:val="21"/>
                      <w:lang w:val="en-US" w:eastAsia="zh-CN"/>
                    </w:rPr>
                    <w:t>，不属于“</w:t>
                  </w:r>
                  <w:r>
                    <w:rPr>
                      <w:rFonts w:hint="default" w:ascii="Times New Roman" w:hAnsi="Times New Roman" w:eastAsia="宋体" w:cs="Times New Roman"/>
                      <w:color w:val="auto"/>
                      <w:sz w:val="21"/>
                      <w:szCs w:val="21"/>
                      <w:lang w:eastAsia="zh-CN"/>
                    </w:rPr>
                    <w:t>两高一低</w:t>
                  </w:r>
                  <w:r>
                    <w:rPr>
                      <w:rFonts w:hint="default" w:ascii="Times New Roman" w:hAnsi="Times New Roman" w:eastAsia="宋体" w:cs="Times New Roman"/>
                      <w:color w:val="auto"/>
                      <w:sz w:val="21"/>
                      <w:szCs w:val="21"/>
                      <w:lang w:val="en-US" w:eastAsia="zh-CN"/>
                    </w:rPr>
                    <w:t>”项目。</w:t>
                  </w:r>
                </w:p>
              </w:tc>
              <w:tc>
                <w:tcPr>
                  <w:tcW w:w="519" w:type="pct"/>
                  <w:noWrap w:val="0"/>
                  <w:vAlign w:val="center"/>
                </w:tcPr>
                <w:p w14:paraId="003C6E6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6FB8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continue"/>
                  <w:noWrap w:val="0"/>
                  <w:vAlign w:val="center"/>
                </w:tcPr>
                <w:p w14:paraId="73F7DE9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2138" w:type="pct"/>
                  <w:noWrap w:val="0"/>
                  <w:vAlign w:val="center"/>
                </w:tcPr>
                <w:p w14:paraId="6E02134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推动落后产能退出。进一步提高重点区域钢铁、焦化、电解铝等产业落后产能能耗、环保、质量、安全、技术等要求，逐步退出限制类涉气行业工艺和装备；逐步淘汰步进式烧结机和球团竖炉以及半封闭式硅锰合金、镍铁、高碳铬铁、高碳锰铁电炉。推动能耗、环保、质量、安全、技术达不到标准和生产不合格产品或淘汰类产能依法依规关停退出。</w:t>
                  </w:r>
                </w:p>
              </w:tc>
              <w:tc>
                <w:tcPr>
                  <w:tcW w:w="1712" w:type="pct"/>
                  <w:noWrap w:val="0"/>
                  <w:vAlign w:val="center"/>
                </w:tcPr>
                <w:p w14:paraId="1927E22F">
                  <w:pPr>
                    <w:pStyle w:val="22"/>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项目主要生产塑料框，</w:t>
                  </w:r>
                  <w:r>
                    <w:rPr>
                      <w:rFonts w:hint="default" w:ascii="Times New Roman" w:hAnsi="Times New Roman" w:eastAsia="宋体" w:cs="Times New Roman"/>
                      <w:color w:val="auto"/>
                      <w:kern w:val="0"/>
                      <w:sz w:val="21"/>
                      <w:szCs w:val="21"/>
                      <w:lang w:val="en-US" w:eastAsia="zh-CN" w:bidi="ar"/>
                    </w:rPr>
                    <w:t>为塑料制品生产项目</w:t>
                  </w:r>
                  <w:r>
                    <w:rPr>
                      <w:rFonts w:hint="default" w:ascii="Times New Roman" w:hAnsi="Times New Roman" w:eastAsia="宋体" w:cs="Times New Roman"/>
                      <w:color w:val="auto"/>
                      <w:sz w:val="21"/>
                      <w:szCs w:val="21"/>
                      <w:lang w:val="en-US" w:eastAsia="zh-CN"/>
                    </w:rPr>
                    <w:t>，根据《产业结构调整指导目录（2024年本）》，项目不属于限制类和淘汰类，为允许类项目，</w:t>
                  </w:r>
                  <w:r>
                    <w:rPr>
                      <w:rFonts w:hint="eastAsia"/>
                      <w:color w:val="auto"/>
                      <w:sz w:val="21"/>
                      <w:szCs w:val="21"/>
                      <w:lang w:val="en-US" w:eastAsia="zh-CN"/>
                    </w:rPr>
                    <w:t>不涉及钢铁、焦化、电解铝等，不属于落后产能</w:t>
                  </w:r>
                  <w:r>
                    <w:rPr>
                      <w:rFonts w:hint="default" w:ascii="Times New Roman" w:hAnsi="Times New Roman" w:eastAsia="宋体" w:cs="Times New Roman"/>
                      <w:color w:val="auto"/>
                      <w:sz w:val="21"/>
                      <w:szCs w:val="21"/>
                      <w:lang w:val="en-US" w:eastAsia="zh-CN"/>
                    </w:rPr>
                    <w:t>项目。</w:t>
                  </w:r>
                </w:p>
              </w:tc>
              <w:tc>
                <w:tcPr>
                  <w:tcW w:w="519" w:type="pct"/>
                  <w:noWrap w:val="0"/>
                  <w:vAlign w:val="center"/>
                </w:tcPr>
                <w:p w14:paraId="1639E2A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5FF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continue"/>
                  <w:noWrap w:val="0"/>
                  <w:vAlign w:val="center"/>
                </w:tcPr>
                <w:p w14:paraId="34F93AE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2138" w:type="pct"/>
                  <w:noWrap w:val="0"/>
                  <w:vAlign w:val="center"/>
                </w:tcPr>
                <w:p w14:paraId="048DF7D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（四）优化含VOCs原辅材料和产品结构。严格控制生产和使用高VOCs含量涂料、油墨、</w:t>
                  </w:r>
                  <w:r>
                    <w:rPr>
                      <w:rFonts w:hint="eastAsia" w:ascii="Times New Roman" w:cs="Times New Roman"/>
                      <w:color w:val="auto"/>
                      <w:sz w:val="21"/>
                      <w:szCs w:val="21"/>
                      <w:lang w:val="en-US" w:eastAsia="zh-CN"/>
                    </w:rPr>
                    <w:t>胶黏剂</w:t>
                  </w:r>
                  <w:r>
                    <w:rPr>
                      <w:rFonts w:hint="default" w:ascii="Times New Roman" w:hAnsi="Times New Roman" w:eastAsia="宋体" w:cs="Times New Roman"/>
                      <w:color w:val="auto"/>
                      <w:sz w:val="21"/>
                      <w:szCs w:val="21"/>
                      <w:lang w:val="en-US" w:eastAsia="zh-CN"/>
                    </w:rPr>
                    <w:t>、清洗剂等建设项目，提高低（无）VOCs含量产品比重。实施源头替代工程，加大工业涂装、包装印刷和电子行业低（无）VOCs含量原辅材料替代力度，室外构筑物防护和城市道路交通标志推广使用低（无）VOCs含量涂料。在生产、销售、进口、使用等环节严格执行VOCs含量限值标准。</w:t>
                  </w:r>
                </w:p>
              </w:tc>
              <w:tc>
                <w:tcPr>
                  <w:tcW w:w="1712" w:type="pct"/>
                  <w:noWrap w:val="0"/>
                  <w:vAlign w:val="center"/>
                </w:tcPr>
                <w:p w14:paraId="31DDBAC3">
                  <w:pPr>
                    <w:pStyle w:val="81"/>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rPr>
                    <w:t>项目主要生产塑料框，使用的原料均为全新聚丙烯树脂颗粒，为</w:t>
                  </w:r>
                  <w:r>
                    <w:rPr>
                      <w:rFonts w:hint="eastAsia" w:ascii="Times New Roman" w:cs="Times New Roman"/>
                      <w:color w:val="auto"/>
                      <w:kern w:val="0"/>
                      <w:sz w:val="21"/>
                      <w:szCs w:val="21"/>
                      <w:lang w:val="en-US" w:eastAsia="zh-CN"/>
                    </w:rPr>
                    <w:t>低VOCs含量</w:t>
                  </w:r>
                  <w:r>
                    <w:rPr>
                      <w:rFonts w:hint="default" w:ascii="Times New Roman" w:hAnsi="Times New Roman" w:eastAsia="宋体" w:cs="Times New Roman"/>
                      <w:color w:val="auto"/>
                      <w:kern w:val="0"/>
                      <w:sz w:val="21"/>
                      <w:szCs w:val="21"/>
                      <w:lang w:val="en-US" w:eastAsia="zh-CN" w:bidi="ar"/>
                    </w:rPr>
                    <w:t>的原辅料，在常温保存中几乎无挥发，仅在高温热熔注塑过程</w:t>
                  </w:r>
                  <w:r>
                    <w:rPr>
                      <w:rFonts w:hint="eastAsia" w:ascii="Times New Roman" w:cs="Times New Roman"/>
                      <w:color w:val="auto"/>
                      <w:kern w:val="0"/>
                      <w:sz w:val="21"/>
                      <w:szCs w:val="21"/>
                      <w:lang w:val="en-US" w:eastAsia="zh-CN" w:bidi="ar"/>
                    </w:rPr>
                    <w:t>中</w:t>
                  </w:r>
                  <w:r>
                    <w:rPr>
                      <w:rFonts w:hint="default" w:ascii="Times New Roman" w:hAnsi="Times New Roman" w:eastAsia="宋体" w:cs="Times New Roman"/>
                      <w:color w:val="auto"/>
                      <w:kern w:val="0"/>
                      <w:sz w:val="21"/>
                      <w:szCs w:val="21"/>
                      <w:lang w:val="en-US" w:eastAsia="zh-CN" w:bidi="ar"/>
                    </w:rPr>
                    <w:t>会产生有机废气（以非甲烷总烃计），</w:t>
                  </w:r>
                  <w:r>
                    <w:rPr>
                      <w:rFonts w:hint="default" w:ascii="Times New Roman" w:hAnsi="Times New Roman" w:eastAsia="宋体" w:cs="Times New Roman"/>
                      <w:color w:val="auto"/>
                      <w:kern w:val="0"/>
                      <w:sz w:val="21"/>
                      <w:szCs w:val="21"/>
                      <w:lang w:val="en-US" w:eastAsia="zh-CN"/>
                    </w:rPr>
                    <w:t>经注塑机上方集气罩收集进入1套三级活性炭吸附装置处理后通过1根15m高的排气筒（DA001）达标排放。</w:t>
                  </w:r>
                </w:p>
              </w:tc>
              <w:tc>
                <w:tcPr>
                  <w:tcW w:w="519" w:type="pct"/>
                  <w:noWrap w:val="0"/>
                  <w:vAlign w:val="center"/>
                </w:tcPr>
                <w:p w14:paraId="560D422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696F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restart"/>
                  <w:noWrap w:val="0"/>
                  <w:vAlign w:val="center"/>
                </w:tcPr>
                <w:p w14:paraId="59B6070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三、优化能源结构</w:t>
                  </w:r>
                </w:p>
              </w:tc>
              <w:tc>
                <w:tcPr>
                  <w:tcW w:w="2138" w:type="pct"/>
                  <w:noWrap w:val="0"/>
                  <w:vAlign w:val="center"/>
                </w:tcPr>
                <w:p w14:paraId="62AE4450">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六</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大力发展新能源和清洁能源。大力发展新能源和清洁能源，加快可再生能源协同发展，坚持集中式与分布式并重，大幅增加光伏、风电、生物质能源开发</w:t>
                  </w:r>
                  <w:r>
                    <w:rPr>
                      <w:rFonts w:hint="eastAsia" w:ascii="Times New Roman" w:cs="Times New Roman"/>
                      <w:color w:val="auto"/>
                      <w:sz w:val="21"/>
                      <w:szCs w:val="21"/>
                      <w:lang w:eastAsia="zh-CN"/>
                    </w:rPr>
                    <w:t>利用</w:t>
                  </w:r>
                  <w:r>
                    <w:rPr>
                      <w:rFonts w:hint="default" w:ascii="Times New Roman" w:hAnsi="Times New Roman" w:eastAsia="宋体" w:cs="Times New Roman"/>
                      <w:color w:val="auto"/>
                      <w:sz w:val="21"/>
                      <w:szCs w:val="21"/>
                    </w:rPr>
                    <w:t>规模。不断提高非化石能源消费比重，2025年，非化石能源消费占一次能源消费总量比重达到40%以上，电能占终端能源消费比重达30%以上，持续增加天然气生产供应、新增天然气优先保障居民生活和清洁取暖需求。</w:t>
                  </w:r>
                </w:p>
              </w:tc>
              <w:tc>
                <w:tcPr>
                  <w:tcW w:w="1712" w:type="pct"/>
                  <w:noWrap w:val="0"/>
                  <w:vAlign w:val="center"/>
                </w:tcPr>
                <w:p w14:paraId="185A6E5C">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项目运营期能耗主要为电能，属于清洁能源，且用量较小，不属于高能耗行业，不使用化石能源、不使用燃煤燃料。</w:t>
                  </w:r>
                </w:p>
              </w:tc>
              <w:tc>
                <w:tcPr>
                  <w:tcW w:w="519" w:type="pct"/>
                  <w:noWrap w:val="0"/>
                  <w:vAlign w:val="center"/>
                </w:tcPr>
                <w:p w14:paraId="2533F91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符合</w:t>
                  </w:r>
                </w:p>
              </w:tc>
            </w:tr>
            <w:tr w14:paraId="06DB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0" w:hRule="atLeast"/>
                <w:jc w:val="center"/>
              </w:trPr>
              <w:tc>
                <w:tcPr>
                  <w:tcW w:w="629" w:type="pct"/>
                  <w:vMerge w:val="continue"/>
                  <w:noWrap w:val="0"/>
                  <w:vAlign w:val="center"/>
                </w:tcPr>
                <w:p w14:paraId="418995C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2138" w:type="pct"/>
                  <w:noWrap w:val="0"/>
                  <w:vAlign w:val="center"/>
                </w:tcPr>
                <w:p w14:paraId="55DEEAB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七</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严格合理控制煤炭消费增长。在保障能源安全供应前提下，有序推进煤炭消费减量替代。严格合理控制煤炭消费增长。根据发展需要合理建设先进煤电，有序淘汰落后煤电，大力推进煤炭清洁高效利用和煤电节能降碳改造、灵活性改造、供热改造“三改联动”，推动煤炭和新能源优化组合。不得将使用石油焦、焦炭、兰炭等高污染燃料作为煤炭减量替代措施，煤矸石、原料用煤不纳入煤炭消费总量考核。</w:t>
                  </w:r>
                </w:p>
              </w:tc>
              <w:tc>
                <w:tcPr>
                  <w:tcW w:w="1712" w:type="pct"/>
                  <w:noWrap w:val="0"/>
                  <w:vAlign w:val="center"/>
                </w:tcPr>
                <w:p w14:paraId="1E93878A">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项目运营期能耗主要为电能，项目不涉及燃煤使用。</w:t>
                  </w:r>
                </w:p>
              </w:tc>
              <w:tc>
                <w:tcPr>
                  <w:tcW w:w="519" w:type="pct"/>
                  <w:noWrap w:val="0"/>
                  <w:vAlign w:val="center"/>
                </w:tcPr>
                <w:p w14:paraId="51144D3A">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46EC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continue"/>
                  <w:noWrap w:val="0"/>
                  <w:vAlign w:val="center"/>
                </w:tcPr>
                <w:p w14:paraId="6FBB00EB">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2138" w:type="pct"/>
                  <w:noWrap w:val="0"/>
                  <w:vAlign w:val="center"/>
                </w:tcPr>
                <w:p w14:paraId="3C355BEA">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八</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积极开展燃煤锅炉关停整合。城市建成区原则上不再新建35蒸吨</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小时及以下燃煤锅炉。2025年，PM2.5未达标城市基本淘汰10蒸吨</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小时及以下燃煤锅炉。</w:t>
                  </w:r>
                </w:p>
              </w:tc>
              <w:tc>
                <w:tcPr>
                  <w:tcW w:w="1712" w:type="pct"/>
                  <w:noWrap w:val="0"/>
                  <w:vAlign w:val="center"/>
                </w:tcPr>
                <w:p w14:paraId="5CA4E09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项目不涉及燃煤锅炉的使用。</w:t>
                  </w:r>
                </w:p>
              </w:tc>
              <w:tc>
                <w:tcPr>
                  <w:tcW w:w="519" w:type="pct"/>
                  <w:noWrap w:val="0"/>
                  <w:vAlign w:val="center"/>
                </w:tcPr>
                <w:p w14:paraId="4749924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3038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continue"/>
                  <w:noWrap w:val="0"/>
                  <w:vAlign w:val="center"/>
                </w:tcPr>
                <w:p w14:paraId="01D76A5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2138" w:type="pct"/>
                  <w:noWrap w:val="0"/>
                  <w:vAlign w:val="center"/>
                </w:tcPr>
                <w:p w14:paraId="1EBA5C7B">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九</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实施工业炉窑清洁能源替代。继续完善工业炉窑管理清单，重点掌握燃用煤炭及其他高污染燃料的工业炉窑使用和排放情况。</w:t>
                  </w:r>
                </w:p>
              </w:tc>
              <w:tc>
                <w:tcPr>
                  <w:tcW w:w="1712" w:type="pct"/>
                  <w:noWrap w:val="0"/>
                  <w:vAlign w:val="center"/>
                </w:tcPr>
                <w:p w14:paraId="04F31E5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项目不涉及</w:t>
                  </w:r>
                  <w:r>
                    <w:rPr>
                      <w:rFonts w:hint="default" w:ascii="Times New Roman" w:hAnsi="Times New Roman" w:eastAsia="宋体" w:cs="Times New Roman"/>
                      <w:color w:val="auto"/>
                      <w:sz w:val="21"/>
                      <w:szCs w:val="21"/>
                    </w:rPr>
                    <w:t>工业炉窑</w:t>
                  </w:r>
                  <w:r>
                    <w:rPr>
                      <w:rFonts w:hint="default" w:ascii="Times New Roman" w:hAnsi="Times New Roman" w:eastAsia="宋体" w:cs="Times New Roman"/>
                      <w:color w:val="auto"/>
                      <w:sz w:val="21"/>
                      <w:szCs w:val="21"/>
                      <w:highlight w:val="none"/>
                      <w:lang w:val="en-US" w:eastAsia="zh-CN"/>
                    </w:rPr>
                    <w:t>的使用。</w:t>
                  </w:r>
                </w:p>
              </w:tc>
              <w:tc>
                <w:tcPr>
                  <w:tcW w:w="519" w:type="pct"/>
                  <w:noWrap w:val="0"/>
                  <w:vAlign w:val="center"/>
                </w:tcPr>
                <w:p w14:paraId="654BC6F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1EF3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restart"/>
                  <w:noWrap w:val="0"/>
                  <w:vAlign w:val="center"/>
                </w:tcPr>
                <w:p w14:paraId="528EAC93">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六、强化多污染物减排</w:t>
                  </w:r>
                </w:p>
              </w:tc>
              <w:tc>
                <w:tcPr>
                  <w:tcW w:w="2138" w:type="pct"/>
                  <w:noWrap w:val="0"/>
                  <w:vAlign w:val="center"/>
                </w:tcPr>
                <w:p w14:paraId="61BFB13F">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十七）强化VOCs全过程综合治理。推进石化、化工、工业涂装、包装印刷、油品储运销、化纤等重点行业深度治理。注重源头控制，积极推行低VOCs源头替代综合激励政策，推动包装印刷行业产品设计VOCs减量化，在工业涂装行业全面推广低VOCs源头替代。加强过程控制，优先采用密闭设备、在密闭空间中操作或采用全密闭集气罩收集方式。</w:t>
                  </w:r>
                </w:p>
              </w:tc>
              <w:tc>
                <w:tcPr>
                  <w:tcW w:w="1712" w:type="pct"/>
                  <w:noWrap w:val="0"/>
                  <w:vAlign w:val="center"/>
                </w:tcPr>
                <w:p w14:paraId="0866168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rPr>
                    <w:t>项目主要生产塑料框，使用的原料均为全新聚丙烯颗粒，为</w:t>
                  </w:r>
                  <w:r>
                    <w:rPr>
                      <w:rFonts w:hint="eastAsia" w:ascii="Times New Roman" w:cs="Times New Roman"/>
                      <w:color w:val="auto"/>
                      <w:kern w:val="0"/>
                      <w:sz w:val="21"/>
                      <w:szCs w:val="21"/>
                      <w:lang w:val="en-US" w:eastAsia="zh-CN"/>
                    </w:rPr>
                    <w:t>低VOCs含量</w:t>
                  </w:r>
                  <w:r>
                    <w:rPr>
                      <w:rFonts w:hint="default" w:ascii="Times New Roman" w:hAnsi="Times New Roman" w:eastAsia="宋体" w:cs="Times New Roman"/>
                      <w:color w:val="auto"/>
                      <w:kern w:val="0"/>
                      <w:sz w:val="21"/>
                      <w:szCs w:val="21"/>
                      <w:lang w:val="en-US" w:eastAsia="zh-CN" w:bidi="ar"/>
                    </w:rPr>
                    <w:t>的原辅料，在常温保存中几乎无挥发，仅在高温热熔注塑过程中会产生有机废气（以非甲烷总烃计），</w:t>
                  </w:r>
                  <w:r>
                    <w:rPr>
                      <w:rFonts w:hint="default" w:ascii="Times New Roman" w:hAnsi="Times New Roman" w:eastAsia="宋体" w:cs="Times New Roman"/>
                      <w:color w:val="auto"/>
                      <w:kern w:val="0"/>
                      <w:sz w:val="21"/>
                      <w:szCs w:val="21"/>
                      <w:lang w:val="en-US" w:eastAsia="zh-CN"/>
                    </w:rPr>
                    <w:t>经注塑机上方集气罩收集进入1套三级活性炭吸附装置处理后通过1根15m高的排气筒（DA001）达标排放。</w:t>
                  </w:r>
                </w:p>
              </w:tc>
              <w:tc>
                <w:tcPr>
                  <w:tcW w:w="519" w:type="pct"/>
                  <w:noWrap w:val="0"/>
                  <w:vAlign w:val="center"/>
                </w:tcPr>
                <w:p w14:paraId="6BE4171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48D2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3" w:hRule="atLeast"/>
                <w:jc w:val="center"/>
              </w:trPr>
              <w:tc>
                <w:tcPr>
                  <w:tcW w:w="629" w:type="pct"/>
                  <w:vMerge w:val="continue"/>
                  <w:noWrap w:val="0"/>
                  <w:vAlign w:val="center"/>
                </w:tcPr>
                <w:p w14:paraId="76F748B2">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2138" w:type="pct"/>
                  <w:noWrap w:val="0"/>
                  <w:vAlign w:val="center"/>
                </w:tcPr>
                <w:p w14:paraId="7D208EEE">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十八）持续推进工业污染源全面达标排放。推进玻璃、石灰、矿棉、有色等重点行业深度治理。全面开展燃煤、生物质锅炉和砖瓦、玻璃、陶瓷、耐火材料、有色、铸造、石灰等行业工业炉窑简易低效污染治理设施排查，通过清洁能源替代、升级改造、整合退出等方式实施分类处置。推进燃气锅炉低氮燃烧改造。生物质锅炉采用专用锅炉，配套高效除尘设施，禁止掺烧煤炭、生活垃圾等其他物料。推进整合小型生物质锅炉，引导城市建成区内生物质锅炉（含电力）超低排放改造。强化治污设施运行维护，减少非正常工况排放。重点涉气企业逐步取消烟气和含VOCs废气旁路，因安全生产需要无法取消的，安装在线监控系统及备用处置设施。</w:t>
                  </w:r>
                </w:p>
              </w:tc>
              <w:tc>
                <w:tcPr>
                  <w:tcW w:w="1712" w:type="pct"/>
                  <w:noWrap w:val="0"/>
                  <w:vAlign w:val="center"/>
                </w:tcPr>
                <w:p w14:paraId="462E3A8A">
                  <w:pPr>
                    <w:pStyle w:val="22"/>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kern w:val="0"/>
                      <w:sz w:val="21"/>
                      <w:szCs w:val="21"/>
                      <w:lang w:val="en-US" w:eastAsia="zh-CN" w:bidi="ar"/>
                    </w:rPr>
                    <w:t>为塑料制品生产项目</w:t>
                  </w:r>
                  <w:r>
                    <w:rPr>
                      <w:rFonts w:hint="default" w:ascii="Times New Roman" w:hAnsi="Times New Roman" w:eastAsia="宋体" w:cs="Times New Roman"/>
                      <w:color w:val="auto"/>
                      <w:sz w:val="21"/>
                      <w:szCs w:val="21"/>
                      <w:lang w:val="en-US" w:eastAsia="zh-CN"/>
                    </w:rPr>
                    <w:t>，</w:t>
                  </w:r>
                  <w:r>
                    <w:rPr>
                      <w:rFonts w:hint="eastAsia"/>
                      <w:color w:val="auto"/>
                      <w:sz w:val="21"/>
                      <w:szCs w:val="21"/>
                      <w:lang w:val="en-US" w:eastAsia="zh-CN"/>
                    </w:rPr>
                    <w:t>不属于玻璃、石灰、矿棉、有色等重点行业，</w:t>
                  </w:r>
                  <w:r>
                    <w:rPr>
                      <w:rFonts w:hint="eastAsia"/>
                      <w:color w:val="auto"/>
                      <w:lang w:val="en-US" w:eastAsia="zh-CN"/>
                    </w:rPr>
                    <w:t>不涉及锅炉、工业炉窑</w:t>
                  </w:r>
                  <w:r>
                    <w:rPr>
                      <w:rFonts w:hint="default" w:ascii="Times New Roman" w:hAnsi="Times New Roman" w:eastAsia="宋体" w:cs="Times New Roman"/>
                      <w:color w:val="auto"/>
                      <w:kern w:val="0"/>
                      <w:sz w:val="21"/>
                      <w:szCs w:val="21"/>
                      <w:lang w:val="en-US" w:eastAsia="zh-CN"/>
                    </w:rPr>
                    <w:t>。</w:t>
                  </w:r>
                </w:p>
              </w:tc>
              <w:tc>
                <w:tcPr>
                  <w:tcW w:w="519" w:type="pct"/>
                  <w:noWrap w:val="0"/>
                  <w:vAlign w:val="center"/>
                </w:tcPr>
                <w:p w14:paraId="6F9C1F7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bl>
          <w:p w14:paraId="27BF872E">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根据上表，项目符合《昆明市空气质量持续改善行动实施方案》相关要求。</w:t>
            </w:r>
          </w:p>
          <w:p w14:paraId="0E555832">
            <w:pPr>
              <w:keepNext w:val="0"/>
              <w:keepLines w:val="0"/>
              <w:suppressLineNumbers w:val="0"/>
              <w:autoSpaceDE w:val="0"/>
              <w:autoSpaceDN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szCs w:val="32"/>
                <w:lang w:val="en-US" w:eastAsia="zh-CN"/>
              </w:rPr>
              <w:t>11</w:t>
            </w:r>
            <w:r>
              <w:rPr>
                <w:rFonts w:hint="default" w:ascii="Times New Roman" w:hAnsi="Times New Roman" w:eastAsia="宋体" w:cs="Times New Roman"/>
                <w:b/>
                <w:bCs/>
                <w:color w:val="auto"/>
                <w:sz w:val="24"/>
                <w:szCs w:val="32"/>
              </w:rPr>
              <w:t>、</w:t>
            </w:r>
            <w:r>
              <w:rPr>
                <w:rFonts w:hint="default" w:ascii="Times New Roman" w:hAnsi="Times New Roman" w:eastAsia="宋体" w:cs="Times New Roman"/>
                <w:b/>
                <w:bCs/>
                <w:color w:val="auto"/>
                <w:sz w:val="24"/>
              </w:rPr>
              <w:t>与《挥发性有机物（VOC</w:t>
            </w:r>
            <w:r>
              <w:rPr>
                <w:rFonts w:hint="default" w:ascii="Times New Roman" w:hAnsi="Times New Roman" w:eastAsia="宋体" w:cs="Times New Roman"/>
                <w:b/>
                <w:bCs/>
                <w:color w:val="auto"/>
                <w:sz w:val="24"/>
                <w:vertAlign w:val="subscript"/>
              </w:rPr>
              <w:t>S</w:t>
            </w:r>
            <w:r>
              <w:rPr>
                <w:rFonts w:hint="default" w:ascii="Times New Roman" w:hAnsi="Times New Roman" w:eastAsia="宋体" w:cs="Times New Roman"/>
                <w:b/>
                <w:bCs/>
                <w:color w:val="auto"/>
                <w:sz w:val="24"/>
              </w:rPr>
              <w:t>）污染防治技术政策》符合性分析</w:t>
            </w:r>
          </w:p>
          <w:p w14:paraId="406AC939">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1"/>
                <w:szCs w:val="21"/>
              </w:rPr>
              <w:t>表1-</w:t>
            </w:r>
            <w:r>
              <w:rPr>
                <w:rFonts w:hint="eastAsia" w:cs="Times New Roman"/>
                <w:b/>
                <w:bCs/>
                <w:color w:val="auto"/>
                <w:sz w:val="21"/>
                <w:szCs w:val="21"/>
                <w:lang w:val="en-US" w:eastAsia="zh-CN"/>
              </w:rPr>
              <w:t>14</w:t>
            </w:r>
            <w:r>
              <w:rPr>
                <w:rFonts w:hint="default" w:ascii="Times New Roman" w:hAnsi="Times New Roman" w:eastAsia="宋体" w:cs="Times New Roman"/>
                <w:b/>
                <w:bCs/>
                <w:color w:val="auto"/>
                <w:sz w:val="21"/>
                <w:szCs w:val="21"/>
              </w:rPr>
              <w:t xml:space="preserve"> </w:t>
            </w:r>
            <w:r>
              <w:rPr>
                <w:rFonts w:hint="eastAsia"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项目与《挥发性有机物（VOC</w:t>
            </w:r>
            <w:r>
              <w:rPr>
                <w:rFonts w:hint="default" w:ascii="Times New Roman" w:hAnsi="Times New Roman" w:eastAsia="宋体" w:cs="Times New Roman"/>
                <w:b/>
                <w:bCs/>
                <w:color w:val="auto"/>
                <w:sz w:val="21"/>
                <w:szCs w:val="21"/>
                <w:vertAlign w:val="subscript"/>
              </w:rPr>
              <w:t>S</w:t>
            </w:r>
            <w:r>
              <w:rPr>
                <w:rFonts w:hint="default" w:ascii="Times New Roman" w:hAnsi="Times New Roman" w:eastAsia="宋体" w:cs="Times New Roman"/>
                <w:b/>
                <w:bCs/>
                <w:color w:val="auto"/>
                <w:sz w:val="21"/>
                <w:szCs w:val="21"/>
              </w:rPr>
              <w:t>）污染防治技术政策》符合性分析</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1"/>
              <w:gridCol w:w="2995"/>
              <w:gridCol w:w="957"/>
            </w:tblGrid>
            <w:tr w14:paraId="374C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6" w:type="pct"/>
                  <w:noWrap w:val="0"/>
                  <w:vAlign w:val="center"/>
                </w:tcPr>
                <w:p w14:paraId="1EE8FC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zh-CN"/>
                    </w:rPr>
                  </w:pPr>
                  <w:r>
                    <w:rPr>
                      <w:rFonts w:hint="default" w:ascii="Times New Roman" w:hAnsi="Times New Roman" w:eastAsia="宋体" w:cs="Times New Roman"/>
                      <w:b/>
                      <w:bCs/>
                      <w:color w:val="auto"/>
                      <w:szCs w:val="21"/>
                    </w:rPr>
                    <w:t>挥发性有机（VOCs）污染物防治技术政策要求</w:t>
                  </w:r>
                </w:p>
              </w:tc>
              <w:tc>
                <w:tcPr>
                  <w:tcW w:w="1897" w:type="pct"/>
                  <w:noWrap w:val="0"/>
                  <w:vAlign w:val="center"/>
                </w:tcPr>
                <w:p w14:paraId="6497A07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zh-CN"/>
                    </w:rPr>
                  </w:pPr>
                  <w:r>
                    <w:rPr>
                      <w:rFonts w:hint="default" w:ascii="Times New Roman" w:hAnsi="Times New Roman" w:eastAsia="宋体" w:cs="Times New Roman"/>
                      <w:b/>
                      <w:bCs/>
                      <w:color w:val="auto"/>
                      <w:szCs w:val="21"/>
                      <w:lang w:val="zh-CN"/>
                    </w:rPr>
                    <w:t>本项目情况</w:t>
                  </w:r>
                </w:p>
              </w:tc>
              <w:tc>
                <w:tcPr>
                  <w:tcW w:w="606" w:type="pct"/>
                  <w:noWrap w:val="0"/>
                  <w:vAlign w:val="center"/>
                </w:tcPr>
                <w:p w14:paraId="37CF554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zh-CN"/>
                    </w:rPr>
                  </w:pPr>
                  <w:r>
                    <w:rPr>
                      <w:rFonts w:hint="default" w:ascii="Times New Roman" w:hAnsi="Times New Roman" w:eastAsia="宋体" w:cs="Times New Roman"/>
                      <w:b/>
                      <w:bCs/>
                      <w:color w:val="auto"/>
                      <w:szCs w:val="21"/>
                      <w:lang w:val="zh-CN"/>
                    </w:rPr>
                    <w:t>符合性</w:t>
                  </w:r>
                </w:p>
              </w:tc>
            </w:tr>
            <w:tr w14:paraId="27AD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6" w:type="pct"/>
                  <w:noWrap w:val="0"/>
                  <w:vAlign w:val="center"/>
                </w:tcPr>
                <w:p w14:paraId="1A18148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（四）VOCs污染防治应遵循源头和过程控制与末端治理相结合的综合防治原则。在工业生产中采用清洁生产技术，严格控制含VOCs原料与产品在生产和储运销过程中的VOCs排放，鼓励对资源和能源的回收利用</w:t>
                  </w:r>
                  <w:r>
                    <w:rPr>
                      <w:rFonts w:hint="default" w:ascii="Times New Roman" w:hAnsi="Times New Roman" w:eastAsia="宋体" w:cs="Times New Roman"/>
                      <w:bCs/>
                      <w:color w:val="auto"/>
                      <w:szCs w:val="21"/>
                      <w:lang w:eastAsia="zh-CN"/>
                    </w:rPr>
                    <w:t>；</w:t>
                  </w:r>
                  <w:r>
                    <w:rPr>
                      <w:rFonts w:hint="default" w:ascii="Times New Roman" w:hAnsi="Times New Roman" w:eastAsia="宋体" w:cs="Times New Roman"/>
                      <w:bCs/>
                      <w:color w:val="auto"/>
                      <w:szCs w:val="21"/>
                    </w:rPr>
                    <w:t>鼓励在生产和生活中使用不含VOCs的替代产品或低VOCs含量的产品。</w:t>
                  </w:r>
                </w:p>
              </w:tc>
              <w:tc>
                <w:tcPr>
                  <w:tcW w:w="1897" w:type="pct"/>
                  <w:noWrap w:val="0"/>
                  <w:vAlign w:val="center"/>
                </w:tcPr>
                <w:p w14:paraId="0C9A8A6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kern w:val="0"/>
                      <w:szCs w:val="21"/>
                      <w:lang w:val="en-US" w:eastAsia="zh-CN"/>
                    </w:rPr>
                    <w:t>项目主要生产塑料框，使用的原料</w:t>
                  </w:r>
                  <w:r>
                    <w:rPr>
                      <w:rFonts w:hint="default" w:ascii="Times New Roman" w:hAnsi="Times New Roman" w:eastAsia="宋体" w:cs="Times New Roman"/>
                      <w:color w:val="auto"/>
                      <w:kern w:val="0"/>
                      <w:sz w:val="21"/>
                      <w:szCs w:val="21"/>
                      <w:lang w:val="en-US" w:eastAsia="zh-CN"/>
                    </w:rPr>
                    <w:t>均为全新聚丙烯颗粒</w:t>
                  </w:r>
                  <w:r>
                    <w:rPr>
                      <w:rFonts w:hint="default" w:ascii="Times New Roman" w:hAnsi="Times New Roman" w:eastAsia="宋体" w:cs="Times New Roman"/>
                      <w:color w:val="auto"/>
                      <w:kern w:val="0"/>
                      <w:szCs w:val="21"/>
                      <w:lang w:val="en-US" w:eastAsia="zh-CN"/>
                    </w:rPr>
                    <w:t>，</w:t>
                  </w:r>
                  <w:r>
                    <w:rPr>
                      <w:rFonts w:hint="default" w:ascii="Times New Roman" w:hAnsi="Times New Roman" w:eastAsia="宋体" w:cs="Times New Roman"/>
                      <w:color w:val="auto"/>
                      <w:kern w:val="0"/>
                      <w:sz w:val="21"/>
                      <w:szCs w:val="21"/>
                      <w:lang w:val="en-US" w:eastAsia="zh-CN"/>
                    </w:rPr>
                    <w:t>为</w:t>
                  </w:r>
                  <w:r>
                    <w:rPr>
                      <w:rFonts w:hint="eastAsia" w:cs="Times New Roman"/>
                      <w:color w:val="auto"/>
                      <w:kern w:val="0"/>
                      <w:sz w:val="21"/>
                      <w:szCs w:val="21"/>
                      <w:lang w:val="en-US" w:eastAsia="zh-CN"/>
                    </w:rPr>
                    <w:t>低VOCs含量</w:t>
                  </w:r>
                  <w:r>
                    <w:rPr>
                      <w:rFonts w:hint="default" w:ascii="Times New Roman" w:hAnsi="Times New Roman" w:eastAsia="宋体" w:cs="Times New Roman"/>
                      <w:color w:val="auto"/>
                      <w:kern w:val="0"/>
                      <w:sz w:val="21"/>
                      <w:szCs w:val="21"/>
                      <w:lang w:val="en-US" w:eastAsia="zh-CN" w:bidi="ar"/>
                    </w:rPr>
                    <w:t>的原辅料，在常温保存中几乎无挥发，仅在高温热熔注塑过程中会产生有机废气（以非甲烷总烃计）</w:t>
                  </w:r>
                  <w:r>
                    <w:rPr>
                      <w:rFonts w:hint="default" w:ascii="Times New Roman" w:hAnsi="Times New Roman" w:eastAsia="宋体" w:cs="Times New Roman"/>
                      <w:color w:val="auto"/>
                      <w:kern w:val="0"/>
                      <w:szCs w:val="21"/>
                      <w:lang w:val="en-US" w:eastAsia="zh-CN" w:bidi="ar"/>
                    </w:rPr>
                    <w:t>，</w:t>
                  </w:r>
                  <w:r>
                    <w:rPr>
                      <w:rFonts w:hint="default" w:ascii="Times New Roman" w:hAnsi="Times New Roman" w:eastAsia="宋体" w:cs="Times New Roman"/>
                      <w:color w:val="auto"/>
                      <w:kern w:val="0"/>
                      <w:szCs w:val="21"/>
                      <w:lang w:val="en-US" w:eastAsia="zh-CN"/>
                    </w:rPr>
                    <w:t>经注塑机上方集气罩收集进入1套三级活性炭吸附装置处理后通过1根15m高的排气筒（DA001）达标排放。</w:t>
                  </w:r>
                </w:p>
              </w:tc>
              <w:tc>
                <w:tcPr>
                  <w:tcW w:w="606" w:type="pct"/>
                  <w:noWrap w:val="0"/>
                  <w:vAlign w:val="center"/>
                </w:tcPr>
                <w:p w14:paraId="732D7D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756D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6" w:type="pct"/>
                  <w:noWrap w:val="0"/>
                  <w:vAlign w:val="center"/>
                </w:tcPr>
                <w:p w14:paraId="1FE65A0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十五）对于含低浓度VOCs的废气，有回收价值时可采用吸附技术、吸收技术对有机溶剂回收后达标排放；不宜回收时，可采用吸附浓缩燃烧技术、生物技术、吸收技术、等离子体技术或紫外光高级氧化技术等净化后达标排放。</w:t>
                  </w:r>
                </w:p>
              </w:tc>
              <w:tc>
                <w:tcPr>
                  <w:tcW w:w="1897" w:type="pct"/>
                  <w:noWrap w:val="0"/>
                  <w:vAlign w:val="center"/>
                </w:tcPr>
                <w:p w14:paraId="757ED4F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rPr>
                    <w:t>项目</w:t>
                  </w:r>
                  <w:r>
                    <w:rPr>
                      <w:rFonts w:hint="default" w:ascii="Times New Roman" w:hAnsi="Times New Roman" w:eastAsia="宋体" w:cs="Times New Roman"/>
                      <w:color w:val="auto"/>
                      <w:lang w:val="en-US" w:eastAsia="zh-CN"/>
                    </w:rPr>
                    <w:t>生产塑料框</w:t>
                  </w:r>
                  <w:r>
                    <w:rPr>
                      <w:rFonts w:hint="default" w:ascii="Times New Roman" w:hAnsi="Times New Roman" w:eastAsia="宋体" w:cs="Times New Roman"/>
                      <w:color w:val="auto"/>
                    </w:rPr>
                    <w:t>，</w:t>
                  </w:r>
                  <w:r>
                    <w:rPr>
                      <w:rFonts w:hint="default" w:ascii="Times New Roman" w:hAnsi="Times New Roman" w:eastAsia="宋体" w:cs="Times New Roman"/>
                      <w:bCs/>
                      <w:color w:val="auto"/>
                      <w:szCs w:val="21"/>
                      <w:lang w:val="en-US" w:eastAsia="zh-CN"/>
                    </w:rPr>
                    <w:t>注塑工序会产生有机废气（以非甲烷总烃计），</w:t>
                  </w:r>
                  <w:r>
                    <w:rPr>
                      <w:rFonts w:hint="default" w:ascii="Times New Roman" w:hAnsi="Times New Roman" w:eastAsia="宋体" w:cs="Times New Roman"/>
                      <w:color w:val="auto"/>
                      <w:lang w:val="en-US" w:eastAsia="zh-CN"/>
                    </w:rPr>
                    <w:t>根据废气污染源强核算，热熔注塑有组织产生废气浓度为</w:t>
                  </w:r>
                  <w:r>
                    <w:rPr>
                      <w:rFonts w:hint="eastAsia" w:ascii="Times New Roman" w:hAnsi="Times New Roman" w:eastAsia="宋体" w:cs="Times New Roman"/>
                      <w:color w:val="000000"/>
                      <w:kern w:val="0"/>
                      <w:sz w:val="21"/>
                      <w:szCs w:val="21"/>
                      <w:highlight w:val="none"/>
                      <w:lang w:val="en-US" w:eastAsia="zh-CN" w:bidi="ar"/>
                    </w:rPr>
                    <w:t>67.1929</w:t>
                  </w:r>
                  <w:r>
                    <w:rPr>
                      <w:rFonts w:hint="default" w:ascii="Times New Roman" w:hAnsi="Times New Roman" w:eastAsia="宋体" w:cs="Times New Roman"/>
                      <w:color w:val="000000"/>
                      <w:kern w:val="0"/>
                      <w:sz w:val="21"/>
                      <w:szCs w:val="21"/>
                      <w:highlight w:val="none"/>
                      <w:lang w:val="en-US" w:eastAsia="zh-CN" w:bidi="ar"/>
                    </w:rPr>
                    <w:t>mg/m</w:t>
                  </w:r>
                  <w:r>
                    <w:rPr>
                      <w:rFonts w:hint="default" w:ascii="Times New Roman" w:hAnsi="Times New Roman" w:eastAsia="宋体" w:cs="Times New Roman"/>
                      <w:color w:val="000000"/>
                      <w:kern w:val="0"/>
                      <w:sz w:val="21"/>
                      <w:szCs w:val="21"/>
                      <w:highlight w:val="none"/>
                      <w:vertAlign w:val="superscript"/>
                      <w:lang w:val="en-US" w:eastAsia="zh-CN" w:bidi="ar"/>
                    </w:rPr>
                    <w:t>3</w:t>
                  </w:r>
                  <w:r>
                    <w:rPr>
                      <w:rFonts w:hint="default" w:ascii="Times New Roman" w:hAnsi="Times New Roman" w:eastAsia="宋体" w:cs="Times New Roman"/>
                      <w:color w:val="000000"/>
                      <w:kern w:val="0"/>
                      <w:sz w:val="21"/>
                      <w:szCs w:val="21"/>
                      <w:highlight w:val="none"/>
                      <w:lang w:val="en-US" w:eastAsia="zh-CN" w:bidi="ar"/>
                    </w:rPr>
                    <w:t>，</w:t>
                  </w:r>
                  <w:r>
                    <w:rPr>
                      <w:rFonts w:hint="default" w:ascii="Times New Roman" w:hAnsi="Times New Roman" w:eastAsia="宋体" w:cs="Times New Roman"/>
                      <w:bCs/>
                      <w:color w:val="auto"/>
                      <w:szCs w:val="21"/>
                      <w:lang w:val="en-US" w:eastAsia="zh-CN"/>
                    </w:rPr>
                    <w:t>为</w:t>
                  </w:r>
                  <w:r>
                    <w:rPr>
                      <w:rFonts w:hint="default" w:ascii="Times New Roman" w:hAnsi="Times New Roman" w:eastAsia="宋体" w:cs="Times New Roman"/>
                      <w:bCs/>
                      <w:color w:val="auto"/>
                      <w:szCs w:val="21"/>
                    </w:rPr>
                    <w:t>低浓度VOCs废气，且不宜回收利用，</w:t>
                  </w:r>
                  <w:r>
                    <w:rPr>
                      <w:rFonts w:hint="default" w:ascii="Times New Roman" w:hAnsi="Times New Roman" w:eastAsia="宋体" w:cs="Times New Roman"/>
                      <w:color w:val="auto"/>
                      <w:lang w:val="en-US" w:eastAsia="zh-CN"/>
                    </w:rPr>
                    <w:t>热熔注塑工序收集的非甲烷总烃设置1套三级活性炭吸附装置处理后通过15m高排气筒（DA001）达标排放。</w:t>
                  </w:r>
                </w:p>
              </w:tc>
              <w:tc>
                <w:tcPr>
                  <w:tcW w:w="606" w:type="pct"/>
                  <w:noWrap w:val="0"/>
                  <w:vAlign w:val="center"/>
                </w:tcPr>
                <w:p w14:paraId="28BED7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zh-CN"/>
                    </w:rPr>
                  </w:pPr>
                  <w:r>
                    <w:rPr>
                      <w:rFonts w:hint="default" w:ascii="Times New Roman" w:hAnsi="Times New Roman" w:eastAsia="宋体" w:cs="Times New Roman"/>
                      <w:color w:val="auto"/>
                      <w:szCs w:val="21"/>
                      <w:lang w:val="zh-CN"/>
                    </w:rPr>
                    <w:t>符合</w:t>
                  </w:r>
                </w:p>
              </w:tc>
            </w:tr>
            <w:tr w14:paraId="1020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6" w:type="pct"/>
                  <w:noWrap w:val="0"/>
                  <w:vAlign w:val="center"/>
                </w:tcPr>
                <w:p w14:paraId="7A5B157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十七）恶臭气体污染源可采用生物技术、等离子体技术、吸附技术、吸收技术、紫外光高级氧化技术或组合技术等进行净化。净化后的恶臭气体除满足达标排放的要求外，还应采取高空排放等措施，避免产生扰民问题。</w:t>
                  </w:r>
                </w:p>
              </w:tc>
              <w:tc>
                <w:tcPr>
                  <w:tcW w:w="1897" w:type="pct"/>
                  <w:noWrap w:val="0"/>
                  <w:vAlign w:val="center"/>
                </w:tcPr>
                <w:p w14:paraId="3E77544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lang w:val="en-US" w:eastAsia="zh-CN"/>
                    </w:rPr>
                    <w:t>项目热熔注塑工序会伴随产生少量的异味，经集气罩收集进入1套三级活性炭吸附系统处理达标后通过15m高排气筒达标排放。</w:t>
                  </w:r>
                </w:p>
              </w:tc>
              <w:tc>
                <w:tcPr>
                  <w:tcW w:w="606" w:type="pct"/>
                  <w:noWrap w:val="0"/>
                  <w:vAlign w:val="center"/>
                </w:tcPr>
                <w:p w14:paraId="355D21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zh-CN"/>
                    </w:rPr>
                  </w:pPr>
                  <w:r>
                    <w:rPr>
                      <w:rFonts w:hint="default" w:ascii="Times New Roman" w:hAnsi="Times New Roman" w:eastAsia="宋体" w:cs="Times New Roman"/>
                      <w:color w:val="auto"/>
                      <w:szCs w:val="21"/>
                      <w:lang w:val="zh-CN"/>
                    </w:rPr>
                    <w:t>符合</w:t>
                  </w:r>
                </w:p>
              </w:tc>
            </w:tr>
            <w:tr w14:paraId="1544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6" w:type="pct"/>
                  <w:noWrap w:val="0"/>
                  <w:vAlign w:val="center"/>
                </w:tcPr>
                <w:p w14:paraId="0147693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（二十）对于不能再生的过滤材料、吸附剂及催化剂等净化材料，应按照国家固体废物管理的相关规定处理处置。</w:t>
                  </w:r>
                </w:p>
              </w:tc>
              <w:tc>
                <w:tcPr>
                  <w:tcW w:w="1897" w:type="pct"/>
                  <w:noWrap w:val="0"/>
                  <w:vAlign w:val="center"/>
                </w:tcPr>
                <w:p w14:paraId="1756EBB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lang w:val="en-US" w:eastAsia="zh-CN"/>
                    </w:rPr>
                    <w:t>项目产生的废活性炭</w:t>
                  </w:r>
                  <w:r>
                    <w:rPr>
                      <w:rFonts w:hint="eastAsia" w:cs="Times New Roman"/>
                      <w:color w:val="auto"/>
                      <w:lang w:val="en-US" w:eastAsia="zh-CN"/>
                    </w:rPr>
                    <w:t>在危废贮存库内暂存，定期委托有资质单位清运处置</w:t>
                  </w:r>
                  <w:r>
                    <w:rPr>
                      <w:rFonts w:hint="default" w:ascii="Times New Roman" w:hAnsi="Times New Roman" w:eastAsia="宋体" w:cs="Times New Roman"/>
                      <w:color w:val="auto"/>
                      <w:lang w:val="en-US" w:eastAsia="zh-CN"/>
                    </w:rPr>
                    <w:t>。</w:t>
                  </w:r>
                </w:p>
              </w:tc>
              <w:tc>
                <w:tcPr>
                  <w:tcW w:w="606" w:type="pct"/>
                  <w:noWrap w:val="0"/>
                  <w:vAlign w:val="center"/>
                </w:tcPr>
                <w:p w14:paraId="34A363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171D726D">
            <w:pPr>
              <w:pStyle w:val="60"/>
              <w:keepNext w:val="0"/>
              <w:keepLines w:val="0"/>
              <w:pageBreakBefore w:val="0"/>
              <w:widowControl w:val="0"/>
              <w:suppressLineNumbers w:val="0"/>
              <w:tabs>
                <w:tab w:val="left" w:pos="413"/>
              </w:tabs>
              <w:kinsoku/>
              <w:wordWrap w:val="0"/>
              <w:overflowPunct/>
              <w:topLinePunct/>
              <w:autoSpaceDE/>
              <w:autoSpaceDN/>
              <w:bidi w:val="0"/>
              <w:adjustRightInd w:val="0"/>
              <w:snapToGrid/>
              <w:spacing w:before="157" w:beforeLines="50" w:beforeAutospacing="0" w:after="0" w:afterAutospacing="0"/>
              <w:ind w:firstLine="480" w:firstLineChars="200"/>
              <w:jc w:val="both"/>
              <w:textAlignment w:val="baseline"/>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color w:val="auto"/>
                <w:kern w:val="0"/>
                <w:sz w:val="24"/>
                <w:szCs w:val="24"/>
              </w:rPr>
              <w:t>根据上表分析可知，项目建设符合《挥发性有机物（VOC</w:t>
            </w:r>
            <w:r>
              <w:rPr>
                <w:rFonts w:hint="default" w:ascii="Times New Roman" w:hAnsi="Times New Roman" w:eastAsia="宋体" w:cs="Times New Roman"/>
                <w:color w:val="auto"/>
                <w:kern w:val="0"/>
                <w:sz w:val="24"/>
                <w:szCs w:val="24"/>
                <w:vertAlign w:val="subscript"/>
              </w:rPr>
              <w:t>S</w:t>
            </w:r>
            <w:r>
              <w:rPr>
                <w:rFonts w:hint="default" w:ascii="Times New Roman" w:hAnsi="Times New Roman" w:eastAsia="宋体" w:cs="Times New Roman"/>
                <w:color w:val="auto"/>
                <w:kern w:val="0"/>
                <w:sz w:val="24"/>
                <w:szCs w:val="24"/>
              </w:rPr>
              <w:t>）污染防治技术政策》要求。</w:t>
            </w:r>
          </w:p>
          <w:p w14:paraId="31E3B043">
            <w:pPr>
              <w:keepNext w:val="0"/>
              <w:keepLines w:val="0"/>
              <w:widowControl/>
              <w:numPr>
                <w:ilvl w:val="0"/>
                <w:numId w:val="0"/>
              </w:numPr>
              <w:suppressLineNumbers w:val="0"/>
              <w:spacing w:before="0" w:beforeAutospacing="0" w:after="0" w:afterAutospacing="0" w:line="360" w:lineRule="auto"/>
              <w:ind w:left="0" w:leftChars="0" w:right="0" w:rightChars="0" w:firstLine="482" w:firstLineChars="200"/>
              <w:rPr>
                <w:rStyle w:val="41"/>
                <w:rFonts w:hint="default" w:ascii="Times New Roman" w:hAnsi="Times New Roman" w:eastAsia="宋体" w:cs="Times New Roman"/>
                <w:b/>
                <w:caps w:val="0"/>
                <w:smallCaps w:val="0"/>
                <w:color w:val="auto"/>
                <w:sz w:val="24"/>
                <w:szCs w:val="27"/>
                <w:highlight w:val="none"/>
                <w:u w:val="none"/>
                <w:shd w:val="clear" w:color="auto" w:fill="FFFFFF"/>
                <w:lang w:val="en-US" w:eastAsia="zh-CN"/>
              </w:rPr>
            </w:pPr>
            <w:bookmarkStart w:id="5" w:name="_Toc1565"/>
            <w:r>
              <w:rPr>
                <w:rStyle w:val="41"/>
                <w:rFonts w:hint="eastAsia" w:cs="Times New Roman"/>
                <w:b/>
                <w:caps w:val="0"/>
                <w:smallCaps w:val="0"/>
                <w:color w:val="auto"/>
                <w:sz w:val="24"/>
                <w:szCs w:val="27"/>
                <w:highlight w:val="none"/>
                <w:u w:val="none"/>
                <w:shd w:val="clear" w:color="auto" w:fill="FFFFFF"/>
                <w:lang w:val="en-US" w:eastAsia="zh-CN"/>
              </w:rPr>
              <w:t>12</w:t>
            </w:r>
            <w:r>
              <w:rPr>
                <w:rStyle w:val="41"/>
                <w:rFonts w:hint="eastAsia" w:ascii="Times New Roman" w:hAnsi="Times New Roman" w:cs="Times New Roman"/>
                <w:b/>
                <w:caps w:val="0"/>
                <w:smallCaps w:val="0"/>
                <w:color w:val="auto"/>
                <w:sz w:val="24"/>
                <w:szCs w:val="27"/>
                <w:highlight w:val="none"/>
                <w:u w:val="none"/>
                <w:shd w:val="clear" w:color="auto" w:fill="FFFFFF"/>
                <w:lang w:val="en-US" w:eastAsia="zh-CN"/>
              </w:rPr>
              <w:t>、</w:t>
            </w:r>
            <w:r>
              <w:rPr>
                <w:rStyle w:val="41"/>
                <w:rFonts w:hint="default" w:ascii="Times New Roman" w:hAnsi="Times New Roman" w:eastAsia="宋体" w:cs="Times New Roman"/>
                <w:b/>
                <w:caps w:val="0"/>
                <w:smallCaps w:val="0"/>
                <w:color w:val="auto"/>
                <w:sz w:val="24"/>
                <w:szCs w:val="27"/>
                <w:highlight w:val="none"/>
                <w:u w:val="none"/>
                <w:shd w:val="clear" w:color="auto" w:fill="FFFFFF"/>
                <w:lang w:val="en-US" w:eastAsia="zh-CN"/>
              </w:rPr>
              <w:t>项目与《关于进一步加强塑料污染治理的意见》（发改环资〔2020〕80号）符合性分析</w:t>
            </w:r>
          </w:p>
          <w:p w14:paraId="55C783A5">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宋体"/>
                <w:caps w:val="0"/>
                <w:smallCaps w:val="0"/>
                <w:color w:val="auto"/>
                <w:kern w:val="0"/>
                <w:sz w:val="24"/>
                <w:lang w:val="en-US" w:eastAsia="zh-CN" w:bidi="ar"/>
              </w:rPr>
            </w:pPr>
            <w:r>
              <w:rPr>
                <w:rFonts w:hint="default" w:ascii="Times New Roman" w:hAnsi="Times New Roman" w:eastAsia="宋体" w:cs="宋体"/>
                <w:caps w:val="0"/>
                <w:smallCaps w:val="0"/>
                <w:color w:val="auto"/>
                <w:kern w:val="0"/>
                <w:sz w:val="24"/>
                <w:lang w:val="en-US" w:eastAsia="zh-CN" w:bidi="ar"/>
              </w:rPr>
              <w:t>根据国家发展改革委、生态环境部《关于进一步加强塑料污染治理的意见》（发改环资〔2020〕80号），项目相关符合性分析见表</w:t>
            </w:r>
            <w:r>
              <w:rPr>
                <w:rFonts w:hint="eastAsia" w:ascii="Times New Roman" w:hAnsi="Times New Roman" w:cs="宋体"/>
                <w:caps w:val="0"/>
                <w:smallCaps w:val="0"/>
                <w:color w:val="auto"/>
                <w:kern w:val="0"/>
                <w:sz w:val="24"/>
                <w:lang w:val="en-US" w:eastAsia="zh-CN" w:bidi="ar"/>
              </w:rPr>
              <w:t>1</w:t>
            </w:r>
            <w:r>
              <w:rPr>
                <w:rFonts w:hint="default" w:ascii="Times New Roman" w:hAnsi="Times New Roman" w:eastAsia="宋体" w:cs="宋体"/>
                <w:caps w:val="0"/>
                <w:smallCaps w:val="0"/>
                <w:color w:val="auto"/>
                <w:kern w:val="0"/>
                <w:sz w:val="24"/>
                <w:lang w:val="en-US" w:eastAsia="zh-CN" w:bidi="ar"/>
              </w:rPr>
              <w:t>-</w:t>
            </w:r>
            <w:r>
              <w:rPr>
                <w:rFonts w:hint="eastAsia" w:cs="宋体"/>
                <w:caps w:val="0"/>
                <w:smallCaps w:val="0"/>
                <w:color w:val="auto"/>
                <w:kern w:val="0"/>
                <w:sz w:val="24"/>
                <w:lang w:val="en-US" w:eastAsia="zh-CN" w:bidi="ar"/>
              </w:rPr>
              <w:t>15</w:t>
            </w:r>
            <w:r>
              <w:rPr>
                <w:rFonts w:hint="default" w:ascii="Times New Roman" w:hAnsi="Times New Roman" w:eastAsia="宋体" w:cs="宋体"/>
                <w:caps w:val="0"/>
                <w:smallCaps w:val="0"/>
                <w:color w:val="auto"/>
                <w:kern w:val="0"/>
                <w:sz w:val="24"/>
                <w:lang w:val="en-US" w:eastAsia="zh-CN" w:bidi="ar"/>
              </w:rPr>
              <w:t>所示。</w:t>
            </w:r>
          </w:p>
          <w:p w14:paraId="5ECFCA80">
            <w:pPr>
              <w:keepNext w:val="0"/>
              <w:keepLines w:val="0"/>
              <w:widowControl/>
              <w:numPr>
                <w:ilvl w:val="0"/>
                <w:numId w:val="0"/>
              </w:numPr>
              <w:suppressLineNumbers w:val="0"/>
              <w:spacing w:before="0" w:beforeAutospacing="0" w:after="0" w:afterAutospacing="0" w:line="360" w:lineRule="auto"/>
              <w:ind w:left="0" w:right="0"/>
              <w:jc w:val="center"/>
              <w:rPr>
                <w:rFonts w:hint="default" w:ascii="Times New Roman" w:hAnsi="Times New Roman" w:eastAsia="宋体" w:cs="Times New Roman"/>
                <w:b/>
                <w:bCs/>
                <w:caps w:val="0"/>
                <w:smallCaps w:val="0"/>
                <w:color w:val="auto"/>
                <w:sz w:val="21"/>
                <w:szCs w:val="21"/>
                <w:lang w:val="en-US" w:eastAsia="zh-CN"/>
              </w:rPr>
            </w:pPr>
            <w:r>
              <w:rPr>
                <w:rFonts w:hint="default" w:ascii="Times New Roman" w:hAnsi="Times New Roman" w:eastAsia="宋体" w:cs="Times New Roman"/>
                <w:b/>
                <w:bCs/>
                <w:caps w:val="0"/>
                <w:smallCaps w:val="0"/>
                <w:color w:val="auto"/>
                <w:sz w:val="21"/>
                <w:szCs w:val="21"/>
                <w:lang w:val="en-US" w:eastAsia="zh-CN"/>
              </w:rPr>
              <w:t>表</w:t>
            </w:r>
            <w:r>
              <w:rPr>
                <w:rFonts w:hint="eastAsia" w:ascii="Times New Roman" w:hAnsi="Times New Roman" w:cs="Times New Roman"/>
                <w:b/>
                <w:bCs/>
                <w:caps w:val="0"/>
                <w:smallCaps w:val="0"/>
                <w:color w:val="auto"/>
                <w:sz w:val="21"/>
                <w:szCs w:val="21"/>
                <w:lang w:val="en-US" w:eastAsia="zh-CN"/>
              </w:rPr>
              <w:t>1</w:t>
            </w:r>
            <w:r>
              <w:rPr>
                <w:rFonts w:hint="default" w:ascii="Times New Roman" w:hAnsi="Times New Roman" w:eastAsia="宋体" w:cs="Times New Roman"/>
                <w:b/>
                <w:bCs/>
                <w:caps w:val="0"/>
                <w:smallCaps w:val="0"/>
                <w:color w:val="auto"/>
                <w:sz w:val="21"/>
                <w:szCs w:val="21"/>
                <w:lang w:val="en-US" w:eastAsia="zh-CN"/>
              </w:rPr>
              <w:t>-</w:t>
            </w:r>
            <w:r>
              <w:rPr>
                <w:rFonts w:hint="eastAsia" w:cs="Times New Roman"/>
                <w:b/>
                <w:bCs/>
                <w:caps w:val="0"/>
                <w:smallCaps w:val="0"/>
                <w:color w:val="auto"/>
                <w:sz w:val="21"/>
                <w:szCs w:val="21"/>
                <w:lang w:val="en-US" w:eastAsia="zh-CN"/>
              </w:rPr>
              <w:t>15</w:t>
            </w:r>
            <w:r>
              <w:rPr>
                <w:rFonts w:hint="eastAsia" w:ascii="Times New Roman" w:hAnsi="Times New Roman" w:cs="Times New Roman"/>
                <w:b/>
                <w:bCs/>
                <w:caps w:val="0"/>
                <w:smallCaps w:val="0"/>
                <w:color w:val="auto"/>
                <w:sz w:val="21"/>
                <w:szCs w:val="21"/>
                <w:lang w:val="en-US" w:eastAsia="zh-CN"/>
              </w:rPr>
              <w:t xml:space="preserve">  项目</w:t>
            </w:r>
            <w:r>
              <w:rPr>
                <w:rFonts w:hint="default" w:ascii="Times New Roman" w:hAnsi="Times New Roman" w:eastAsia="宋体" w:cs="Times New Roman"/>
                <w:b/>
                <w:bCs/>
                <w:caps w:val="0"/>
                <w:smallCaps w:val="0"/>
                <w:color w:val="auto"/>
                <w:sz w:val="21"/>
                <w:szCs w:val="21"/>
                <w:lang w:val="en-US" w:eastAsia="zh-CN"/>
              </w:rPr>
              <w:t>与《关于进一步加强塑料污染治理的意见》（发改环资〔2020〕80 号）符合性分析</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3252"/>
              <w:gridCol w:w="2594"/>
              <w:gridCol w:w="833"/>
            </w:tblGrid>
            <w:tr w14:paraId="41A8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25" w:type="dxa"/>
                  <w:gridSpan w:val="2"/>
                  <w:vAlign w:val="center"/>
                </w:tcPr>
                <w:p w14:paraId="0E2BB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default" w:ascii="Times New Roman" w:hAnsi="Times New Roman" w:cs="Times New Roman"/>
                      <w:b/>
                      <w:bCs/>
                      <w:caps w:val="0"/>
                      <w:smallCaps w:val="0"/>
                      <w:color w:val="auto"/>
                      <w:sz w:val="21"/>
                      <w:szCs w:val="21"/>
                      <w:lang w:val="en-US" w:eastAsia="zh-CN"/>
                    </w:rPr>
                    <w:t>发改环资</w:t>
                  </w:r>
                  <w:r>
                    <w:rPr>
                      <w:rFonts w:hint="default" w:ascii="Times New Roman" w:hAnsi="Times New Roman" w:eastAsia="宋体" w:cs="Times New Roman"/>
                      <w:b/>
                      <w:bCs/>
                      <w:caps w:val="0"/>
                      <w:smallCaps w:val="0"/>
                      <w:color w:val="auto"/>
                      <w:sz w:val="21"/>
                      <w:szCs w:val="21"/>
                      <w:lang w:val="en-US" w:eastAsia="zh-CN"/>
                    </w:rPr>
                    <w:t>〔</w:t>
                  </w:r>
                  <w:r>
                    <w:rPr>
                      <w:rFonts w:hint="default" w:ascii="Times New Roman" w:hAnsi="Times New Roman" w:cs="Times New Roman"/>
                      <w:b/>
                      <w:bCs/>
                      <w:caps w:val="0"/>
                      <w:smallCaps w:val="0"/>
                      <w:color w:val="auto"/>
                      <w:sz w:val="21"/>
                      <w:szCs w:val="21"/>
                      <w:lang w:val="en-US" w:eastAsia="zh-CN"/>
                    </w:rPr>
                    <w:t>2020</w:t>
                  </w:r>
                  <w:r>
                    <w:rPr>
                      <w:rFonts w:hint="default" w:ascii="Times New Roman" w:hAnsi="Times New Roman" w:eastAsia="宋体" w:cs="Times New Roman"/>
                      <w:b/>
                      <w:bCs/>
                      <w:caps w:val="0"/>
                      <w:smallCaps w:val="0"/>
                      <w:color w:val="auto"/>
                      <w:sz w:val="21"/>
                      <w:szCs w:val="21"/>
                      <w:lang w:val="en-US" w:eastAsia="zh-CN"/>
                    </w:rPr>
                    <w:t>〕</w:t>
                  </w:r>
                  <w:r>
                    <w:rPr>
                      <w:rFonts w:hint="default" w:ascii="Times New Roman" w:hAnsi="Times New Roman" w:cs="Times New Roman"/>
                      <w:b/>
                      <w:bCs/>
                      <w:caps w:val="0"/>
                      <w:smallCaps w:val="0"/>
                      <w:color w:val="auto"/>
                      <w:sz w:val="21"/>
                      <w:szCs w:val="21"/>
                      <w:lang w:val="en-US" w:eastAsia="zh-CN"/>
                    </w:rPr>
                    <w:t>80号</w:t>
                  </w:r>
                  <w:r>
                    <w:rPr>
                      <w:rFonts w:hint="default" w:ascii="Times New Roman" w:hAnsi="Times New Roman" w:eastAsia="宋体" w:cs="Times New Roman"/>
                      <w:b/>
                      <w:bCs/>
                      <w:caps w:val="0"/>
                      <w:smallCaps w:val="0"/>
                      <w:color w:val="auto"/>
                      <w:sz w:val="21"/>
                      <w:szCs w:val="21"/>
                      <w:vertAlign w:val="baseline"/>
                      <w:lang w:val="en-US" w:eastAsia="zh-CN"/>
                    </w:rPr>
                    <w:t>意见要求</w:t>
                  </w:r>
                </w:p>
              </w:tc>
              <w:tc>
                <w:tcPr>
                  <w:tcW w:w="2814" w:type="dxa"/>
                  <w:vAlign w:val="center"/>
                </w:tcPr>
                <w:p w14:paraId="3591D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default" w:ascii="Times New Roman" w:hAnsi="Times New Roman" w:eastAsia="宋体" w:cs="Times New Roman"/>
                      <w:b/>
                      <w:bCs/>
                      <w:caps w:val="0"/>
                      <w:smallCaps w:val="0"/>
                      <w:color w:val="auto"/>
                      <w:sz w:val="21"/>
                      <w:szCs w:val="21"/>
                      <w:vertAlign w:val="baseline"/>
                      <w:lang w:val="en-US" w:eastAsia="zh-CN"/>
                    </w:rPr>
                    <w:t>项目情况</w:t>
                  </w:r>
                </w:p>
              </w:tc>
              <w:tc>
                <w:tcPr>
                  <w:tcW w:w="879" w:type="dxa"/>
                  <w:vAlign w:val="center"/>
                </w:tcPr>
                <w:p w14:paraId="6176B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default" w:ascii="Times New Roman" w:hAnsi="Times New Roman" w:eastAsia="宋体" w:cs="Times New Roman"/>
                      <w:b/>
                      <w:bCs/>
                      <w:caps w:val="0"/>
                      <w:smallCaps w:val="0"/>
                      <w:color w:val="auto"/>
                      <w:sz w:val="21"/>
                      <w:szCs w:val="21"/>
                      <w:vertAlign w:val="baseline"/>
                      <w:lang w:val="en-US" w:eastAsia="zh-CN"/>
                    </w:rPr>
                    <w:t>符合性</w:t>
                  </w:r>
                </w:p>
              </w:tc>
            </w:tr>
            <w:tr w14:paraId="0117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5" w:type="dxa"/>
                  <w:vAlign w:val="center"/>
                </w:tcPr>
                <w:p w14:paraId="798AF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禁止生产、销售的塑料制品</w:t>
                  </w:r>
                </w:p>
              </w:tc>
              <w:tc>
                <w:tcPr>
                  <w:tcW w:w="3540" w:type="dxa"/>
                  <w:vAlign w:val="center"/>
                </w:tcPr>
                <w:p w14:paraId="7B6146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禁止生产和销售厚度小于0.025毫米的超薄塑料购物袋、厚度小于0.01毫米的聚乙烯农用地膜。禁止以医疗废物为原料制造塑料制品。全面禁止废塑料进口。到2020年底，禁止生产和销售一次性发泡塑料餐具、一次性塑料棉签；禁止生产含塑料微珠的日化产品。到2022年底，禁止销售含塑料微珠的日化产品。</w:t>
                  </w:r>
                </w:p>
              </w:tc>
              <w:tc>
                <w:tcPr>
                  <w:tcW w:w="2814" w:type="dxa"/>
                  <w:vAlign w:val="center"/>
                </w:tcPr>
                <w:p w14:paraId="37148F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本项目为</w:t>
                  </w:r>
                  <w:r>
                    <w:rPr>
                      <w:rFonts w:hint="eastAsia" w:ascii="Times New Roman" w:hAnsi="Times New Roman" w:eastAsia="宋体" w:cs="Times New Roman"/>
                      <w:b w:val="0"/>
                      <w:bCs w:val="0"/>
                      <w:caps w:val="0"/>
                      <w:smallCaps w:val="0"/>
                      <w:color w:val="auto"/>
                      <w:sz w:val="21"/>
                      <w:szCs w:val="21"/>
                      <w:vertAlign w:val="baseline"/>
                      <w:lang w:val="en-US" w:eastAsia="zh-CN"/>
                    </w:rPr>
                    <w:t>番茄塑料框、蓝莓塑料框等塑料制品</w:t>
                  </w:r>
                  <w:r>
                    <w:rPr>
                      <w:rFonts w:hint="default" w:ascii="Times New Roman" w:hAnsi="Times New Roman" w:eastAsia="宋体" w:cs="Times New Roman"/>
                      <w:b w:val="0"/>
                      <w:bCs w:val="0"/>
                      <w:caps w:val="0"/>
                      <w:smallCaps w:val="0"/>
                      <w:color w:val="auto"/>
                      <w:sz w:val="21"/>
                      <w:szCs w:val="21"/>
                      <w:vertAlign w:val="baseline"/>
                      <w:lang w:val="en-US" w:eastAsia="zh-CN"/>
                    </w:rPr>
                    <w:t>生产，不涉及禁止生产、销售的塑料制品</w:t>
                  </w:r>
                  <w:r>
                    <w:rPr>
                      <w:rFonts w:hint="eastAsia" w:ascii="Times New Roman" w:hAnsi="Times New Roman" w:eastAsia="宋体" w:cs="Times New Roman"/>
                      <w:b w:val="0"/>
                      <w:bCs w:val="0"/>
                      <w:caps w:val="0"/>
                      <w:smallCaps w:val="0"/>
                      <w:color w:val="auto"/>
                      <w:sz w:val="21"/>
                      <w:szCs w:val="21"/>
                      <w:vertAlign w:val="baseline"/>
                      <w:lang w:val="en-US" w:eastAsia="zh-CN"/>
                    </w:rPr>
                    <w:t>。</w:t>
                  </w:r>
                </w:p>
              </w:tc>
              <w:tc>
                <w:tcPr>
                  <w:tcW w:w="879" w:type="dxa"/>
                  <w:vAlign w:val="center"/>
                </w:tcPr>
                <w:p w14:paraId="16581D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符合</w:t>
                  </w:r>
                </w:p>
              </w:tc>
            </w:tr>
            <w:tr w14:paraId="78F3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5" w:type="dxa"/>
                  <w:vAlign w:val="center"/>
                </w:tcPr>
                <w:p w14:paraId="5BD88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禁止、限制使用的塑料制品</w:t>
                  </w:r>
                </w:p>
              </w:tc>
              <w:tc>
                <w:tcPr>
                  <w:tcW w:w="3540" w:type="dxa"/>
                  <w:vAlign w:val="center"/>
                </w:tcPr>
                <w:p w14:paraId="468D5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1、不可降解塑料袋。</w:t>
                  </w:r>
                </w:p>
                <w:p w14:paraId="091AC5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2、一次性塑料餐具。</w:t>
                  </w:r>
                </w:p>
                <w:p w14:paraId="641A19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3、宾馆、酒店一次性塑料用品。</w:t>
                  </w:r>
                </w:p>
                <w:p w14:paraId="2F492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4</w:t>
                  </w:r>
                  <w:r>
                    <w:rPr>
                      <w:rFonts w:hint="eastAsia" w:ascii="Times New Roman" w:hAnsi="Times New Roman" w:eastAsia="宋体" w:cs="Times New Roman"/>
                      <w:b w:val="0"/>
                      <w:bCs w:val="0"/>
                      <w:caps w:val="0"/>
                      <w:smallCaps w:val="0"/>
                      <w:color w:val="auto"/>
                      <w:sz w:val="21"/>
                      <w:szCs w:val="21"/>
                      <w:vertAlign w:val="baseline"/>
                      <w:lang w:val="en-US" w:eastAsia="zh-CN"/>
                    </w:rPr>
                    <w:t>、</w:t>
                  </w:r>
                  <w:r>
                    <w:rPr>
                      <w:rFonts w:hint="default" w:ascii="Times New Roman" w:hAnsi="Times New Roman" w:eastAsia="宋体" w:cs="Times New Roman"/>
                      <w:b w:val="0"/>
                      <w:bCs w:val="0"/>
                      <w:caps w:val="0"/>
                      <w:smallCaps w:val="0"/>
                      <w:color w:val="auto"/>
                      <w:sz w:val="21"/>
                      <w:szCs w:val="21"/>
                      <w:vertAlign w:val="baseline"/>
                      <w:lang w:val="en-US" w:eastAsia="zh-CN"/>
                    </w:rPr>
                    <w:t>快递塑料包装</w:t>
                  </w:r>
                </w:p>
              </w:tc>
              <w:tc>
                <w:tcPr>
                  <w:tcW w:w="2814" w:type="dxa"/>
                  <w:vAlign w:val="center"/>
                </w:tcPr>
                <w:p w14:paraId="7CAD4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本项目为</w:t>
                  </w:r>
                  <w:r>
                    <w:rPr>
                      <w:rFonts w:hint="eastAsia" w:ascii="Times New Roman" w:hAnsi="Times New Roman" w:eastAsia="宋体" w:cs="Times New Roman"/>
                      <w:b w:val="0"/>
                      <w:bCs w:val="0"/>
                      <w:caps w:val="0"/>
                      <w:smallCaps w:val="0"/>
                      <w:color w:val="auto"/>
                      <w:sz w:val="21"/>
                      <w:szCs w:val="21"/>
                      <w:vertAlign w:val="baseline"/>
                      <w:lang w:val="en-US" w:eastAsia="zh-CN"/>
                    </w:rPr>
                    <w:t>番茄塑料框、蓝莓塑料框等塑料制品</w:t>
                  </w:r>
                  <w:r>
                    <w:rPr>
                      <w:rFonts w:hint="default" w:ascii="Times New Roman" w:hAnsi="Times New Roman" w:eastAsia="宋体" w:cs="Times New Roman"/>
                      <w:b w:val="0"/>
                      <w:bCs w:val="0"/>
                      <w:caps w:val="0"/>
                      <w:smallCaps w:val="0"/>
                      <w:color w:val="auto"/>
                      <w:sz w:val="21"/>
                      <w:szCs w:val="21"/>
                      <w:vertAlign w:val="baseline"/>
                      <w:lang w:val="en-US" w:eastAsia="zh-CN"/>
                    </w:rPr>
                    <w:t>生产，不生产禁止、限制使用的塑料制品</w:t>
                  </w:r>
                  <w:r>
                    <w:rPr>
                      <w:rFonts w:hint="eastAsia" w:ascii="Times New Roman" w:hAnsi="Times New Roman" w:eastAsia="宋体" w:cs="Times New Roman"/>
                      <w:b w:val="0"/>
                      <w:bCs w:val="0"/>
                      <w:caps w:val="0"/>
                      <w:smallCaps w:val="0"/>
                      <w:color w:val="auto"/>
                      <w:sz w:val="21"/>
                      <w:szCs w:val="21"/>
                      <w:vertAlign w:val="baseline"/>
                      <w:lang w:val="en-US" w:eastAsia="zh-CN"/>
                    </w:rPr>
                    <w:t>。</w:t>
                  </w:r>
                </w:p>
              </w:tc>
              <w:tc>
                <w:tcPr>
                  <w:tcW w:w="879" w:type="dxa"/>
                  <w:vAlign w:val="center"/>
                </w:tcPr>
                <w:p w14:paraId="196AD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color w:val="auto"/>
                      <w:sz w:val="21"/>
                      <w:szCs w:val="21"/>
                      <w:vertAlign w:val="baseline"/>
                      <w:lang w:val="en-US" w:eastAsia="zh-CN"/>
                    </w:rPr>
                  </w:pPr>
                  <w:r>
                    <w:rPr>
                      <w:rFonts w:hint="default" w:ascii="Times New Roman" w:hAnsi="Times New Roman" w:eastAsia="宋体" w:cs="Times New Roman"/>
                      <w:b w:val="0"/>
                      <w:bCs w:val="0"/>
                      <w:caps w:val="0"/>
                      <w:smallCaps w:val="0"/>
                      <w:color w:val="auto"/>
                      <w:sz w:val="21"/>
                      <w:szCs w:val="21"/>
                      <w:vertAlign w:val="baseline"/>
                      <w:lang w:val="en-US" w:eastAsia="zh-CN"/>
                    </w:rPr>
                    <w:t>符合</w:t>
                  </w:r>
                </w:p>
              </w:tc>
            </w:tr>
          </w:tbl>
          <w:p w14:paraId="74C5D83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宋体"/>
                <w:caps w:val="0"/>
                <w:smallCaps w:val="0"/>
                <w:color w:val="auto"/>
                <w:kern w:val="0"/>
                <w:sz w:val="24"/>
                <w:lang w:val="en-US" w:eastAsia="zh-CN" w:bidi="ar"/>
              </w:rPr>
              <w:t>根据上表分析，项目建设符合《关于进一步加强塑料污染治理的意见》（发改环资〔2020〕80号）中的相关要求。</w:t>
            </w:r>
          </w:p>
          <w:p w14:paraId="5E8D2B44">
            <w:pPr>
              <w:keepNext w:val="0"/>
              <w:keepLines w:val="0"/>
              <w:suppressLineNumbers w:val="0"/>
              <w:bidi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rPr>
            </w:pPr>
            <w:r>
              <w:rPr>
                <w:rFonts w:hint="eastAsia" w:cs="Times New Roman"/>
                <w:b/>
                <w:bCs/>
                <w:color w:val="auto"/>
                <w:sz w:val="24"/>
                <w:szCs w:val="24"/>
                <w:lang w:val="en-US" w:eastAsia="zh-CN"/>
              </w:rPr>
              <w:t>13</w:t>
            </w:r>
            <w:r>
              <w:rPr>
                <w:rFonts w:hint="default" w:ascii="Times New Roman" w:hAnsi="Times New Roman" w:eastAsia="宋体" w:cs="Times New Roman"/>
                <w:b/>
                <w:bCs/>
                <w:color w:val="auto"/>
                <w:sz w:val="24"/>
                <w:szCs w:val="24"/>
                <w:lang w:val="en-US" w:eastAsia="zh-CN"/>
              </w:rPr>
              <w:t>、</w:t>
            </w:r>
            <w:bookmarkEnd w:id="5"/>
            <w:bookmarkStart w:id="6" w:name="_Toc6011"/>
            <w:r>
              <w:rPr>
                <w:rFonts w:hint="default" w:ascii="Times New Roman" w:hAnsi="Times New Roman" w:eastAsia="宋体" w:cs="Times New Roman"/>
                <w:b/>
                <w:bCs/>
                <w:color w:val="auto"/>
                <w:sz w:val="24"/>
                <w:szCs w:val="24"/>
              </w:rPr>
              <w:t>项目</w:t>
            </w:r>
            <w:r>
              <w:rPr>
                <w:rFonts w:hint="default" w:ascii="Times New Roman" w:hAnsi="Times New Roman" w:eastAsia="宋体" w:cs="Times New Roman"/>
                <w:b/>
                <w:bCs/>
                <w:color w:val="auto"/>
                <w:sz w:val="24"/>
                <w:szCs w:val="24"/>
                <w:lang w:val="en-US" w:eastAsia="zh-CN"/>
              </w:rPr>
              <w:t>建设</w:t>
            </w:r>
            <w:r>
              <w:rPr>
                <w:rFonts w:hint="default" w:ascii="Times New Roman" w:hAnsi="Times New Roman" w:eastAsia="宋体" w:cs="Times New Roman"/>
                <w:b/>
                <w:bCs/>
                <w:color w:val="auto"/>
                <w:sz w:val="24"/>
                <w:szCs w:val="24"/>
              </w:rPr>
              <w:t>与</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云南省</w:t>
            </w:r>
            <w:r>
              <w:rPr>
                <w:rFonts w:hint="default" w:ascii="Times New Roman" w:hAnsi="Times New Roman" w:eastAsia="宋体" w:cs="Times New Roman"/>
                <w:b/>
                <w:bCs/>
                <w:color w:val="auto"/>
                <w:sz w:val="24"/>
                <w:szCs w:val="24"/>
                <w:lang w:eastAsia="zh-CN"/>
              </w:rPr>
              <w:t>重点行业挥发性有机物综合治理方案》</w:t>
            </w:r>
            <w:r>
              <w:rPr>
                <w:rFonts w:hint="default" w:ascii="Times New Roman" w:hAnsi="Times New Roman" w:eastAsia="宋体" w:cs="Times New Roman"/>
                <w:b/>
                <w:bCs/>
                <w:color w:val="auto"/>
                <w:sz w:val="24"/>
                <w:szCs w:val="24"/>
              </w:rPr>
              <w:t>符合性分析</w:t>
            </w:r>
            <w:bookmarkEnd w:id="6"/>
          </w:p>
          <w:p w14:paraId="12C91D44">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本项目与《云南省重点行业挥发性有机物综合治理方案》符合性分析如下：</w:t>
            </w:r>
          </w:p>
          <w:p w14:paraId="73185A90">
            <w:pPr>
              <w:keepNext w:val="0"/>
              <w:keepLines w:val="0"/>
              <w:suppressLineNumbers w:val="0"/>
              <w:bidi w:val="0"/>
              <w:spacing w:before="0" w:beforeAutospacing="0" w:after="0" w:afterAutospacing="0" w:line="360" w:lineRule="auto"/>
              <w:ind w:left="0" w:leftChars="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1-1</w:t>
            </w:r>
            <w:r>
              <w:rPr>
                <w:rFonts w:hint="eastAsia" w:cs="Times New Roman"/>
                <w:b/>
                <w:bCs/>
                <w:color w:val="auto"/>
                <w:sz w:val="21"/>
                <w:szCs w:val="21"/>
                <w:lang w:val="en-US" w:eastAsia="zh-CN"/>
              </w:rPr>
              <w:t>6</w:t>
            </w:r>
            <w:r>
              <w:rPr>
                <w:rFonts w:hint="default" w:ascii="Times New Roman" w:hAnsi="Times New Roman" w:eastAsia="宋体" w:cs="Times New Roman"/>
                <w:b/>
                <w:bCs/>
                <w:color w:val="auto"/>
                <w:sz w:val="21"/>
                <w:szCs w:val="21"/>
              </w:rPr>
              <w:t xml:space="preserve"> </w:t>
            </w:r>
            <w:r>
              <w:rPr>
                <w:rFonts w:hint="eastAsia"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lang w:val="en-US" w:eastAsia="zh-CN"/>
              </w:rPr>
              <w:t>项目</w:t>
            </w:r>
            <w:r>
              <w:rPr>
                <w:rFonts w:hint="default" w:ascii="Times New Roman" w:hAnsi="Times New Roman" w:eastAsia="宋体" w:cs="Times New Roman"/>
                <w:b/>
                <w:bCs/>
                <w:color w:val="auto"/>
                <w:sz w:val="21"/>
                <w:szCs w:val="21"/>
              </w:rPr>
              <w:t>与《云南省重点行业挥发性有机物综合治理方案》符合性分析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5" w:type="dxa"/>
                <w:bottom w:w="0" w:type="dxa"/>
                <w:right w:w="45" w:type="dxa"/>
              </w:tblCellMar>
            </w:tblPr>
            <w:tblGrid>
              <w:gridCol w:w="4277"/>
              <w:gridCol w:w="2764"/>
              <w:gridCol w:w="857"/>
            </w:tblGrid>
            <w:tr w14:paraId="1305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tblHeader/>
                <w:jc w:val="center"/>
              </w:trPr>
              <w:tc>
                <w:tcPr>
                  <w:tcW w:w="4277" w:type="dxa"/>
                  <w:tcBorders>
                    <w:top w:val="single" w:color="auto" w:sz="4" w:space="0"/>
                    <w:left w:val="single" w:color="auto" w:sz="4" w:space="0"/>
                    <w:bottom w:val="single" w:color="auto" w:sz="4" w:space="0"/>
                    <w:right w:val="single" w:color="auto" w:sz="4" w:space="0"/>
                  </w:tcBorders>
                  <w:noWrap w:val="0"/>
                  <w:vAlign w:val="center"/>
                </w:tcPr>
                <w:p w14:paraId="32C77AC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相关要求如下</w:t>
                  </w:r>
                </w:p>
              </w:tc>
              <w:tc>
                <w:tcPr>
                  <w:tcW w:w="2764" w:type="dxa"/>
                  <w:tcBorders>
                    <w:top w:val="single" w:color="auto" w:sz="4" w:space="0"/>
                    <w:left w:val="single" w:color="auto" w:sz="4" w:space="0"/>
                    <w:bottom w:val="single" w:color="auto" w:sz="4" w:space="0"/>
                    <w:right w:val="single" w:color="auto" w:sz="4" w:space="0"/>
                  </w:tcBorders>
                  <w:noWrap w:val="0"/>
                  <w:vAlign w:val="center"/>
                </w:tcPr>
                <w:p w14:paraId="3719571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本项目情况</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1D1B897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符合性</w:t>
                  </w:r>
                </w:p>
              </w:tc>
            </w:tr>
            <w:tr w14:paraId="4A06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4277" w:type="dxa"/>
                  <w:tcBorders>
                    <w:top w:val="single" w:color="auto" w:sz="4" w:space="0"/>
                    <w:left w:val="single" w:color="auto" w:sz="4" w:space="0"/>
                    <w:bottom w:val="single" w:color="auto" w:sz="4" w:space="0"/>
                    <w:right w:val="single" w:color="auto" w:sz="4" w:space="0"/>
                  </w:tcBorders>
                  <w:noWrap w:val="0"/>
                  <w:vAlign w:val="center"/>
                </w:tcPr>
                <w:p w14:paraId="4F33A80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大力推进源头替代。通过使用水性、粉末、高固体分、无溶剂、辐射固化等低VOCs含量的涂料，水性、辐射固化、植物基等低VOCs含量的油墨，水基、热熔、无溶剂、辐射固化、改性、生物降解等低VOCs含量的</w:t>
                  </w:r>
                  <w:r>
                    <w:rPr>
                      <w:rFonts w:hint="eastAsia" w:ascii="Times New Roman" w:cs="Times New Roman"/>
                      <w:color w:val="auto"/>
                      <w:sz w:val="21"/>
                      <w:szCs w:val="21"/>
                      <w:lang w:eastAsia="zh-CN"/>
                    </w:rPr>
                    <w:t>胶黏剂</w:t>
                  </w:r>
                  <w:r>
                    <w:rPr>
                      <w:rFonts w:hint="default" w:ascii="Times New Roman" w:hAnsi="Times New Roman" w:eastAsia="宋体" w:cs="Times New Roman"/>
                      <w:color w:val="auto"/>
                      <w:sz w:val="21"/>
                      <w:szCs w:val="21"/>
                      <w:lang w:eastAsia="zh-CN"/>
                    </w:rPr>
                    <w:t>，以及低VOCs含量、低反应活性的清洗剂等，替代溶剂型涂料、油墨、</w:t>
                  </w:r>
                  <w:r>
                    <w:rPr>
                      <w:rFonts w:hint="eastAsia" w:ascii="Times New Roman" w:cs="Times New Roman"/>
                      <w:color w:val="auto"/>
                      <w:sz w:val="21"/>
                      <w:szCs w:val="21"/>
                      <w:lang w:eastAsia="zh-CN"/>
                    </w:rPr>
                    <w:t>胶黏剂</w:t>
                  </w:r>
                  <w:r>
                    <w:rPr>
                      <w:rFonts w:hint="default" w:ascii="Times New Roman" w:hAnsi="Times New Roman" w:eastAsia="宋体" w:cs="Times New Roman"/>
                      <w:color w:val="auto"/>
                      <w:sz w:val="21"/>
                      <w:szCs w:val="21"/>
                      <w:lang w:eastAsia="zh-CN"/>
                    </w:rPr>
                    <w:t>、清洗剂等，从源头减少VOCs产生。工业涂装、包装印刷等行业要加大源头替代力度；化工行业要推广使用低（无）VOCs含量、低反应活性的原辅材料，加快对芳香烃、含卤素有机化合物的绿色替代。企业应大力推广使用低VOCs含量木器涂料、车辆涂料、机械设备涂料、集装箱涂料以及建筑物和构筑物防护涂料等，在技术成熟的行业，推广使用低VOCs含量油墨和</w:t>
                  </w:r>
                  <w:r>
                    <w:rPr>
                      <w:rFonts w:hint="eastAsia" w:ascii="Times New Roman" w:cs="Times New Roman"/>
                      <w:color w:val="auto"/>
                      <w:sz w:val="21"/>
                      <w:szCs w:val="21"/>
                      <w:lang w:eastAsia="zh-CN"/>
                    </w:rPr>
                    <w:t>胶黏剂</w:t>
                  </w:r>
                  <w:r>
                    <w:rPr>
                      <w:rFonts w:hint="default" w:ascii="Times New Roman" w:hAnsi="Times New Roman" w:eastAsia="宋体" w:cs="Times New Roman"/>
                      <w:color w:val="auto"/>
                      <w:sz w:val="21"/>
                      <w:szCs w:val="21"/>
                      <w:lang w:eastAsia="zh-CN"/>
                    </w:rPr>
                    <w:t>。鼓励加快低VOCs含量涂料、油墨、</w:t>
                  </w:r>
                  <w:r>
                    <w:rPr>
                      <w:rFonts w:hint="eastAsia" w:ascii="Times New Roman" w:cs="Times New Roman"/>
                      <w:color w:val="auto"/>
                      <w:sz w:val="21"/>
                      <w:szCs w:val="21"/>
                      <w:lang w:eastAsia="zh-CN"/>
                    </w:rPr>
                    <w:t>胶黏剂</w:t>
                  </w:r>
                  <w:r>
                    <w:rPr>
                      <w:rFonts w:hint="default" w:ascii="Times New Roman" w:hAnsi="Times New Roman" w:eastAsia="宋体" w:cs="Times New Roman"/>
                      <w:color w:val="auto"/>
                      <w:sz w:val="21"/>
                      <w:szCs w:val="21"/>
                      <w:lang w:eastAsia="zh-CN"/>
                    </w:rPr>
                    <w:t>等研发和生产。</w:t>
                  </w:r>
                </w:p>
                <w:p w14:paraId="01B931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加强政策引导。企业采用符合国家有关低VOCs含量产品规定的涂料、油墨、</w:t>
                  </w:r>
                  <w:r>
                    <w:rPr>
                      <w:rFonts w:hint="eastAsia" w:ascii="Times New Roman" w:cs="Times New Roman"/>
                      <w:color w:val="auto"/>
                      <w:sz w:val="21"/>
                      <w:szCs w:val="21"/>
                      <w:lang w:eastAsia="zh-CN"/>
                    </w:rPr>
                    <w:t>胶黏剂</w:t>
                  </w:r>
                  <w:r>
                    <w:rPr>
                      <w:rFonts w:hint="default" w:ascii="Times New Roman" w:hAnsi="Times New Roman" w:eastAsia="宋体" w:cs="Times New Roman"/>
                      <w:color w:val="auto"/>
                      <w:sz w:val="21"/>
                      <w:szCs w:val="21"/>
                      <w:lang w:eastAsia="zh-CN"/>
                    </w:rPr>
                    <w:t>等，排放浓度稳定达标且排放速率、排放绩效等满足相关规定的，相应生产工序可不要求建设末端治理设施。使用的原辅材料VOCs含量（质量比）低于10%的工序，可不要求采取无组织排放收集措施。</w:t>
                  </w:r>
                </w:p>
              </w:tc>
              <w:tc>
                <w:tcPr>
                  <w:tcW w:w="2764" w:type="dxa"/>
                  <w:tcBorders>
                    <w:top w:val="single" w:color="auto" w:sz="4" w:space="0"/>
                    <w:left w:val="single" w:color="auto" w:sz="4" w:space="0"/>
                    <w:bottom w:val="single" w:color="auto" w:sz="4" w:space="0"/>
                    <w:right w:val="single" w:color="auto" w:sz="4" w:space="0"/>
                  </w:tcBorders>
                  <w:noWrap w:val="0"/>
                  <w:vAlign w:val="center"/>
                </w:tcPr>
                <w:p w14:paraId="5E75112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rPr>
                    <w:t>项目主要生产塑料框，</w:t>
                  </w:r>
                  <w:r>
                    <w:rPr>
                      <w:rFonts w:hint="default" w:ascii="Times New Roman" w:hAnsi="Times New Roman" w:eastAsia="宋体" w:cs="Times New Roman"/>
                      <w:color w:val="auto"/>
                      <w:sz w:val="21"/>
                      <w:szCs w:val="21"/>
                      <w:lang w:val="en-US" w:eastAsia="zh-CN"/>
                    </w:rPr>
                    <w:t>生产过程不涉及使用涂料、</w:t>
                  </w:r>
                  <w:r>
                    <w:rPr>
                      <w:rFonts w:hint="default" w:ascii="Times New Roman" w:hAnsi="Times New Roman" w:eastAsia="宋体" w:cs="Times New Roman"/>
                      <w:color w:val="auto"/>
                      <w:sz w:val="21"/>
                      <w:szCs w:val="21"/>
                      <w:lang w:eastAsia="zh-CN"/>
                    </w:rPr>
                    <w:t>油墨和</w:t>
                  </w:r>
                  <w:r>
                    <w:rPr>
                      <w:rFonts w:hint="eastAsia" w:ascii="Times New Roman" w:cs="Times New Roman"/>
                      <w:color w:val="auto"/>
                      <w:sz w:val="21"/>
                      <w:szCs w:val="21"/>
                      <w:lang w:eastAsia="zh-CN"/>
                    </w:rPr>
                    <w:t>胶黏剂</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rPr>
                    <w:t>使用的原料主要为聚丙烯树脂颗粒，为</w:t>
                  </w:r>
                  <w:r>
                    <w:rPr>
                      <w:rFonts w:hint="eastAsia" w:ascii="Times New Roman" w:cs="Times New Roman"/>
                      <w:color w:val="auto"/>
                      <w:kern w:val="0"/>
                      <w:sz w:val="21"/>
                      <w:szCs w:val="21"/>
                      <w:lang w:val="en-US" w:eastAsia="zh-CN"/>
                    </w:rPr>
                    <w:t>低VOCs含量</w:t>
                  </w:r>
                  <w:r>
                    <w:rPr>
                      <w:rFonts w:hint="default" w:ascii="Times New Roman" w:hAnsi="Times New Roman" w:eastAsia="宋体" w:cs="Times New Roman"/>
                      <w:color w:val="auto"/>
                      <w:kern w:val="0"/>
                      <w:sz w:val="21"/>
                      <w:szCs w:val="21"/>
                      <w:lang w:val="en-US" w:eastAsia="zh-CN" w:bidi="ar"/>
                    </w:rPr>
                    <w:t>的原辅料，在常温保存中几乎无挥发，仅在高温热熔注塑过程</w:t>
                  </w:r>
                  <w:r>
                    <w:rPr>
                      <w:rFonts w:hint="eastAsia" w:ascii="Times New Roman" w:cs="Times New Roman"/>
                      <w:color w:val="auto"/>
                      <w:kern w:val="0"/>
                      <w:sz w:val="21"/>
                      <w:szCs w:val="21"/>
                      <w:lang w:val="en-US" w:eastAsia="zh-CN" w:bidi="ar"/>
                    </w:rPr>
                    <w:t>中</w:t>
                  </w:r>
                  <w:r>
                    <w:rPr>
                      <w:rFonts w:hint="default" w:ascii="Times New Roman" w:hAnsi="Times New Roman" w:eastAsia="宋体" w:cs="Times New Roman"/>
                      <w:color w:val="auto"/>
                      <w:kern w:val="0"/>
                      <w:sz w:val="21"/>
                      <w:szCs w:val="21"/>
                      <w:lang w:val="en-US" w:eastAsia="zh-CN" w:bidi="ar"/>
                    </w:rPr>
                    <w:t>会产生有机废气（以非甲烷总烃计），</w:t>
                  </w:r>
                  <w:r>
                    <w:rPr>
                      <w:rFonts w:hint="default" w:ascii="Times New Roman" w:hAnsi="Times New Roman" w:eastAsia="宋体" w:cs="Times New Roman"/>
                      <w:color w:val="auto"/>
                      <w:kern w:val="0"/>
                      <w:sz w:val="21"/>
                      <w:szCs w:val="21"/>
                      <w:lang w:val="en-US" w:eastAsia="zh-CN"/>
                    </w:rPr>
                    <w:t>经注塑机上方集气罩收集进入1套三级活性炭吸附装置处理后通过1根15m高的排气筒（DA001）达标排放。</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5B963F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相符</w:t>
                  </w:r>
                </w:p>
              </w:tc>
            </w:tr>
            <w:tr w14:paraId="4DA1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4277" w:type="dxa"/>
                  <w:tcBorders>
                    <w:top w:val="single" w:color="auto" w:sz="4" w:space="0"/>
                    <w:left w:val="single" w:color="auto" w:sz="4" w:space="0"/>
                    <w:bottom w:val="single" w:color="auto" w:sz="4" w:space="0"/>
                    <w:right w:val="single" w:color="auto" w:sz="4" w:space="0"/>
                  </w:tcBorders>
                  <w:noWrap w:val="0"/>
                  <w:vAlign w:val="center"/>
                </w:tcPr>
                <w:p w14:paraId="0465901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全面加强无组织排放控制。重点对含VOC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物料（包括含VOC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原辅材料、含VOC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产品、含VOC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废料以及有机聚合物材料等）储存、转移和输送、设备与管线组件泄漏、敞开液面逸散以及工艺过程等五类排放源实施管控，通过采取设备与场所密闭、工艺改进、废气有效收集等措施，削减VOC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无组织排放。</w:t>
                  </w:r>
                </w:p>
              </w:tc>
              <w:tc>
                <w:tcPr>
                  <w:tcW w:w="2764" w:type="dxa"/>
                  <w:tcBorders>
                    <w:top w:val="single" w:color="auto" w:sz="4" w:space="0"/>
                    <w:left w:val="single" w:color="auto" w:sz="4" w:space="0"/>
                    <w:bottom w:val="single" w:color="auto" w:sz="4" w:space="0"/>
                    <w:right w:val="single" w:color="auto" w:sz="4" w:space="0"/>
                  </w:tcBorders>
                  <w:noWrap w:val="0"/>
                  <w:vAlign w:val="center"/>
                </w:tcPr>
                <w:p w14:paraId="59AEB5F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项目使用主要原料为聚丙烯树脂颗粒，</w:t>
                  </w:r>
                  <w:r>
                    <w:rPr>
                      <w:rFonts w:hint="default" w:ascii="Times New Roman" w:hAnsi="Times New Roman" w:eastAsia="宋体" w:cs="Times New Roman"/>
                      <w:color w:val="auto"/>
                      <w:kern w:val="0"/>
                      <w:sz w:val="21"/>
                      <w:szCs w:val="21"/>
                      <w:lang w:val="en-US" w:eastAsia="zh-CN" w:bidi="ar"/>
                    </w:rPr>
                    <w:t>在常温保存中几乎无挥发，仅在高温热熔注塑过程中会产生有机废气（以非甲烷总烃计），</w:t>
                  </w:r>
                  <w:r>
                    <w:rPr>
                      <w:rFonts w:hint="eastAsia" w:ascii="Times New Roman" w:cs="Times New Roman"/>
                      <w:color w:val="auto"/>
                      <w:kern w:val="0"/>
                      <w:sz w:val="21"/>
                      <w:szCs w:val="21"/>
                      <w:lang w:val="en-US" w:eastAsia="zh-CN" w:bidi="ar"/>
                    </w:rPr>
                    <w:t>项目注塑机为半密闭一体化设备，有机废气由注塑机上方</w:t>
                  </w:r>
                  <w:r>
                    <w:rPr>
                      <w:rFonts w:hint="default" w:ascii="Times New Roman" w:hAnsi="Times New Roman" w:eastAsia="宋体" w:cs="Times New Roman"/>
                      <w:color w:val="auto"/>
                      <w:sz w:val="21"/>
                      <w:szCs w:val="21"/>
                      <w:lang w:val="en-US" w:eastAsia="zh-CN"/>
                    </w:rPr>
                    <w:t>集气罩收集</w:t>
                  </w:r>
                  <w:r>
                    <w:rPr>
                      <w:rFonts w:hint="eastAsia" w:ascii="Times New Roman" w:cs="Times New Roman"/>
                      <w:color w:val="auto"/>
                      <w:sz w:val="21"/>
                      <w:szCs w:val="21"/>
                      <w:lang w:val="en-US" w:eastAsia="zh-CN"/>
                    </w:rPr>
                    <w:t>后</w:t>
                  </w:r>
                  <w:r>
                    <w:rPr>
                      <w:rFonts w:hint="default" w:ascii="Times New Roman" w:hAnsi="Times New Roman" w:eastAsia="宋体" w:cs="Times New Roman"/>
                      <w:color w:val="auto"/>
                      <w:sz w:val="21"/>
                      <w:szCs w:val="21"/>
                      <w:lang w:val="en-US" w:eastAsia="zh-CN"/>
                    </w:rPr>
                    <w:t>进入1套三级活性炭吸附装置处理达标后通过15m高排气筒排放，有效削减了</w:t>
                  </w:r>
                  <w:r>
                    <w:rPr>
                      <w:rFonts w:hint="default" w:ascii="Times New Roman" w:hAnsi="Times New Roman" w:eastAsia="宋体" w:cs="Times New Roman"/>
                      <w:color w:val="auto"/>
                      <w:sz w:val="21"/>
                      <w:szCs w:val="21"/>
                    </w:rPr>
                    <w:t>VOC</w:t>
                  </w:r>
                  <w:r>
                    <w:rPr>
                      <w:rFonts w:hint="default" w:ascii="Times New Roman" w:hAnsi="Times New Roman" w:eastAsia="宋体" w:cs="Times New Roman"/>
                      <w:color w:val="auto"/>
                      <w:sz w:val="21"/>
                      <w:szCs w:val="21"/>
                      <w:vertAlign w:val="subscript"/>
                      <w:lang w:eastAsia="zh-CN"/>
                    </w:rPr>
                    <w:t>S</w:t>
                  </w:r>
                  <w:r>
                    <w:rPr>
                      <w:rFonts w:hint="default" w:ascii="Times New Roman" w:hAnsi="Times New Roman" w:eastAsia="宋体" w:cs="Times New Roman"/>
                      <w:color w:val="auto"/>
                      <w:sz w:val="21"/>
                      <w:szCs w:val="21"/>
                    </w:rPr>
                    <w:t>无组织排放。</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1CFC7C6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相符</w:t>
                  </w:r>
                </w:p>
              </w:tc>
            </w:tr>
            <w:tr w14:paraId="0B03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4277" w:type="dxa"/>
                  <w:tcBorders>
                    <w:top w:val="single" w:color="auto" w:sz="4" w:space="0"/>
                    <w:left w:val="single" w:color="auto" w:sz="4" w:space="0"/>
                    <w:bottom w:val="single" w:color="auto" w:sz="4" w:space="0"/>
                    <w:right w:val="single" w:color="auto" w:sz="4" w:space="0"/>
                  </w:tcBorders>
                  <w:noWrap w:val="0"/>
                  <w:vAlign w:val="center"/>
                </w:tcPr>
                <w:p w14:paraId="7E84AD2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进建设适宜高效的治污设施。企业新建治污设施或对现有治污设施实施改造，应依据排放废气的浓度、组分、风量，温度、湿度、压力，以及生产工况等，合理选择治理技术。鼓励企业采用多种技术的组合工艺，提高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治理效率。低浓度、大风量废气，宜采用沸石转轮吸附、活性炭吸附、减风增浓等浓缩技术，提高VOC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废气治理和恶臭异味治理。非水溶性的VOC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治理效率。</w:t>
                  </w:r>
                </w:p>
                <w:p w14:paraId="0DB8307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实行重点排放源排放浓度与去除效率双重控制。车间或生产设施收集排放的废气，VOC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初始排放速率大于等于3千克/小时、重点区域大于等于2千克/小时的，应加大控制力度，除确保排放浓度稳定达标外，还应实行去除效率控制，去除效率不低于80%；采用的原辅材料符合国家有关低VOC</w:t>
                  </w:r>
                  <w:r>
                    <w:rPr>
                      <w:rFonts w:hint="default" w:ascii="Times New Roman" w:hAnsi="Times New Roman" w:eastAsia="宋体" w:cs="Times New Roman"/>
                      <w:color w:val="auto"/>
                      <w:sz w:val="21"/>
                      <w:szCs w:val="21"/>
                      <w:vertAlign w:val="subscript"/>
                    </w:rPr>
                    <w:t>S</w:t>
                  </w:r>
                  <w:r>
                    <w:rPr>
                      <w:rFonts w:hint="default" w:ascii="Times New Roman" w:hAnsi="Times New Roman" w:eastAsia="宋体" w:cs="Times New Roman"/>
                      <w:color w:val="auto"/>
                      <w:sz w:val="21"/>
                      <w:szCs w:val="21"/>
                    </w:rPr>
                    <w:t>含量产品规定的除外，有行业排放标准的按其相关规定执行</w:t>
                  </w:r>
                  <w:r>
                    <w:rPr>
                      <w:rFonts w:hint="default" w:ascii="Times New Roman" w:hAnsi="Times New Roman" w:eastAsia="宋体" w:cs="Times New Roman"/>
                      <w:color w:val="auto"/>
                      <w:sz w:val="21"/>
                      <w:szCs w:val="21"/>
                      <w:lang w:val="en-US" w:eastAsia="zh-CN"/>
                    </w:rPr>
                    <w:t>。</w:t>
                  </w:r>
                </w:p>
              </w:tc>
              <w:tc>
                <w:tcPr>
                  <w:tcW w:w="2764" w:type="dxa"/>
                  <w:tcBorders>
                    <w:top w:val="single" w:color="auto" w:sz="4" w:space="0"/>
                    <w:left w:val="single" w:color="auto" w:sz="4" w:space="0"/>
                    <w:bottom w:val="single" w:color="auto" w:sz="4" w:space="0"/>
                    <w:right w:val="single" w:color="auto" w:sz="4" w:space="0"/>
                  </w:tcBorders>
                  <w:noWrap w:val="0"/>
                  <w:vAlign w:val="center"/>
                </w:tcPr>
                <w:p w14:paraId="7929F19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项目</w:t>
                  </w:r>
                  <w:r>
                    <w:rPr>
                      <w:rFonts w:hint="default" w:ascii="Times New Roman" w:hAnsi="Times New Roman" w:eastAsia="宋体" w:cs="Times New Roman"/>
                      <w:color w:val="auto"/>
                      <w:sz w:val="21"/>
                      <w:szCs w:val="21"/>
                      <w:highlight w:val="none"/>
                      <w:lang w:val="en-US" w:eastAsia="zh-CN"/>
                    </w:rPr>
                    <w:t>主要生产塑料框</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原料使用全新的聚丙烯树脂颗粒，为低</w:t>
                  </w:r>
                  <w:r>
                    <w:rPr>
                      <w:rFonts w:hint="default" w:ascii="Times New Roman" w:hAnsi="Times New Roman" w:eastAsia="宋体" w:cs="Times New Roman"/>
                      <w:color w:val="auto"/>
                      <w:sz w:val="21"/>
                      <w:szCs w:val="21"/>
                      <w:highlight w:val="none"/>
                    </w:rPr>
                    <w:t>VOC</w:t>
                  </w:r>
                  <w:r>
                    <w:rPr>
                      <w:rFonts w:hint="default" w:ascii="Times New Roman" w:hAnsi="Times New Roman" w:eastAsia="宋体" w:cs="Times New Roman"/>
                      <w:color w:val="auto"/>
                      <w:sz w:val="21"/>
                      <w:szCs w:val="21"/>
                      <w:highlight w:val="none"/>
                      <w:vertAlign w:val="subscript"/>
                    </w:rPr>
                    <w:t>S</w:t>
                  </w:r>
                  <w:r>
                    <w:rPr>
                      <w:rFonts w:hint="default" w:ascii="Times New Roman" w:hAnsi="Times New Roman" w:eastAsia="宋体" w:cs="Times New Roman"/>
                      <w:color w:val="auto"/>
                      <w:sz w:val="21"/>
                      <w:szCs w:val="21"/>
                      <w:highlight w:val="none"/>
                      <w:vertAlign w:val="baseline"/>
                      <w:lang w:val="en-US" w:eastAsia="zh-CN"/>
                    </w:rPr>
                    <w:t>原辅材料，</w:t>
                  </w:r>
                  <w:r>
                    <w:rPr>
                      <w:rFonts w:hint="default" w:ascii="Times New Roman" w:hAnsi="Times New Roman" w:eastAsia="宋体" w:cs="Times New Roman"/>
                      <w:color w:val="auto"/>
                      <w:sz w:val="21"/>
                      <w:szCs w:val="21"/>
                      <w:highlight w:val="none"/>
                      <w:lang w:val="en-US" w:eastAsia="zh-CN"/>
                    </w:rPr>
                    <w:t>不属于重点排放源，不</w:t>
                  </w:r>
                  <w:r>
                    <w:rPr>
                      <w:rFonts w:hint="default" w:ascii="Times New Roman" w:hAnsi="Times New Roman" w:eastAsia="宋体" w:cs="Times New Roman"/>
                      <w:color w:val="auto"/>
                      <w:sz w:val="21"/>
                      <w:szCs w:val="21"/>
                      <w:highlight w:val="none"/>
                    </w:rPr>
                    <w:t>实行重点排放源排放浓度与去除效率双重控制</w:t>
                  </w:r>
                  <w:r>
                    <w:rPr>
                      <w:rFonts w:hint="default" w:ascii="Times New Roman" w:hAnsi="Times New Roman" w:eastAsia="宋体" w:cs="Times New Roman"/>
                      <w:color w:val="auto"/>
                      <w:sz w:val="21"/>
                      <w:szCs w:val="21"/>
                      <w:highlight w:val="none"/>
                      <w:lang w:val="en-US" w:eastAsia="zh-CN"/>
                    </w:rPr>
                    <w:t>。项目产生的非甲烷总烃经三级活性炭吸附处理后，排气筒排放浓度满足《合成树脂工业污染物排放标准》（GB 31572-2015）限值要求，</w:t>
                  </w:r>
                  <w:r>
                    <w:rPr>
                      <w:rFonts w:hint="eastAsia" w:ascii="Times New Roman"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VOC</w:t>
                  </w:r>
                  <w:r>
                    <w:rPr>
                      <w:rFonts w:hint="default" w:ascii="Times New Roman" w:hAnsi="Times New Roman" w:eastAsia="宋体" w:cs="Times New Roman"/>
                      <w:color w:val="auto"/>
                      <w:sz w:val="21"/>
                      <w:szCs w:val="21"/>
                      <w:highlight w:val="none"/>
                      <w:vertAlign w:val="subscript"/>
                    </w:rPr>
                    <w:t>S</w:t>
                  </w:r>
                  <w:r>
                    <w:rPr>
                      <w:rFonts w:hint="default" w:ascii="Times New Roman" w:hAnsi="Times New Roman" w:eastAsia="宋体" w:cs="Times New Roman"/>
                      <w:color w:val="auto"/>
                      <w:sz w:val="21"/>
                      <w:szCs w:val="21"/>
                      <w:highlight w:val="none"/>
                    </w:rPr>
                    <w:t>初始排放速率</w:t>
                  </w:r>
                  <w:r>
                    <w:rPr>
                      <w:rFonts w:hint="eastAsia" w:ascii="Times New Roman" w:cs="Times New Roman"/>
                      <w:color w:val="auto"/>
                      <w:sz w:val="21"/>
                      <w:szCs w:val="21"/>
                      <w:highlight w:val="none"/>
                      <w:lang w:val="en-US" w:eastAsia="zh-CN"/>
                    </w:rPr>
                    <w:t>为0.7329kg/h，</w:t>
                  </w:r>
                  <w:r>
                    <w:rPr>
                      <w:rFonts w:hint="default" w:ascii="Times New Roman" w:hAnsi="Times New Roman" w:eastAsia="宋体" w:cs="Times New Roman"/>
                      <w:color w:val="auto"/>
                      <w:sz w:val="21"/>
                      <w:szCs w:val="21"/>
                      <w:highlight w:val="none"/>
                    </w:rPr>
                    <w:t>初始排放速率</w:t>
                  </w:r>
                  <w:r>
                    <w:rPr>
                      <w:rFonts w:hint="eastAsia" w:ascii="Times New Roman" w:cs="Times New Roman"/>
                      <w:color w:val="auto"/>
                      <w:sz w:val="21"/>
                      <w:szCs w:val="21"/>
                      <w:highlight w:val="none"/>
                      <w:lang w:val="en-US" w:eastAsia="zh-CN"/>
                    </w:rPr>
                    <w:t>小于</w:t>
                  </w:r>
                  <w:r>
                    <w:rPr>
                      <w:rFonts w:hint="default" w:ascii="Times New Roman" w:hAnsi="Times New Roman" w:eastAsia="宋体" w:cs="Times New Roman"/>
                      <w:color w:val="auto"/>
                      <w:sz w:val="21"/>
                      <w:szCs w:val="21"/>
                      <w:highlight w:val="none"/>
                    </w:rPr>
                    <w:t>3千克/小时</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治理工艺选用活性炭吸附，符合文件低浓度大风量废气治理技术推荐要求，综上，项目废气治理方案与该管理规范要求相符。</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75F9FC2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相符</w:t>
                  </w:r>
                </w:p>
              </w:tc>
            </w:tr>
          </w:tbl>
          <w:p w14:paraId="089D8D8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sz w:val="24"/>
                <w:lang w:val="en-US" w:eastAsia="zh-CN"/>
              </w:rPr>
              <w:t>根据上表</w:t>
            </w:r>
            <w:r>
              <w:rPr>
                <w:rFonts w:hint="default" w:ascii="Times New Roman" w:hAnsi="Times New Roman" w:eastAsia="宋体" w:cs="Times New Roman"/>
                <w:color w:val="auto"/>
                <w:sz w:val="24"/>
              </w:rPr>
              <w:t>，项目建设与《云南省重点行业挥发性有机物综合治理方案》相符。</w:t>
            </w:r>
          </w:p>
          <w:p w14:paraId="7038CF8E">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lang w:val="en-US" w:eastAsia="zh-CN"/>
              </w:rPr>
              <w:t>14</w:t>
            </w:r>
            <w:r>
              <w:rPr>
                <w:rFonts w:hint="default" w:ascii="Times New Roman" w:hAnsi="Times New Roman" w:eastAsia="宋体" w:cs="Times New Roman"/>
                <w:b/>
                <w:bCs/>
                <w:color w:val="auto"/>
                <w:sz w:val="24"/>
              </w:rPr>
              <w:t>、与《挥发性有机物无组织排放控制标准》（GB37822-2019）符合性分析</w:t>
            </w:r>
          </w:p>
          <w:p w14:paraId="3D7E5C78">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表1-1</w:t>
            </w:r>
            <w:r>
              <w:rPr>
                <w:rFonts w:hint="eastAsia" w:cs="Times New Roman"/>
                <w:b/>
                <w:bCs/>
                <w:color w:val="auto"/>
                <w:sz w:val="21"/>
                <w:szCs w:val="21"/>
                <w:lang w:val="en-US" w:eastAsia="zh-CN"/>
              </w:rPr>
              <w:t>7</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项目与《挥发性有机物无组织排放控制标准》符合性分析</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3331"/>
              <w:gridCol w:w="2696"/>
              <w:gridCol w:w="724"/>
            </w:tblGrid>
            <w:tr w14:paraId="34AB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04A7857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内容</w:t>
                  </w:r>
                </w:p>
              </w:tc>
              <w:tc>
                <w:tcPr>
                  <w:tcW w:w="2109" w:type="pct"/>
                  <w:noWrap w:val="0"/>
                  <w:vAlign w:val="center"/>
                </w:tcPr>
                <w:p w14:paraId="72AEC94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zh-CN"/>
                    </w:rPr>
                  </w:pPr>
                  <w:r>
                    <w:rPr>
                      <w:rFonts w:hint="default" w:ascii="Times New Roman" w:hAnsi="Times New Roman" w:eastAsia="宋体" w:cs="Times New Roman"/>
                      <w:b/>
                      <w:bCs/>
                      <w:color w:val="auto"/>
                      <w:szCs w:val="21"/>
                    </w:rPr>
                    <w:t>《挥发性有机物无组织排放控制标准》要求</w:t>
                  </w:r>
                </w:p>
              </w:tc>
              <w:tc>
                <w:tcPr>
                  <w:tcW w:w="1707" w:type="pct"/>
                  <w:noWrap w:val="0"/>
                  <w:vAlign w:val="center"/>
                </w:tcPr>
                <w:p w14:paraId="0EF7E46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zh-CN"/>
                    </w:rPr>
                  </w:pPr>
                  <w:r>
                    <w:rPr>
                      <w:rFonts w:hint="default" w:ascii="Times New Roman" w:hAnsi="Times New Roman" w:eastAsia="宋体" w:cs="Times New Roman"/>
                      <w:b/>
                      <w:bCs/>
                      <w:color w:val="auto"/>
                      <w:szCs w:val="21"/>
                      <w:lang w:val="zh-CN"/>
                    </w:rPr>
                    <w:t>本项目情况</w:t>
                  </w:r>
                </w:p>
              </w:tc>
              <w:tc>
                <w:tcPr>
                  <w:tcW w:w="458" w:type="pct"/>
                  <w:noWrap w:val="0"/>
                  <w:vAlign w:val="center"/>
                </w:tcPr>
                <w:p w14:paraId="32FB04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zh-CN"/>
                    </w:rPr>
                  </w:pPr>
                  <w:r>
                    <w:rPr>
                      <w:rFonts w:hint="default" w:ascii="Times New Roman" w:hAnsi="Times New Roman" w:eastAsia="宋体" w:cs="Times New Roman"/>
                      <w:b/>
                      <w:bCs/>
                      <w:color w:val="auto"/>
                      <w:szCs w:val="21"/>
                      <w:lang w:val="zh-CN"/>
                    </w:rPr>
                    <w:t>符合性</w:t>
                  </w:r>
                </w:p>
              </w:tc>
            </w:tr>
            <w:tr w14:paraId="0F35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7A258B8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VOCs物料储存</w:t>
                  </w:r>
                </w:p>
              </w:tc>
              <w:tc>
                <w:tcPr>
                  <w:tcW w:w="2109" w:type="pct"/>
                  <w:noWrap w:val="0"/>
                  <w:vAlign w:val="center"/>
                </w:tcPr>
                <w:p w14:paraId="59D827C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VOCs物料应储存于密闭的容器、包装袋、储罐、储库、料仓中。</w:t>
                  </w:r>
                </w:p>
              </w:tc>
              <w:tc>
                <w:tcPr>
                  <w:tcW w:w="1707" w:type="pct"/>
                  <w:noWrap w:val="0"/>
                  <w:vAlign w:val="center"/>
                </w:tcPr>
                <w:p w14:paraId="6E55C9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63" w:leftChars="-30" w:right="-63" w:rightChars="-3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项目</w:t>
                  </w:r>
                  <w:r>
                    <w:rPr>
                      <w:rFonts w:hint="default" w:ascii="Times New Roman" w:hAnsi="Times New Roman" w:eastAsia="宋体" w:cs="Times New Roman"/>
                      <w:bCs/>
                      <w:color w:val="auto"/>
                      <w:sz w:val="21"/>
                      <w:szCs w:val="21"/>
                      <w:lang w:val="en-US" w:eastAsia="zh-CN"/>
                    </w:rPr>
                    <w:t>原料均为全新的聚丙烯树脂颗粒，其热解温度较高，</w:t>
                  </w:r>
                  <w:r>
                    <w:rPr>
                      <w:rFonts w:hint="default" w:ascii="Times New Roman" w:hAnsi="Times New Roman" w:eastAsia="宋体" w:cs="Times New Roman"/>
                      <w:color w:val="000000"/>
                      <w:kern w:val="0"/>
                      <w:sz w:val="21"/>
                      <w:szCs w:val="21"/>
                      <w:lang w:val="en-US" w:eastAsia="zh-CN" w:bidi="ar"/>
                    </w:rPr>
                    <w:t>常温下不会产生 VOCs</w:t>
                  </w:r>
                  <w:r>
                    <w:rPr>
                      <w:rFonts w:hint="default" w:ascii="Times New Roman" w:hAnsi="Times New Roman" w:eastAsia="宋体" w:cs="Times New Roman"/>
                      <w:bCs/>
                      <w:color w:val="auto"/>
                      <w:sz w:val="21"/>
                      <w:szCs w:val="21"/>
                      <w:lang w:val="en-US" w:eastAsia="zh-CN"/>
                    </w:rPr>
                    <w:t>，袋装室内保存</w:t>
                  </w:r>
                  <w:r>
                    <w:rPr>
                      <w:rFonts w:hint="default" w:ascii="Times New Roman" w:hAnsi="Times New Roman" w:eastAsia="宋体" w:cs="Times New Roman"/>
                      <w:bCs/>
                      <w:color w:val="auto"/>
                      <w:sz w:val="21"/>
                      <w:szCs w:val="21"/>
                    </w:rPr>
                    <w:t>。</w:t>
                  </w:r>
                </w:p>
              </w:tc>
              <w:tc>
                <w:tcPr>
                  <w:tcW w:w="458" w:type="pct"/>
                  <w:noWrap w:val="0"/>
                  <w:vAlign w:val="center"/>
                </w:tcPr>
                <w:p w14:paraId="7E89EE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9F5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377774B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储存无组织排放控制要求</w:t>
                  </w:r>
                </w:p>
              </w:tc>
              <w:tc>
                <w:tcPr>
                  <w:tcW w:w="2109" w:type="pct"/>
                  <w:noWrap w:val="0"/>
                  <w:vAlign w:val="center"/>
                </w:tcPr>
                <w:p w14:paraId="431DA8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Cs/>
                      <w:color w:val="auto"/>
                      <w:szCs w:val="21"/>
                    </w:rPr>
                    <w:t>盛装VOCs物料的容器或包装袋应存放于室内，或存放于设置有雨棚、遮阳和防渗设施的专用场地。盛装VOCs物料的容器或包装袋非取用状态时，应加盖封口，保持密闭。</w:t>
                  </w:r>
                </w:p>
              </w:tc>
              <w:tc>
                <w:tcPr>
                  <w:tcW w:w="1707" w:type="pct"/>
                  <w:noWrap w:val="0"/>
                  <w:vAlign w:val="center"/>
                </w:tcPr>
                <w:p w14:paraId="52B50D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项目</w:t>
                  </w:r>
                  <w:r>
                    <w:rPr>
                      <w:rFonts w:hint="default" w:ascii="Times New Roman" w:hAnsi="Times New Roman" w:eastAsia="宋体" w:cs="Times New Roman"/>
                      <w:bCs/>
                      <w:color w:val="auto"/>
                      <w:sz w:val="21"/>
                      <w:szCs w:val="21"/>
                      <w:lang w:val="en-US" w:eastAsia="zh-CN"/>
                    </w:rPr>
                    <w:t>原料均为全新的聚丙烯树脂颗粒，其热解温度较高，</w:t>
                  </w:r>
                  <w:r>
                    <w:rPr>
                      <w:rFonts w:hint="default" w:ascii="Times New Roman" w:hAnsi="Times New Roman" w:eastAsia="宋体" w:cs="Times New Roman"/>
                      <w:color w:val="000000"/>
                      <w:kern w:val="0"/>
                      <w:sz w:val="21"/>
                      <w:szCs w:val="21"/>
                      <w:lang w:val="en-US" w:eastAsia="zh-CN" w:bidi="ar"/>
                    </w:rPr>
                    <w:t>常温下不会产生 VOCs</w:t>
                  </w:r>
                  <w:r>
                    <w:rPr>
                      <w:rFonts w:hint="default" w:ascii="Times New Roman" w:hAnsi="Times New Roman" w:eastAsia="宋体" w:cs="Times New Roman"/>
                      <w:bCs/>
                      <w:color w:val="auto"/>
                      <w:sz w:val="21"/>
                      <w:szCs w:val="21"/>
                      <w:lang w:val="en-US" w:eastAsia="zh-CN"/>
                    </w:rPr>
                    <w:t>，袋装室内保存</w:t>
                  </w:r>
                  <w:r>
                    <w:rPr>
                      <w:rFonts w:hint="default" w:ascii="Times New Roman" w:hAnsi="Times New Roman" w:eastAsia="宋体" w:cs="Times New Roman"/>
                      <w:bCs/>
                      <w:color w:val="auto"/>
                      <w:sz w:val="21"/>
                      <w:szCs w:val="21"/>
                    </w:rPr>
                    <w:t>。</w:t>
                  </w:r>
                </w:p>
              </w:tc>
              <w:tc>
                <w:tcPr>
                  <w:tcW w:w="458" w:type="pct"/>
                  <w:noWrap w:val="0"/>
                  <w:vAlign w:val="center"/>
                </w:tcPr>
                <w:p w14:paraId="1E5535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zh-CN"/>
                    </w:rPr>
                  </w:pPr>
                  <w:r>
                    <w:rPr>
                      <w:rFonts w:hint="default" w:ascii="Times New Roman" w:hAnsi="Times New Roman" w:eastAsia="宋体" w:cs="Times New Roman"/>
                      <w:color w:val="auto"/>
                      <w:szCs w:val="21"/>
                      <w:lang w:val="zh-CN"/>
                    </w:rPr>
                    <w:t>符合</w:t>
                  </w:r>
                </w:p>
              </w:tc>
            </w:tr>
            <w:tr w14:paraId="57DA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5E66ADF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VOCs物</w:t>
                  </w:r>
                </w:p>
                <w:p w14:paraId="30325EA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料转移和</w:t>
                  </w:r>
                </w:p>
                <w:p w14:paraId="084D888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输送无组</w:t>
                  </w:r>
                </w:p>
                <w:p w14:paraId="0B42D03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织排放控</w:t>
                  </w:r>
                </w:p>
                <w:p w14:paraId="0CB4BB4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制要求</w:t>
                  </w:r>
                </w:p>
              </w:tc>
              <w:tc>
                <w:tcPr>
                  <w:tcW w:w="2109" w:type="pct"/>
                  <w:noWrap w:val="0"/>
                  <w:vAlign w:val="center"/>
                </w:tcPr>
                <w:p w14:paraId="585FCBE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粉状、粒状VOCs 物料应采用气力输送设备管状带式输送机、螺旋输送机等密闭输送方式，或者采用密闭的包装袋、容器或罐车进行物料转移。</w:t>
                  </w:r>
                </w:p>
              </w:tc>
              <w:tc>
                <w:tcPr>
                  <w:tcW w:w="1707" w:type="pct"/>
                  <w:noWrap w:val="0"/>
                  <w:vAlign w:val="center"/>
                </w:tcPr>
                <w:p w14:paraId="75D78E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项目</w:t>
                  </w:r>
                  <w:r>
                    <w:rPr>
                      <w:rFonts w:hint="default" w:ascii="Times New Roman" w:hAnsi="Times New Roman" w:eastAsia="宋体" w:cs="Times New Roman"/>
                      <w:bCs/>
                      <w:color w:val="auto"/>
                      <w:sz w:val="21"/>
                      <w:szCs w:val="21"/>
                      <w:lang w:val="en-US" w:eastAsia="zh-CN"/>
                    </w:rPr>
                    <w:t>原料均为全新的聚丙烯树脂颗粒</w:t>
                  </w:r>
                  <w:r>
                    <w:rPr>
                      <w:rFonts w:hint="default" w:ascii="Times New Roman" w:hAnsi="Times New Roman" w:eastAsia="宋体" w:cs="Times New Roman"/>
                      <w:bCs/>
                      <w:color w:val="auto"/>
                      <w:sz w:val="21"/>
                      <w:szCs w:val="21"/>
                    </w:rPr>
                    <w:t>。</w:t>
                  </w:r>
                  <w:r>
                    <w:rPr>
                      <w:rFonts w:hint="default" w:ascii="Times New Roman" w:hAnsi="Times New Roman" w:eastAsia="宋体" w:cs="Times New Roman"/>
                      <w:color w:val="000000"/>
                      <w:kern w:val="0"/>
                      <w:sz w:val="21"/>
                      <w:szCs w:val="21"/>
                      <w:lang w:val="en-US" w:eastAsia="zh-CN" w:bidi="ar"/>
                    </w:rPr>
                    <w:t>常温下不会产生 VOCs，塑料颗粒热熔注塑工段在生产车间内进行，熔融注塑工段产生的</w:t>
                  </w:r>
                  <w:r>
                    <w:rPr>
                      <w:rFonts w:hint="eastAsia" w:cs="Times New Roman"/>
                      <w:color w:val="000000"/>
                      <w:kern w:val="0"/>
                      <w:sz w:val="21"/>
                      <w:szCs w:val="21"/>
                      <w:lang w:val="en-US" w:eastAsia="zh-CN" w:bidi="ar"/>
                    </w:rPr>
                    <w:t>有机废气</w:t>
                  </w:r>
                  <w:r>
                    <w:rPr>
                      <w:rFonts w:hint="eastAsia" w:cs="Times New Roman"/>
                      <w:bCs/>
                      <w:color w:val="auto"/>
                      <w:sz w:val="21"/>
                      <w:szCs w:val="21"/>
                      <w:lang w:val="en-US" w:eastAsia="zh-CN"/>
                    </w:rPr>
                    <w:t>（以</w:t>
                  </w:r>
                  <w:r>
                    <w:rPr>
                      <w:rFonts w:hint="default" w:ascii="Times New Roman" w:hAnsi="Times New Roman" w:eastAsia="宋体" w:cs="Times New Roman"/>
                      <w:bCs/>
                      <w:color w:val="auto"/>
                      <w:sz w:val="21"/>
                      <w:szCs w:val="21"/>
                    </w:rPr>
                    <w:t>非甲烷总烃</w:t>
                  </w:r>
                  <w:r>
                    <w:rPr>
                      <w:rFonts w:hint="eastAsia" w:cs="Times New Roman"/>
                      <w:bCs/>
                      <w:color w:val="auto"/>
                      <w:sz w:val="21"/>
                      <w:szCs w:val="21"/>
                      <w:lang w:val="en-US" w:eastAsia="zh-CN"/>
                    </w:rPr>
                    <w:t>计）</w:t>
                  </w:r>
                  <w:r>
                    <w:rPr>
                      <w:rFonts w:hint="default" w:ascii="Times New Roman" w:hAnsi="Times New Roman" w:eastAsia="宋体" w:cs="Times New Roman"/>
                      <w:color w:val="000000"/>
                      <w:kern w:val="0"/>
                      <w:sz w:val="21"/>
                      <w:szCs w:val="21"/>
                      <w:lang w:val="en-US" w:eastAsia="zh-CN" w:bidi="ar"/>
                    </w:rPr>
                    <w:t>经集气罩收集至三级活性炭吸附装置处理。</w:t>
                  </w:r>
                </w:p>
              </w:tc>
              <w:tc>
                <w:tcPr>
                  <w:tcW w:w="458" w:type="pct"/>
                  <w:noWrap w:val="0"/>
                  <w:vAlign w:val="center"/>
                </w:tcPr>
                <w:p w14:paraId="2C0B95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zh-CN"/>
                    </w:rPr>
                  </w:pPr>
                  <w:r>
                    <w:rPr>
                      <w:rFonts w:hint="default" w:ascii="Times New Roman" w:hAnsi="Times New Roman" w:eastAsia="宋体" w:cs="Times New Roman"/>
                      <w:color w:val="auto"/>
                      <w:szCs w:val="21"/>
                      <w:lang w:val="zh-CN"/>
                    </w:rPr>
                    <w:t>符合</w:t>
                  </w:r>
                </w:p>
              </w:tc>
            </w:tr>
            <w:tr w14:paraId="67DD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3E96C35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工艺过程</w:t>
                  </w:r>
                </w:p>
                <w:p w14:paraId="7B78790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VOCs无组织排放控制要求</w:t>
                  </w:r>
                </w:p>
              </w:tc>
              <w:tc>
                <w:tcPr>
                  <w:tcW w:w="2109" w:type="pct"/>
                  <w:noWrap w:val="0"/>
                  <w:vAlign w:val="center"/>
                </w:tcPr>
                <w:p w14:paraId="157DF9E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有机聚合物产品用于制品生产的过程，在混合/混炼、塑炼/塑化熔化、加工成型（挤出、注射、压制、压延、发泡、纺丝等）等作业中应采用密闭设备或在密闭空间内操作，废气应排至VOCs废气收集处理系统；无法密闭的，应采取局部气体收集。</w:t>
                  </w:r>
                </w:p>
              </w:tc>
              <w:tc>
                <w:tcPr>
                  <w:tcW w:w="1707" w:type="pct"/>
                  <w:noWrap w:val="0"/>
                  <w:vAlign w:val="center"/>
                </w:tcPr>
                <w:p w14:paraId="7051851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 w:val="21"/>
                      <w:szCs w:val="21"/>
                    </w:rPr>
                    <w:t>项目挥发性有机物主要</w:t>
                  </w:r>
                  <w:r>
                    <w:rPr>
                      <w:rFonts w:hint="default" w:ascii="Times New Roman" w:hAnsi="Times New Roman" w:eastAsia="宋体" w:cs="Times New Roman"/>
                      <w:bCs/>
                      <w:color w:val="auto"/>
                      <w:sz w:val="21"/>
                      <w:szCs w:val="21"/>
                      <w:lang w:val="en-US" w:eastAsia="zh-CN"/>
                    </w:rPr>
                    <w:t>为热熔注塑工序</w:t>
                  </w:r>
                  <w:r>
                    <w:rPr>
                      <w:rFonts w:hint="default" w:ascii="Times New Roman" w:hAnsi="Times New Roman" w:eastAsia="宋体" w:cs="Times New Roman"/>
                      <w:bCs/>
                      <w:color w:val="auto"/>
                      <w:sz w:val="21"/>
                      <w:szCs w:val="21"/>
                    </w:rPr>
                    <w:t>产生的</w:t>
                  </w:r>
                  <w:r>
                    <w:rPr>
                      <w:rFonts w:hint="eastAsia" w:cs="Times New Roman"/>
                      <w:bCs/>
                      <w:color w:val="auto"/>
                      <w:sz w:val="21"/>
                      <w:szCs w:val="21"/>
                      <w:lang w:val="en-US" w:eastAsia="zh-CN"/>
                    </w:rPr>
                    <w:t>有机废气（以</w:t>
                  </w:r>
                  <w:r>
                    <w:rPr>
                      <w:rFonts w:hint="default" w:ascii="Times New Roman" w:hAnsi="Times New Roman" w:eastAsia="宋体" w:cs="Times New Roman"/>
                      <w:bCs/>
                      <w:color w:val="auto"/>
                      <w:sz w:val="21"/>
                      <w:szCs w:val="21"/>
                    </w:rPr>
                    <w:t>非甲烷总烃</w:t>
                  </w:r>
                  <w:r>
                    <w:rPr>
                      <w:rFonts w:hint="eastAsia" w:cs="Times New Roman"/>
                      <w:bCs/>
                      <w:color w:val="auto"/>
                      <w:sz w:val="21"/>
                      <w:szCs w:val="21"/>
                      <w:lang w:val="en-US" w:eastAsia="zh-CN"/>
                    </w:rPr>
                    <w:t>计）</w:t>
                  </w:r>
                  <w:r>
                    <w:rPr>
                      <w:rFonts w:hint="default" w:ascii="Times New Roman" w:hAnsi="Times New Roman" w:eastAsia="宋体" w:cs="Times New Roman"/>
                      <w:bCs/>
                      <w:color w:val="auto"/>
                      <w:sz w:val="21"/>
                      <w:szCs w:val="21"/>
                    </w:rPr>
                    <w:t>，经集气罩收集进入</w:t>
                  </w:r>
                  <w:r>
                    <w:rPr>
                      <w:rFonts w:hint="default" w:ascii="Times New Roman" w:hAnsi="Times New Roman" w:eastAsia="宋体" w:cs="Times New Roman"/>
                      <w:bCs/>
                      <w:color w:val="auto"/>
                      <w:sz w:val="21"/>
                      <w:szCs w:val="21"/>
                      <w:lang w:val="en-US" w:eastAsia="zh-CN"/>
                    </w:rPr>
                    <w:t>1套三级活性炭吸附装置</w:t>
                  </w:r>
                  <w:r>
                    <w:rPr>
                      <w:rFonts w:hint="default" w:ascii="Times New Roman" w:hAnsi="Times New Roman" w:eastAsia="宋体" w:cs="Times New Roman"/>
                      <w:bCs/>
                      <w:color w:val="auto"/>
                      <w:sz w:val="21"/>
                      <w:szCs w:val="21"/>
                    </w:rPr>
                    <w:t>处理后通过15m高排气筒</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DA001</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达标排放，有效削减了VOC</w:t>
                  </w:r>
                  <w:r>
                    <w:rPr>
                      <w:rFonts w:hint="default" w:ascii="Times New Roman" w:hAnsi="Times New Roman" w:eastAsia="宋体" w:cs="Times New Roman"/>
                      <w:bCs/>
                      <w:color w:val="auto"/>
                      <w:sz w:val="21"/>
                      <w:szCs w:val="21"/>
                      <w:vertAlign w:val="subscript"/>
                    </w:rPr>
                    <w:t>S</w:t>
                  </w:r>
                  <w:r>
                    <w:rPr>
                      <w:rFonts w:hint="default" w:ascii="Times New Roman" w:hAnsi="Times New Roman" w:eastAsia="宋体" w:cs="Times New Roman"/>
                      <w:bCs/>
                      <w:color w:val="auto"/>
                      <w:sz w:val="21"/>
                      <w:szCs w:val="21"/>
                    </w:rPr>
                    <w:t>无组织排放</w:t>
                  </w:r>
                  <w:r>
                    <w:rPr>
                      <w:rFonts w:hint="default" w:ascii="Times New Roman" w:hAnsi="Times New Roman" w:eastAsia="宋体" w:cs="Times New Roman"/>
                      <w:bCs/>
                      <w:color w:val="auto"/>
                      <w:szCs w:val="21"/>
                    </w:rPr>
                    <w:t>。</w:t>
                  </w:r>
                </w:p>
              </w:tc>
              <w:tc>
                <w:tcPr>
                  <w:tcW w:w="458" w:type="pct"/>
                  <w:noWrap w:val="0"/>
                  <w:vAlign w:val="center"/>
                </w:tcPr>
                <w:p w14:paraId="2165AD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zh-CN"/>
                    </w:rPr>
                  </w:pPr>
                  <w:r>
                    <w:rPr>
                      <w:rFonts w:hint="default" w:ascii="Times New Roman" w:hAnsi="Times New Roman" w:eastAsia="宋体" w:cs="Times New Roman"/>
                      <w:color w:val="auto"/>
                      <w:szCs w:val="21"/>
                      <w:lang w:val="zh-CN"/>
                    </w:rPr>
                    <w:t>符合</w:t>
                  </w:r>
                </w:p>
              </w:tc>
            </w:tr>
            <w:tr w14:paraId="6765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0AF7AEB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敞开液面</w:t>
                  </w:r>
                </w:p>
                <w:p w14:paraId="6F7428C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VOCs无组织排放控制要求</w:t>
                  </w:r>
                </w:p>
              </w:tc>
              <w:tc>
                <w:tcPr>
                  <w:tcW w:w="2109" w:type="pct"/>
                  <w:noWrap w:val="0"/>
                  <w:vAlign w:val="center"/>
                </w:tcPr>
                <w:p w14:paraId="2362DDB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废水储存、处理设施敞开液面上方100mm处VOCs检测浓度≥200μmol/mol，应符合下列规定之一：1.采用浮动顶盖；2 采用固定顶盖，收集废气至VOCs废气</w:t>
                  </w:r>
                </w:p>
                <w:p w14:paraId="684AE78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收集处理系统；3 其他等效措施。</w:t>
                  </w:r>
                </w:p>
              </w:tc>
              <w:tc>
                <w:tcPr>
                  <w:tcW w:w="1707" w:type="pct"/>
                  <w:noWrap w:val="0"/>
                  <w:vAlign w:val="center"/>
                </w:tcPr>
                <w:p w14:paraId="70BC2E2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 w:val="21"/>
                      <w:szCs w:val="21"/>
                      <w:lang w:val="en-US" w:eastAsia="zh-CN"/>
                    </w:rPr>
                    <w:t>项目不涉及</w:t>
                  </w:r>
                  <w:r>
                    <w:rPr>
                      <w:rFonts w:hint="default" w:ascii="Times New Roman" w:hAnsi="Times New Roman" w:eastAsia="宋体" w:cs="Times New Roman"/>
                      <w:bCs/>
                      <w:color w:val="auto"/>
                      <w:sz w:val="21"/>
                      <w:szCs w:val="21"/>
                    </w:rPr>
                    <w:t>敞开液面VOCs</w:t>
                  </w:r>
                  <w:r>
                    <w:rPr>
                      <w:rFonts w:hint="default" w:ascii="Times New Roman" w:hAnsi="Times New Roman" w:eastAsia="宋体" w:cs="Times New Roman"/>
                      <w:bCs/>
                      <w:color w:val="auto"/>
                      <w:szCs w:val="21"/>
                    </w:rPr>
                    <w:t>。</w:t>
                  </w:r>
                </w:p>
              </w:tc>
              <w:tc>
                <w:tcPr>
                  <w:tcW w:w="458" w:type="pct"/>
                  <w:noWrap w:val="0"/>
                  <w:vAlign w:val="center"/>
                </w:tcPr>
                <w:p w14:paraId="37E968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45CF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16C4D35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 无组织排放废气收集处理系统要求</w:t>
                  </w:r>
                </w:p>
              </w:tc>
              <w:tc>
                <w:tcPr>
                  <w:tcW w:w="2109" w:type="pct"/>
                  <w:noWrap w:val="0"/>
                  <w:vAlign w:val="center"/>
                </w:tcPr>
                <w:p w14:paraId="75E2451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1、VOCs废气收集处理系统应与生产工艺设备同步运行；2、企业应考虑生产工艺，操作方式，废气性质、处理方法等因素，对 VOCs废气进行分类收集。</w:t>
                  </w:r>
                </w:p>
              </w:tc>
              <w:tc>
                <w:tcPr>
                  <w:tcW w:w="1707" w:type="pct"/>
                  <w:noWrap w:val="0"/>
                  <w:vAlign w:val="center"/>
                </w:tcPr>
                <w:p w14:paraId="0C14ACE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 w:val="21"/>
                      <w:szCs w:val="21"/>
                    </w:rPr>
                    <w:t>项目挥发性有机物主要</w:t>
                  </w:r>
                  <w:r>
                    <w:rPr>
                      <w:rFonts w:hint="default" w:ascii="Times New Roman" w:hAnsi="Times New Roman" w:eastAsia="宋体" w:cs="Times New Roman"/>
                      <w:bCs/>
                      <w:color w:val="auto"/>
                      <w:sz w:val="21"/>
                      <w:szCs w:val="21"/>
                      <w:lang w:val="en-US" w:eastAsia="zh-CN"/>
                    </w:rPr>
                    <w:t>为热熔注塑工序</w:t>
                  </w:r>
                  <w:r>
                    <w:rPr>
                      <w:rFonts w:hint="default" w:ascii="Times New Roman" w:hAnsi="Times New Roman" w:eastAsia="宋体" w:cs="Times New Roman"/>
                      <w:bCs/>
                      <w:color w:val="auto"/>
                      <w:sz w:val="21"/>
                      <w:szCs w:val="21"/>
                    </w:rPr>
                    <w:t>产生的非甲烷总烃，经集气罩收集进入</w:t>
                  </w:r>
                  <w:r>
                    <w:rPr>
                      <w:rFonts w:hint="default" w:ascii="Times New Roman" w:hAnsi="Times New Roman" w:eastAsia="宋体" w:cs="Times New Roman"/>
                      <w:bCs/>
                      <w:color w:val="auto"/>
                      <w:sz w:val="21"/>
                      <w:szCs w:val="21"/>
                      <w:lang w:val="en-US" w:eastAsia="zh-CN"/>
                    </w:rPr>
                    <w:t>1套三级活性炭吸附装置</w:t>
                  </w:r>
                  <w:r>
                    <w:rPr>
                      <w:rFonts w:hint="default" w:ascii="Times New Roman" w:hAnsi="Times New Roman" w:eastAsia="宋体" w:cs="Times New Roman"/>
                      <w:bCs/>
                      <w:color w:val="auto"/>
                      <w:sz w:val="21"/>
                      <w:szCs w:val="21"/>
                    </w:rPr>
                    <w:t>处理后通过15m高排气筒</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DA001</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达标排放，有效削减了</w:t>
                  </w:r>
                  <w:r>
                    <w:rPr>
                      <w:rFonts w:hint="eastAsia" w:cs="Times New Roman"/>
                      <w:bCs/>
                      <w:color w:val="auto"/>
                      <w:sz w:val="21"/>
                      <w:szCs w:val="21"/>
                      <w:lang w:val="en-US" w:eastAsia="zh-CN"/>
                    </w:rPr>
                    <w:t>有机废气</w:t>
                  </w:r>
                  <w:r>
                    <w:rPr>
                      <w:rFonts w:hint="default" w:ascii="Times New Roman" w:hAnsi="Times New Roman" w:eastAsia="宋体" w:cs="Times New Roman"/>
                      <w:bCs/>
                      <w:color w:val="auto"/>
                      <w:sz w:val="21"/>
                      <w:szCs w:val="21"/>
                    </w:rPr>
                    <w:t>无组织排放</w:t>
                  </w:r>
                  <w:r>
                    <w:rPr>
                      <w:rFonts w:hint="default" w:ascii="Times New Roman" w:hAnsi="Times New Roman" w:eastAsia="宋体" w:cs="Times New Roman"/>
                      <w:bCs/>
                      <w:color w:val="auto"/>
                      <w:szCs w:val="21"/>
                    </w:rPr>
                    <w:t>。</w:t>
                  </w:r>
                </w:p>
              </w:tc>
              <w:tc>
                <w:tcPr>
                  <w:tcW w:w="458" w:type="pct"/>
                  <w:noWrap w:val="0"/>
                  <w:vAlign w:val="center"/>
                </w:tcPr>
                <w:p w14:paraId="194B67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6840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 w:type="pct"/>
                  <w:noWrap w:val="0"/>
                  <w:vAlign w:val="center"/>
                </w:tcPr>
                <w:p w14:paraId="6BC5A0A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VOCs无组织污染监控要求</w:t>
                  </w:r>
                </w:p>
              </w:tc>
              <w:tc>
                <w:tcPr>
                  <w:tcW w:w="2109" w:type="pct"/>
                  <w:noWrap w:val="0"/>
                  <w:vAlign w:val="center"/>
                </w:tcPr>
                <w:p w14:paraId="2CD367F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企业应按照有关法律《环境监测管理办法</w:t>
                  </w:r>
                  <w:r>
                    <w:rPr>
                      <w:rFonts w:hint="eastAsia" w:cs="Times New Roman"/>
                      <w:bCs/>
                      <w:color w:val="auto"/>
                      <w:szCs w:val="21"/>
                      <w:lang w:eastAsia="zh-CN"/>
                    </w:rPr>
                    <w:t>》</w:t>
                  </w:r>
                  <w:r>
                    <w:rPr>
                      <w:rFonts w:hint="default" w:ascii="Times New Roman" w:hAnsi="Times New Roman" w:eastAsia="宋体" w:cs="Times New Roman"/>
                      <w:bCs/>
                      <w:color w:val="auto"/>
                      <w:szCs w:val="21"/>
                    </w:rPr>
                    <w:t>和HJ819等规定，建立企业监测制度，制定监测方案，对污染物排放现状及周边环境质量的影响开展自行监测，保存原始监测记录并公布检测结果。</w:t>
                  </w:r>
                </w:p>
              </w:tc>
              <w:tc>
                <w:tcPr>
                  <w:tcW w:w="1707" w:type="pct"/>
                  <w:noWrap w:val="0"/>
                  <w:vAlign w:val="center"/>
                </w:tcPr>
                <w:p w14:paraId="6574396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项目建成后依法申请排污许可证，根据排污许可自行监测要求，定期开展自行监测。</w:t>
                  </w:r>
                </w:p>
              </w:tc>
              <w:tc>
                <w:tcPr>
                  <w:tcW w:w="458" w:type="pct"/>
                  <w:noWrap w:val="0"/>
                  <w:vAlign w:val="center"/>
                </w:tcPr>
                <w:p w14:paraId="307F9B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3DDBB89B">
            <w:pPr>
              <w:keepNext w:val="0"/>
              <w:keepLines w:val="0"/>
              <w:suppressLineNumbers w:val="0"/>
              <w:spacing w:before="120" w:beforeLines="5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根据上表分析可知，项目建设符合《挥发性有机物无组织排放控制标准》（GB37822-2019）的相关要求。</w:t>
            </w:r>
          </w:p>
          <w:p w14:paraId="4979D1F0">
            <w:pPr>
              <w:keepNext w:val="0"/>
              <w:keepLines w:val="0"/>
              <w:suppressLineNumbers w:val="0"/>
              <w:bidi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15</w:t>
            </w:r>
            <w:r>
              <w:rPr>
                <w:rFonts w:hint="default" w:ascii="Times New Roman" w:hAnsi="Times New Roman" w:eastAsia="宋体" w:cs="Times New Roman"/>
                <w:b/>
                <w:bCs/>
                <w:color w:val="auto"/>
                <w:sz w:val="24"/>
                <w:szCs w:val="24"/>
                <w:lang w:val="en-US" w:eastAsia="zh-CN"/>
              </w:rPr>
              <w:t>、项目与</w:t>
            </w:r>
            <w:r>
              <w:rPr>
                <w:rFonts w:hint="default" w:ascii="Times New Roman" w:hAnsi="Times New Roman" w:eastAsia="宋体" w:cs="Times New Roman"/>
                <w:b/>
                <w:bCs/>
                <w:color w:val="auto"/>
                <w:sz w:val="24"/>
                <w:szCs w:val="24"/>
                <w:highlight w:val="none"/>
                <w:lang w:val="en-US" w:eastAsia="zh-CN"/>
              </w:rPr>
              <w:t>《合成树脂工业污染物排放标准》（GB31572-2015）符合性分析</w:t>
            </w:r>
          </w:p>
          <w:p w14:paraId="10834464">
            <w:pPr>
              <w:keepNext w:val="0"/>
              <w:keepLines w:val="0"/>
              <w:suppressLineNumbers w:val="0"/>
              <w:bidi w:val="0"/>
              <w:spacing w:before="0" w:beforeAutospacing="0" w:after="0" w:afterAutospacing="0" w:line="360" w:lineRule="auto"/>
              <w:ind w:left="0" w:leftChars="0" w:right="0" w:firstLine="480" w:firstLineChars="200"/>
              <w:jc w:val="both"/>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项目与《合成树脂工业污染物排放标准》（GB31572-2015）符合性分析如下表所示。</w:t>
            </w:r>
          </w:p>
          <w:p w14:paraId="135F9C39">
            <w:pPr>
              <w:keepNext w:val="0"/>
              <w:keepLines w:val="0"/>
              <w:suppressLineNumbers w:val="0"/>
              <w:bidi w:val="0"/>
              <w:spacing w:before="0" w:beforeAutospacing="0" w:after="0" w:afterAutospacing="0" w:line="360" w:lineRule="auto"/>
              <w:ind w:left="0" w:leftChars="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表1-1</w:t>
            </w:r>
            <w:r>
              <w:rPr>
                <w:rFonts w:hint="eastAsia" w:cs="Times New Roman"/>
                <w:b/>
                <w:bCs/>
                <w:color w:val="auto"/>
                <w:sz w:val="21"/>
                <w:szCs w:val="21"/>
                <w:lang w:val="en-US" w:eastAsia="zh-CN"/>
              </w:rPr>
              <w:t>8</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sz w:val="21"/>
                <w:szCs w:val="21"/>
                <w:lang w:val="en-US" w:eastAsia="zh-CN"/>
              </w:rPr>
              <w:t>项目</w:t>
            </w:r>
            <w:r>
              <w:rPr>
                <w:rFonts w:hint="default" w:ascii="Times New Roman" w:hAnsi="Times New Roman" w:eastAsia="宋体" w:cs="Times New Roman"/>
                <w:b/>
                <w:bCs/>
                <w:color w:val="auto"/>
                <w:sz w:val="21"/>
                <w:szCs w:val="21"/>
              </w:rPr>
              <w:t>与《合成树脂工业污染物排放标准》（GB31572-2015）符合性分析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5" w:type="dxa"/>
                <w:bottom w:w="0" w:type="dxa"/>
                <w:right w:w="45" w:type="dxa"/>
              </w:tblCellMar>
            </w:tblPr>
            <w:tblGrid>
              <w:gridCol w:w="3623"/>
              <w:gridCol w:w="3412"/>
              <w:gridCol w:w="863"/>
            </w:tblGrid>
            <w:tr w14:paraId="67DC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tblHeader/>
                <w:jc w:val="center"/>
              </w:trPr>
              <w:tc>
                <w:tcPr>
                  <w:tcW w:w="3437" w:type="dxa"/>
                  <w:tcBorders>
                    <w:top w:val="single" w:color="auto" w:sz="4" w:space="0"/>
                    <w:left w:val="single" w:color="auto" w:sz="4" w:space="0"/>
                    <w:bottom w:val="single" w:color="auto" w:sz="4" w:space="0"/>
                    <w:right w:val="single" w:color="auto" w:sz="4" w:space="0"/>
                  </w:tcBorders>
                  <w:noWrap w:val="0"/>
                  <w:vAlign w:val="center"/>
                </w:tcPr>
                <w:p w14:paraId="5116F884">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《合成树脂工业污染物排放标准》</w:t>
                  </w:r>
                </w:p>
                <w:p w14:paraId="4C5ED084">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highlight w:val="none"/>
                      <w:lang w:val="en-US" w:eastAsia="zh-CN"/>
                    </w:rPr>
                    <w:t>（GB31572-2015）</w:t>
                  </w:r>
                  <w:r>
                    <w:rPr>
                      <w:rFonts w:hint="default" w:ascii="Times New Roman" w:hAnsi="Times New Roman" w:eastAsia="宋体" w:cs="Times New Roman"/>
                      <w:b/>
                      <w:bCs/>
                      <w:color w:val="auto"/>
                      <w:sz w:val="21"/>
                      <w:szCs w:val="21"/>
                      <w:lang w:val="en-US" w:eastAsia="zh-CN"/>
                    </w:rPr>
                    <w:t>要求如下</w:t>
                  </w:r>
                </w:p>
              </w:tc>
              <w:tc>
                <w:tcPr>
                  <w:tcW w:w="3237" w:type="dxa"/>
                  <w:tcBorders>
                    <w:top w:val="single" w:color="auto" w:sz="4" w:space="0"/>
                    <w:left w:val="single" w:color="auto" w:sz="4" w:space="0"/>
                    <w:bottom w:val="single" w:color="auto" w:sz="4" w:space="0"/>
                    <w:right w:val="single" w:color="auto" w:sz="4" w:space="0"/>
                  </w:tcBorders>
                  <w:noWrap w:val="0"/>
                  <w:vAlign w:val="center"/>
                </w:tcPr>
                <w:p w14:paraId="35C87B0B">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本项目情况</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316CDAEE">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相符性</w:t>
                  </w:r>
                </w:p>
              </w:tc>
            </w:tr>
            <w:tr w14:paraId="02ED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3437" w:type="dxa"/>
                  <w:tcBorders>
                    <w:top w:val="single" w:color="auto" w:sz="4" w:space="0"/>
                    <w:left w:val="single" w:color="auto" w:sz="4" w:space="0"/>
                    <w:bottom w:val="single" w:color="auto" w:sz="4" w:space="0"/>
                    <w:right w:val="single" w:color="auto" w:sz="4" w:space="0"/>
                  </w:tcBorders>
                  <w:noWrap w:val="0"/>
                  <w:vAlign w:val="center"/>
                </w:tcPr>
                <w:p w14:paraId="415EAF9F">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5.4.2合成树脂企业产生大气污染物的生产工艺和装置需设立局部或整体气体收集系统和净化处理装置，达标排放。排气筒高度应按环境影响评价要求确定，且至少不低于15m。</w:t>
                  </w:r>
                </w:p>
              </w:tc>
              <w:tc>
                <w:tcPr>
                  <w:tcW w:w="3237" w:type="dxa"/>
                  <w:tcBorders>
                    <w:top w:val="single" w:color="auto" w:sz="4" w:space="0"/>
                    <w:left w:val="single" w:color="auto" w:sz="4" w:space="0"/>
                    <w:bottom w:val="single" w:color="auto" w:sz="4" w:space="0"/>
                    <w:right w:val="single" w:color="auto" w:sz="4" w:space="0"/>
                  </w:tcBorders>
                  <w:noWrap w:val="0"/>
                  <w:vAlign w:val="center"/>
                </w:tcPr>
                <w:p w14:paraId="2199AF95">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项目热熔注塑工序产生的有机废气</w:t>
                  </w:r>
                  <w:r>
                    <w:rPr>
                      <w:rFonts w:hint="eastAsia" w:cs="Times New Roman"/>
                      <w:bCs/>
                      <w:color w:val="auto"/>
                      <w:sz w:val="21"/>
                      <w:szCs w:val="21"/>
                      <w:lang w:val="en-US" w:eastAsia="zh-CN"/>
                    </w:rPr>
                    <w:t>（以</w:t>
                  </w:r>
                  <w:r>
                    <w:rPr>
                      <w:rFonts w:hint="default" w:ascii="Times New Roman" w:hAnsi="Times New Roman" w:eastAsia="宋体" w:cs="Times New Roman"/>
                      <w:bCs/>
                      <w:color w:val="auto"/>
                      <w:sz w:val="21"/>
                      <w:szCs w:val="21"/>
                    </w:rPr>
                    <w:t>非甲烷总烃</w:t>
                  </w:r>
                  <w:r>
                    <w:rPr>
                      <w:rFonts w:hint="eastAsia" w:cs="Times New Roman"/>
                      <w:bCs/>
                      <w:color w:val="auto"/>
                      <w:sz w:val="21"/>
                      <w:szCs w:val="21"/>
                      <w:lang w:val="en-US" w:eastAsia="zh-CN"/>
                    </w:rPr>
                    <w:t>计）</w:t>
                  </w:r>
                  <w:r>
                    <w:rPr>
                      <w:rFonts w:hint="default" w:ascii="Times New Roman" w:hAnsi="Times New Roman" w:eastAsia="宋体" w:cs="Times New Roman"/>
                      <w:color w:val="auto"/>
                      <w:sz w:val="21"/>
                      <w:szCs w:val="21"/>
                      <w:lang w:val="en-US" w:eastAsia="zh-CN"/>
                    </w:rPr>
                    <w:t>经集气罩收集进入1套三级活性炭吸附装置处理后通过15m高排气筒（DA001）排放。根据废气污染源强核算，废气污染物排放满足《合成树脂工业污染物排放标准》（GB31572-2015含2024年修改单）标准要求。</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2FB2792C">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相符</w:t>
                  </w:r>
                </w:p>
              </w:tc>
            </w:tr>
            <w:tr w14:paraId="19A6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3437" w:type="dxa"/>
                  <w:tcBorders>
                    <w:top w:val="single" w:color="auto" w:sz="4" w:space="0"/>
                    <w:left w:val="single" w:color="auto" w:sz="4" w:space="0"/>
                    <w:bottom w:val="single" w:color="auto" w:sz="4" w:space="0"/>
                    <w:right w:val="single" w:color="auto" w:sz="4" w:space="0"/>
                  </w:tcBorders>
                  <w:noWrap w:val="0"/>
                  <w:vAlign w:val="center"/>
                </w:tcPr>
                <w:p w14:paraId="7F2106A5">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5.4.3废气收集系统</w:t>
                  </w:r>
                </w:p>
                <w:p w14:paraId="45C98A68">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收集系统需满足以下要求：a）生产设施应采用密闭式，并具有与废气收集系统有效连接的部件或装置；b）根据生产工艺、操作方式以及废气性质、处理和处置方法，设置不同的废气收集系统，尽可能对废气进行分质收集，各个废气收集系统均应实现压力损失平衡以及较高的收集效率；c）废气收集系统应综合考虑防火、防爆、防腐蚀、耐高温、防结露、防堵塞等问题。</w:t>
                  </w:r>
                </w:p>
              </w:tc>
              <w:tc>
                <w:tcPr>
                  <w:tcW w:w="3237" w:type="dxa"/>
                  <w:tcBorders>
                    <w:top w:val="single" w:color="auto" w:sz="4" w:space="0"/>
                    <w:left w:val="single" w:color="auto" w:sz="4" w:space="0"/>
                    <w:bottom w:val="single" w:color="auto" w:sz="4" w:space="0"/>
                    <w:right w:val="single" w:color="auto" w:sz="4" w:space="0"/>
                  </w:tcBorders>
                  <w:noWrap w:val="0"/>
                  <w:vAlign w:val="center"/>
                </w:tcPr>
                <w:p w14:paraId="5308488D">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①项目注塑机无法进行全密闭式收集，本次环评针对注塑机产生的挥发性有机物提出设置</w:t>
                  </w:r>
                  <w:r>
                    <w:rPr>
                      <w:rFonts w:hint="eastAsia" w:ascii="Times New Roman" w:cs="Times New Roman"/>
                      <w:color w:val="auto"/>
                      <w:sz w:val="21"/>
                      <w:szCs w:val="21"/>
                      <w:lang w:val="en-US" w:eastAsia="zh-CN"/>
                    </w:rPr>
                    <w:t>半密闭</w:t>
                  </w:r>
                  <w:r>
                    <w:rPr>
                      <w:rFonts w:hint="default" w:ascii="Times New Roman" w:hAnsi="Times New Roman" w:eastAsia="宋体" w:cs="Times New Roman"/>
                      <w:color w:val="auto"/>
                      <w:sz w:val="21"/>
                      <w:szCs w:val="21"/>
                      <w:lang w:val="en-US" w:eastAsia="zh-CN"/>
                    </w:rPr>
                    <w:t>集气罩进行收集。集气罩与活性炭吸附装置设置密闭的排气管道相连。②项目区仅涉及注塑机产生的挥发性有机物，不涉及分质收集。③项目废气收集系统设计时应综合考虑防火、防爆、防腐蚀、耐高温、防结露、防堵塞等问题。</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28A20C4A">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相符</w:t>
                  </w:r>
                </w:p>
              </w:tc>
            </w:tr>
            <w:tr w14:paraId="6527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3437" w:type="dxa"/>
                  <w:tcBorders>
                    <w:top w:val="single" w:color="auto" w:sz="4" w:space="0"/>
                    <w:left w:val="single" w:color="auto" w:sz="4" w:space="0"/>
                    <w:bottom w:val="single" w:color="auto" w:sz="4" w:space="0"/>
                    <w:right w:val="single" w:color="auto" w:sz="4" w:space="0"/>
                  </w:tcBorders>
                  <w:noWrap w:val="0"/>
                  <w:vAlign w:val="center"/>
                </w:tcPr>
                <w:p w14:paraId="54C79707">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5.4.4 废气处理装置</w:t>
                  </w:r>
                </w:p>
                <w:p w14:paraId="42121A27">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为保证废气处理装置的净化效果，需要在线测定相关工艺参数：吸附装置的吸附剂更换/再生周期、操作温度应满足设计参数的要求。</w:t>
                  </w:r>
                </w:p>
              </w:tc>
              <w:tc>
                <w:tcPr>
                  <w:tcW w:w="3237" w:type="dxa"/>
                  <w:tcBorders>
                    <w:top w:val="single" w:color="auto" w:sz="4" w:space="0"/>
                    <w:left w:val="single" w:color="auto" w:sz="4" w:space="0"/>
                    <w:bottom w:val="single" w:color="auto" w:sz="4" w:space="0"/>
                    <w:right w:val="single" w:color="auto" w:sz="4" w:space="0"/>
                  </w:tcBorders>
                  <w:noWrap w:val="0"/>
                  <w:vAlign w:val="center"/>
                </w:tcPr>
                <w:p w14:paraId="74B7C445">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项目拟设置的活性炭吸附装置根据设计参数定期进行更换，废弃活性炭</w:t>
                  </w:r>
                  <w:r>
                    <w:rPr>
                      <w:rFonts w:hint="default" w:ascii="Times New Roman" w:hAnsi="Times New Roman" w:eastAsia="宋体" w:cs="Times New Roman"/>
                      <w:bCs/>
                      <w:color w:val="auto"/>
                      <w:sz w:val="21"/>
                      <w:szCs w:val="21"/>
                    </w:rPr>
                    <w:t>暂存于</w:t>
                  </w:r>
                  <w:r>
                    <w:rPr>
                      <w:rFonts w:hint="eastAsia" w:ascii="Times New Roman" w:cs="Times New Roman"/>
                      <w:bCs/>
                      <w:color w:val="auto"/>
                      <w:sz w:val="21"/>
                      <w:szCs w:val="21"/>
                      <w:lang w:val="en-US" w:eastAsia="zh-CN"/>
                    </w:rPr>
                    <w:t>危废贮存库</w:t>
                  </w:r>
                  <w:r>
                    <w:rPr>
                      <w:rFonts w:hint="default" w:ascii="Times New Roman" w:hAnsi="Times New Roman" w:eastAsia="宋体" w:cs="Times New Roman"/>
                      <w:bCs/>
                      <w:color w:val="auto"/>
                      <w:sz w:val="21"/>
                      <w:szCs w:val="21"/>
                    </w:rPr>
                    <w:t>内，定期委托有资质的单位进行清运处置</w:t>
                  </w:r>
                  <w:r>
                    <w:rPr>
                      <w:rFonts w:hint="default" w:ascii="Times New Roman" w:hAnsi="Times New Roman" w:eastAsia="宋体" w:cs="Times New Roman"/>
                      <w:color w:val="auto"/>
                      <w:sz w:val="21"/>
                      <w:szCs w:val="21"/>
                      <w:lang w:val="en-US" w:eastAsia="zh-CN"/>
                    </w:rPr>
                    <w:t>。</w:t>
                  </w:r>
                </w:p>
              </w:tc>
              <w:tc>
                <w:tcPr>
                  <w:tcW w:w="818" w:type="dxa"/>
                  <w:tcBorders>
                    <w:top w:val="single" w:color="auto" w:sz="4" w:space="0"/>
                    <w:left w:val="single" w:color="auto" w:sz="4" w:space="0"/>
                    <w:bottom w:val="single" w:color="auto" w:sz="4" w:space="0"/>
                    <w:right w:val="single" w:color="auto" w:sz="4" w:space="0"/>
                  </w:tcBorders>
                  <w:noWrap w:val="0"/>
                  <w:vAlign w:val="center"/>
                </w:tcPr>
                <w:p w14:paraId="79F73A2F">
                  <w:pPr>
                    <w:pStyle w:val="81"/>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相符</w:t>
                  </w:r>
                </w:p>
              </w:tc>
            </w:tr>
          </w:tbl>
          <w:p w14:paraId="52515857">
            <w:pPr>
              <w:keepNext w:val="0"/>
              <w:keepLines w:val="0"/>
              <w:suppressLineNumbers w:val="0"/>
              <w:spacing w:before="120" w:beforeLines="50" w:beforeAutospacing="0" w:after="0" w:afterAutospacing="0" w:line="360" w:lineRule="auto"/>
              <w:ind w:left="0" w:right="0" w:firstLine="480" w:firstLineChars="200"/>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4"/>
                <w:lang w:val="en-US" w:eastAsia="zh-CN"/>
              </w:rPr>
              <w:t>根据上表分析可知</w:t>
            </w:r>
            <w:r>
              <w:rPr>
                <w:rFonts w:hint="default" w:ascii="Times New Roman" w:hAnsi="Times New Roman" w:eastAsia="宋体" w:cs="Times New Roman"/>
                <w:color w:val="auto"/>
                <w:sz w:val="24"/>
              </w:rPr>
              <w:t>，项目建设与《合成树脂工业污染物排放标准》（GB31572-2015）相符</w:t>
            </w:r>
            <w:r>
              <w:rPr>
                <w:rFonts w:hint="default" w:ascii="Times New Roman" w:hAnsi="Times New Roman" w:eastAsia="宋体" w:cs="Times New Roman"/>
                <w:color w:val="auto"/>
                <w:lang w:eastAsia="zh-CN"/>
              </w:rPr>
              <w:t>。</w:t>
            </w:r>
          </w:p>
          <w:p w14:paraId="153352D8">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i w:val="0"/>
                <w:iCs w:val="0"/>
                <w:caps w:val="0"/>
                <w:color w:val="auto"/>
                <w:spacing w:val="0"/>
                <w:sz w:val="24"/>
                <w:szCs w:val="24"/>
                <w:shd w:val="clear" w:fill="FFFFFF"/>
                <w:lang w:val="en-US" w:eastAsia="zh-CN"/>
              </w:rPr>
            </w:pPr>
            <w:r>
              <w:rPr>
                <w:rFonts w:hint="default" w:ascii="Times New Roman" w:hAnsi="Times New Roman" w:eastAsia="宋体" w:cs="Times New Roman"/>
                <w:b/>
                <w:bCs/>
                <w:color w:val="auto"/>
                <w:sz w:val="24"/>
                <w:szCs w:val="24"/>
                <w:lang w:val="en-US" w:eastAsia="zh-CN"/>
              </w:rPr>
              <w:t>16</w:t>
            </w: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项目与《美丽中国建设“十五五规划”》（</w:t>
            </w:r>
            <w:r>
              <w:rPr>
                <w:rFonts w:hint="default" w:ascii="Times New Roman" w:hAnsi="Times New Roman" w:eastAsia="宋体" w:cs="Times New Roman"/>
                <w:b/>
                <w:bCs/>
                <w:i w:val="0"/>
                <w:iCs w:val="0"/>
                <w:caps w:val="0"/>
                <w:color w:val="auto"/>
                <w:spacing w:val="0"/>
                <w:sz w:val="24"/>
                <w:szCs w:val="24"/>
                <w:shd w:val="clear" w:fill="FFFFFF"/>
              </w:rPr>
              <w:t>国发〔2026〕20号</w:t>
            </w:r>
            <w:r>
              <w:rPr>
                <w:rFonts w:hint="default" w:ascii="Times New Roman" w:hAnsi="Times New Roman" w:eastAsia="宋体" w:cs="Times New Roman"/>
                <w:b/>
                <w:bCs/>
                <w:color w:val="auto"/>
                <w:sz w:val="24"/>
                <w:szCs w:val="24"/>
                <w:lang w:val="en-US" w:eastAsia="zh-CN"/>
              </w:rPr>
              <w:t>）符合性分析</w:t>
            </w:r>
          </w:p>
          <w:p w14:paraId="094D84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i w:val="0"/>
                <w:iCs w:val="0"/>
                <w:caps w:val="0"/>
                <w:color w:val="auto"/>
                <w:spacing w:val="0"/>
                <w:sz w:val="24"/>
                <w:szCs w:val="24"/>
                <w:shd w:val="clear" w:fill="FFFFFF"/>
              </w:rPr>
              <w:t>“十五五”时期是美丽中国建设承前启后、扩面提质，实现生态环境根本好转的关键阶段。为全面推进“十五五”时期美丽中国建设，根据《中华人民共和国国民经济和社会发展第十五个五年规划纲要》，2026年6月21日</w:t>
            </w:r>
            <w:r>
              <w:rPr>
                <w:rFonts w:hint="default" w:ascii="Times New Roman" w:hAnsi="Times New Roman" w:eastAsia="宋体" w:cs="Times New Roman"/>
                <w:i w:val="0"/>
                <w:iCs w:val="0"/>
                <w:caps w:val="0"/>
                <w:color w:val="auto"/>
                <w:spacing w:val="0"/>
                <w:sz w:val="24"/>
                <w:szCs w:val="24"/>
                <w:shd w:val="clear" w:fill="FFFFFF"/>
                <w:lang w:eastAsia="zh-CN"/>
              </w:rPr>
              <w:t>，</w:t>
            </w:r>
            <w:r>
              <w:rPr>
                <w:rFonts w:hint="default" w:ascii="Times New Roman" w:hAnsi="Times New Roman" w:eastAsia="宋体" w:cs="Times New Roman"/>
                <w:i w:val="0"/>
                <w:iCs w:val="0"/>
                <w:caps w:val="0"/>
                <w:color w:val="auto"/>
                <w:spacing w:val="0"/>
                <w:sz w:val="24"/>
                <w:szCs w:val="24"/>
              </w:rPr>
              <w:t>国务院</w:t>
            </w:r>
            <w:r>
              <w:rPr>
                <w:rFonts w:hint="default" w:ascii="Times New Roman" w:hAnsi="Times New Roman" w:eastAsia="宋体" w:cs="Times New Roman"/>
                <w:i w:val="0"/>
                <w:iCs w:val="0"/>
                <w:caps w:val="0"/>
                <w:color w:val="auto"/>
                <w:spacing w:val="0"/>
                <w:sz w:val="24"/>
                <w:szCs w:val="24"/>
                <w:lang w:val="en-US" w:eastAsia="zh-CN"/>
              </w:rPr>
              <w:t>制定并</w:t>
            </w:r>
            <w:r>
              <w:rPr>
                <w:rFonts w:hint="default" w:ascii="Times New Roman" w:hAnsi="Times New Roman" w:eastAsia="宋体" w:cs="Times New Roman"/>
                <w:i w:val="0"/>
                <w:iCs w:val="0"/>
                <w:caps w:val="0"/>
                <w:color w:val="auto"/>
                <w:spacing w:val="0"/>
                <w:sz w:val="24"/>
                <w:szCs w:val="24"/>
              </w:rPr>
              <w:t>印发</w:t>
            </w:r>
            <w:r>
              <w:rPr>
                <w:rFonts w:hint="default" w:ascii="Times New Roman" w:hAnsi="Times New Roman" w:eastAsia="宋体" w:cs="Times New Roman"/>
                <w:i w:val="0"/>
                <w:iCs w:val="0"/>
                <w:caps w:val="0"/>
                <w:color w:val="auto"/>
                <w:spacing w:val="0"/>
                <w:sz w:val="24"/>
                <w:szCs w:val="24"/>
                <w:shd w:val="clear" w:fill="FFFFFF"/>
              </w:rPr>
              <w:t>《美丽中国建设“十五五”规划》。</w:t>
            </w:r>
            <w:r>
              <w:rPr>
                <w:rFonts w:hint="default" w:ascii="Times New Roman" w:hAnsi="Times New Roman" w:eastAsia="宋体" w:cs="Times New Roman"/>
                <w:i w:val="0"/>
                <w:iCs w:val="0"/>
                <w:caps w:val="0"/>
                <w:color w:val="auto"/>
                <w:spacing w:val="0"/>
                <w:sz w:val="24"/>
                <w:szCs w:val="24"/>
                <w:shd w:val="clear" w:fill="FFFFFF"/>
                <w:lang w:val="en-US" w:eastAsia="zh-CN"/>
              </w:rPr>
              <w:t>项目</w:t>
            </w:r>
            <w:r>
              <w:rPr>
                <w:rFonts w:hint="default" w:ascii="Times New Roman" w:hAnsi="Times New Roman" w:eastAsia="宋体" w:cs="Times New Roman"/>
                <w:b w:val="0"/>
                <w:bCs w:val="0"/>
                <w:color w:val="auto"/>
                <w:sz w:val="24"/>
                <w:szCs w:val="24"/>
                <w:lang w:val="en-US" w:eastAsia="zh-CN"/>
              </w:rPr>
              <w:t>与</w:t>
            </w:r>
            <w:r>
              <w:rPr>
                <w:rFonts w:hint="default" w:ascii="Times New Roman" w:hAnsi="Times New Roman" w:eastAsia="宋体" w:cs="Times New Roman"/>
                <w:color w:val="auto"/>
                <w:sz w:val="24"/>
                <w:szCs w:val="24"/>
                <w:lang w:val="en-US" w:eastAsia="zh-CN"/>
              </w:rPr>
              <w:t>《美丽中国建设“十五五规划”》符合性分析见表1-19。</w:t>
            </w:r>
          </w:p>
          <w:p w14:paraId="3D1EE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 xml:space="preserve">表1-19  </w:t>
            </w:r>
            <w:r>
              <w:rPr>
                <w:rFonts w:hint="default" w:ascii="Times New Roman" w:hAnsi="Times New Roman" w:eastAsia="宋体" w:cs="Times New Roman"/>
                <w:b/>
                <w:bCs/>
                <w:i w:val="0"/>
                <w:iCs w:val="0"/>
                <w:caps w:val="0"/>
                <w:color w:val="auto"/>
                <w:spacing w:val="0"/>
                <w:sz w:val="21"/>
                <w:szCs w:val="21"/>
                <w:shd w:val="clear" w:fill="FFFFFF"/>
                <w:lang w:val="en-US" w:eastAsia="zh-CN"/>
              </w:rPr>
              <w:t>项目</w:t>
            </w:r>
            <w:r>
              <w:rPr>
                <w:rFonts w:hint="default" w:ascii="Times New Roman" w:hAnsi="Times New Roman" w:eastAsia="宋体" w:cs="Times New Roman"/>
                <w:b/>
                <w:bCs/>
                <w:color w:val="auto"/>
                <w:sz w:val="21"/>
                <w:szCs w:val="21"/>
                <w:lang w:val="en-US" w:eastAsia="zh-CN"/>
              </w:rPr>
              <w:t>与《美丽中国建设“十五五规划”》（</w:t>
            </w:r>
            <w:r>
              <w:rPr>
                <w:rFonts w:hint="default" w:ascii="Times New Roman" w:hAnsi="Times New Roman" w:eastAsia="宋体" w:cs="Times New Roman"/>
                <w:b/>
                <w:bCs/>
                <w:i w:val="0"/>
                <w:iCs w:val="0"/>
                <w:caps w:val="0"/>
                <w:color w:val="auto"/>
                <w:spacing w:val="0"/>
                <w:sz w:val="21"/>
                <w:szCs w:val="21"/>
                <w:shd w:val="clear" w:fill="FFFFFF"/>
              </w:rPr>
              <w:t>国发〔2026〕20号</w:t>
            </w:r>
            <w:r>
              <w:rPr>
                <w:rFonts w:hint="default" w:ascii="Times New Roman" w:hAnsi="Times New Roman" w:eastAsia="宋体" w:cs="Times New Roman"/>
                <w:b/>
                <w:bCs/>
                <w:color w:val="auto"/>
                <w:sz w:val="21"/>
                <w:szCs w:val="21"/>
                <w:lang w:val="en-US" w:eastAsia="zh-CN"/>
              </w:rPr>
              <w:t>）符合性分析</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4467"/>
              <w:gridCol w:w="1815"/>
              <w:gridCol w:w="907"/>
            </w:tblGrid>
            <w:tr w14:paraId="3256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07A36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4467" w:type="dxa"/>
                  <w:vAlign w:val="center"/>
                </w:tcPr>
                <w:p w14:paraId="3D7F7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val="0"/>
                      <w:iCs w:val="0"/>
                      <w:caps w:val="0"/>
                      <w:color w:val="auto"/>
                      <w:spacing w:val="0"/>
                      <w:sz w:val="21"/>
                      <w:szCs w:val="21"/>
                      <w:shd w:val="clear" w:fill="FFFFFF"/>
                    </w:rPr>
                    <w:t>国发〔2026〕20号</w:t>
                  </w:r>
                  <w:r>
                    <w:rPr>
                      <w:rFonts w:hint="default" w:ascii="Times New Roman" w:hAnsi="Times New Roman" w:eastAsia="宋体" w:cs="Times New Roman"/>
                      <w:b/>
                      <w:bCs/>
                      <w:i w:val="0"/>
                      <w:iCs w:val="0"/>
                      <w:caps w:val="0"/>
                      <w:color w:val="auto"/>
                      <w:spacing w:val="0"/>
                      <w:sz w:val="21"/>
                      <w:szCs w:val="21"/>
                      <w:shd w:val="clear" w:fill="FFFFFF"/>
                      <w:lang w:val="en-US" w:eastAsia="zh-CN"/>
                    </w:rPr>
                    <w:t>要求</w:t>
                  </w:r>
                </w:p>
              </w:tc>
              <w:tc>
                <w:tcPr>
                  <w:tcW w:w="1815" w:type="dxa"/>
                  <w:vAlign w:val="center"/>
                </w:tcPr>
                <w:p w14:paraId="38D88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本项目情况</w:t>
                  </w:r>
                </w:p>
              </w:tc>
              <w:tc>
                <w:tcPr>
                  <w:tcW w:w="907" w:type="dxa"/>
                  <w:vAlign w:val="center"/>
                </w:tcPr>
                <w:p w14:paraId="69EB6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符合性</w:t>
                  </w:r>
                </w:p>
              </w:tc>
            </w:tr>
            <w:tr w14:paraId="43FC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5E133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w:t>
                  </w:r>
                </w:p>
              </w:tc>
              <w:tc>
                <w:tcPr>
                  <w:tcW w:w="4467" w:type="dxa"/>
                </w:tcPr>
                <w:p w14:paraId="07A5A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一）推动空气质量持续改善。优化国家大气污染防治分区。加强城市空气质量达标管理。深入推进水泥、焦化等重点行业超低排放改造，鼓励垃圾焚烧企业超低排放改造。研究制修订重点产品VOCs含量限值强制性国家标准，推动VOCs源头替代和全流程治理。开展传统涉气产业集群整治提升。实施低效失效大气污染治理设施排查整治。深化大气环境绩效分级管理，开展绩效等级提升行动。完善清洁取暖运行保障长效机制。持续推进区域联防联控，有效应对长时间大范围污染过程。加强长江中游、成渝等区域大气污染防治。严厉打击非法生产、销售、使用消耗臭氧层物质行为。加强秸秆焚烧分区管控和综合利用，严防秸秆集中焚烧引发重污染天气。加强规模化畜禽养殖场大气氨排放全过程管理，推动京津冀及周边地区大气氨排放总量下降。探索恶臭、餐饮油烟污染分级分类管控。深化城市扬尘污染综合治理。建立噪声问题综合治理清单，推进宁静小区等建设。</w:t>
                  </w:r>
                </w:p>
              </w:tc>
              <w:tc>
                <w:tcPr>
                  <w:tcW w:w="1815" w:type="dxa"/>
                </w:tcPr>
                <w:p w14:paraId="0676E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本项目为塑料</w:t>
                  </w:r>
                  <w:r>
                    <w:rPr>
                      <w:rFonts w:hint="eastAsia" w:ascii="Times New Roman" w:hAnsi="Times New Roman" w:eastAsia="宋体" w:cs="Times New Roman"/>
                      <w:color w:val="auto"/>
                      <w:sz w:val="21"/>
                      <w:szCs w:val="21"/>
                      <w:vertAlign w:val="baseline"/>
                      <w:lang w:val="en-US" w:eastAsia="zh-CN"/>
                    </w:rPr>
                    <w:t>制品</w:t>
                  </w:r>
                  <w:r>
                    <w:rPr>
                      <w:rFonts w:hint="default" w:ascii="Times New Roman" w:hAnsi="Times New Roman" w:eastAsia="宋体" w:cs="Times New Roman"/>
                      <w:color w:val="auto"/>
                      <w:sz w:val="21"/>
                      <w:szCs w:val="21"/>
                      <w:vertAlign w:val="baseline"/>
                      <w:lang w:val="en-US" w:eastAsia="zh-CN"/>
                    </w:rPr>
                    <w:t>生产项目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 xml:space="preserve">生产拌料、注塑工序产生VOCs，项目通过加强车间密闭，有机废气收集后经废气治理设施处理后达标排放，落实VOCs管控要求；项目不属于水泥、焦化、垃圾焚烧、规模化畜禽养殖行业，不涉及消耗臭氧层物质、秸秆焚烧；项目厂房为租赁已建成厂房，无土建施工扬尘；运营期合理控制设备噪声，做好噪声减振降噪措施。 </w:t>
                  </w:r>
                </w:p>
              </w:tc>
              <w:tc>
                <w:tcPr>
                  <w:tcW w:w="907" w:type="dxa"/>
                  <w:vAlign w:val="center"/>
                </w:tcPr>
                <w:p w14:paraId="53BD6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符合</w:t>
                  </w:r>
                </w:p>
              </w:tc>
            </w:tr>
            <w:tr w14:paraId="1B2B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Align w:val="center"/>
                </w:tcPr>
                <w:p w14:paraId="2C4E1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tc>
              <w:tc>
                <w:tcPr>
                  <w:tcW w:w="4467" w:type="dxa"/>
                </w:tcPr>
                <w:p w14:paraId="7881E1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aps w:val="0"/>
                      <w:color w:val="auto"/>
                      <w:spacing w:val="0"/>
                      <w:sz w:val="21"/>
                      <w:szCs w:val="21"/>
                      <w:shd w:val="clear" w:fill="FFFFFF"/>
                    </w:rPr>
                    <w:t>（五）实施固体废物综合治理。强化工业固体废物全链条管控和规模化消纳利用，推动重点行业固体废物产生量与综合消纳量逐步实现动态平衡。扎实推进非法倾倒处置固体废物、溶洞垃圾污染等专项整治。实施堆（渣）场、危险废物填埋场、磷石膏库等环境风险隐患排查整治，完成60%以上的历史遗留固体废物堆存场所治理，危险废物填埋处置量占比控制在10%以内。优化尾矿库分类分级环境监管制度，开展污染动态评估和监控预警。优化危险废物利用处置结构，推进设施提标改造。健全小微企业危险废物收集体系。推进全国危险废物产生单位“五即”（即产生、即包装、即称重、即打码、即入库）规范化建设，强化危险废物“一码贯通”全过程监管。</w:t>
                  </w:r>
                </w:p>
              </w:tc>
              <w:tc>
                <w:tcPr>
                  <w:tcW w:w="1815" w:type="dxa"/>
                </w:tcPr>
                <w:p w14:paraId="543F64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项目废边角料</w:t>
                  </w:r>
                  <w:r>
                    <w:rPr>
                      <w:rFonts w:hint="eastAsia" w:cs="Times New Roman"/>
                      <w:color w:val="auto"/>
                      <w:sz w:val="21"/>
                      <w:szCs w:val="21"/>
                      <w:vertAlign w:val="baseline"/>
                      <w:lang w:val="en-US" w:eastAsia="zh-CN"/>
                    </w:rPr>
                    <w:t>及</w:t>
                  </w:r>
                  <w:r>
                    <w:rPr>
                      <w:rFonts w:hint="default" w:ascii="Times New Roman" w:hAnsi="Times New Roman" w:eastAsia="宋体" w:cs="Times New Roman"/>
                      <w:color w:val="auto"/>
                      <w:sz w:val="21"/>
                      <w:szCs w:val="21"/>
                      <w:vertAlign w:val="baseline"/>
                      <w:lang w:val="en-US" w:eastAsia="zh-CN"/>
                    </w:rPr>
                    <w:t>生产不合格产品破碎后回用于生产，实现固废源头减量；一般工业</w:t>
                  </w:r>
                  <w:r>
                    <w:rPr>
                      <w:rFonts w:hint="eastAsia" w:cs="Times New Roman"/>
                      <w:color w:val="auto"/>
                      <w:sz w:val="21"/>
                      <w:szCs w:val="21"/>
                      <w:vertAlign w:val="baseline"/>
                      <w:lang w:val="en-US" w:eastAsia="zh-CN"/>
                    </w:rPr>
                    <w:t>固废</w:t>
                  </w:r>
                  <w:r>
                    <w:rPr>
                      <w:rFonts w:hint="default" w:ascii="Times New Roman" w:hAnsi="Times New Roman" w:eastAsia="宋体" w:cs="Times New Roman"/>
                      <w:color w:val="auto"/>
                      <w:sz w:val="21"/>
                      <w:szCs w:val="21"/>
                      <w:vertAlign w:val="baseline"/>
                      <w:lang w:val="en-US" w:eastAsia="zh-CN"/>
                    </w:rPr>
                    <w:t>分类收集，</w:t>
                  </w:r>
                  <w:r>
                    <w:rPr>
                      <w:rFonts w:hint="eastAsia" w:ascii="Times New Roman" w:hAnsi="Times New Roman" w:eastAsia="宋体" w:cs="Times New Roman"/>
                      <w:color w:val="auto"/>
                      <w:sz w:val="21"/>
                      <w:szCs w:val="21"/>
                      <w:vertAlign w:val="baseline"/>
                      <w:lang w:val="en-US" w:eastAsia="zh-CN"/>
                    </w:rPr>
                    <w:t>包装固废</w:t>
                  </w:r>
                  <w:r>
                    <w:rPr>
                      <w:rFonts w:hint="default" w:ascii="Times New Roman" w:hAnsi="Times New Roman" w:eastAsia="宋体" w:cs="Times New Roman"/>
                      <w:color w:val="auto"/>
                      <w:sz w:val="21"/>
                      <w:szCs w:val="21"/>
                      <w:vertAlign w:val="baseline"/>
                      <w:lang w:val="en-US" w:eastAsia="zh-CN"/>
                    </w:rPr>
                    <w:t>外售回收单位资源化利用；</w:t>
                  </w:r>
                  <w:r>
                    <w:rPr>
                      <w:rStyle w:val="46"/>
                      <w:rFonts w:hint="default" w:ascii="Times New Roman" w:hAnsi="Times New Roman" w:eastAsia="宋体" w:cs="Times New Roman"/>
                      <w:b w:val="0"/>
                      <w:bCs w:val="0"/>
                      <w:color w:val="auto"/>
                      <w:sz w:val="21"/>
                      <w:szCs w:val="21"/>
                      <w:vertAlign w:val="baseline"/>
                      <w:lang w:val="en-US" w:eastAsia="zh-CN"/>
                    </w:rPr>
                    <w:t>危险废物（</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Style w:val="46"/>
                      <w:rFonts w:hint="default" w:ascii="Times New Roman" w:hAnsi="Times New Roman" w:eastAsia="宋体" w:cs="Times New Roman"/>
                      <w:b w:val="0"/>
                      <w:bCs w:val="0"/>
                      <w:color w:val="auto"/>
                      <w:sz w:val="21"/>
                      <w:szCs w:val="21"/>
                      <w:vertAlign w:val="baseline"/>
                      <w:lang w:val="en-US" w:eastAsia="zh-CN"/>
                    </w:rPr>
                    <w:t>等）设置规范</w:t>
                  </w:r>
                  <w:r>
                    <w:rPr>
                      <w:rStyle w:val="46"/>
                      <w:rFonts w:hint="eastAsia" w:cs="Times New Roman"/>
                      <w:b w:val="0"/>
                      <w:bCs w:val="0"/>
                      <w:color w:val="auto"/>
                      <w:sz w:val="21"/>
                      <w:szCs w:val="21"/>
                      <w:vertAlign w:val="baseline"/>
                      <w:lang w:val="en-US" w:eastAsia="zh-CN"/>
                    </w:rPr>
                    <w:t>危废贮存库</w:t>
                  </w:r>
                  <w:r>
                    <w:rPr>
                      <w:rStyle w:val="46"/>
                      <w:rFonts w:hint="default" w:ascii="Times New Roman" w:hAnsi="Times New Roman" w:eastAsia="宋体" w:cs="Times New Roman"/>
                      <w:b w:val="0"/>
                      <w:bCs w:val="0"/>
                      <w:color w:val="auto"/>
                      <w:sz w:val="21"/>
                      <w:szCs w:val="21"/>
                      <w:vertAlign w:val="baseline"/>
                      <w:lang w:val="en-US" w:eastAsia="zh-CN"/>
                    </w:rPr>
                    <w:t>，分类分区存放，委托具备资质单位安全处置，建立固废危废管理台账，落实转移联单制度</w:t>
                  </w:r>
                  <w:r>
                    <w:rPr>
                      <w:rFonts w:hint="default" w:ascii="Times New Roman" w:hAnsi="Times New Roman" w:eastAsia="宋体" w:cs="Times New Roman"/>
                      <w:color w:val="auto"/>
                      <w:sz w:val="21"/>
                      <w:szCs w:val="21"/>
                      <w:vertAlign w:val="baseline"/>
                      <w:lang w:val="en-US" w:eastAsia="zh-CN"/>
                    </w:rPr>
                    <w:t>。</w:t>
                  </w:r>
                </w:p>
              </w:tc>
              <w:tc>
                <w:tcPr>
                  <w:tcW w:w="907" w:type="dxa"/>
                  <w:vAlign w:val="center"/>
                </w:tcPr>
                <w:p w14:paraId="0EFFF3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符合</w:t>
                  </w:r>
                </w:p>
              </w:tc>
            </w:tr>
          </w:tbl>
          <w:p w14:paraId="1AAFD36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color w:val="auto"/>
                <w:lang w:val="en-US" w:eastAsia="zh-CN"/>
              </w:rPr>
            </w:pPr>
            <w:r>
              <w:rPr>
                <w:rFonts w:hint="default" w:ascii="Times New Roman" w:hAnsi="Times New Roman" w:eastAsia="宋体" w:cs="Times New Roman"/>
                <w:color w:val="auto"/>
                <w:sz w:val="24"/>
                <w:lang w:val="en-US" w:eastAsia="zh-CN"/>
              </w:rPr>
              <w:t>根据上表分析可知</w:t>
            </w:r>
            <w:r>
              <w:rPr>
                <w:rFonts w:hint="default" w:ascii="Times New Roman" w:hAnsi="Times New Roman" w:eastAsia="宋体" w:cs="Times New Roman"/>
                <w:color w:val="auto"/>
                <w:sz w:val="24"/>
              </w:rPr>
              <w:t>，项目建设与</w:t>
            </w:r>
            <w:r>
              <w:rPr>
                <w:rFonts w:hint="default" w:ascii="Times New Roman" w:hAnsi="Times New Roman" w:eastAsia="宋体" w:cs="Times New Roman"/>
                <w:color w:val="auto"/>
                <w:sz w:val="24"/>
                <w:szCs w:val="24"/>
                <w:lang w:val="en-US" w:eastAsia="zh-CN"/>
              </w:rPr>
              <w:t>《美丽中国建设“十五五规划”》</w:t>
            </w:r>
            <w:r>
              <w:rPr>
                <w:rFonts w:hint="default" w:ascii="Times New Roman" w:hAnsi="Times New Roman" w:eastAsia="宋体" w:cs="Times New Roman"/>
                <w:color w:val="auto"/>
                <w:sz w:val="24"/>
              </w:rPr>
              <w:t>（</w:t>
            </w:r>
            <w:r>
              <w:rPr>
                <w:rFonts w:hint="default" w:ascii="Times New Roman" w:hAnsi="Times New Roman" w:eastAsia="宋体" w:cs="Times New Roman"/>
                <w:b w:val="0"/>
                <w:bCs w:val="0"/>
                <w:i w:val="0"/>
                <w:iCs w:val="0"/>
                <w:caps w:val="0"/>
                <w:color w:val="auto"/>
                <w:spacing w:val="0"/>
                <w:sz w:val="24"/>
                <w:szCs w:val="24"/>
                <w:shd w:val="clear" w:fill="FFFFFF"/>
              </w:rPr>
              <w:t>国发〔2026〕20号</w:t>
            </w:r>
            <w:r>
              <w:rPr>
                <w:rFonts w:hint="default" w:ascii="Times New Roman" w:hAnsi="Times New Roman" w:eastAsia="宋体" w:cs="Times New Roman"/>
                <w:color w:val="auto"/>
                <w:sz w:val="24"/>
              </w:rPr>
              <w:t>）相符</w:t>
            </w:r>
            <w:r>
              <w:rPr>
                <w:rFonts w:hint="default" w:ascii="Times New Roman" w:hAnsi="Times New Roman" w:eastAsia="宋体" w:cs="Times New Roman"/>
                <w:color w:val="auto"/>
                <w:lang w:eastAsia="zh-CN"/>
              </w:rPr>
              <w:t>。</w:t>
            </w:r>
          </w:p>
          <w:p w14:paraId="030B7B8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17</w:t>
            </w: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项目与</w:t>
            </w:r>
            <w:r>
              <w:rPr>
                <w:rFonts w:hint="default" w:ascii="Times New Roman" w:hAnsi="Times New Roman" w:eastAsia="宋体" w:cs="Times New Roman"/>
                <w:b/>
                <w:bCs/>
                <w:color w:val="auto"/>
                <w:sz w:val="24"/>
                <w:szCs w:val="24"/>
                <w:highlight w:val="none"/>
                <w:lang w:val="en-US" w:eastAsia="zh-CN"/>
              </w:rPr>
              <w:t>《固体废物污染防治“十五五”规划》</w:t>
            </w:r>
            <w:r>
              <w:rPr>
                <w:rFonts w:hint="default" w:ascii="Times New Roman" w:hAnsi="Times New Roman" w:eastAsia="宋体" w:cs="Times New Roman"/>
                <w:b/>
                <w:bCs/>
                <w:color w:val="auto"/>
                <w:sz w:val="24"/>
                <w:szCs w:val="24"/>
                <w:lang w:val="en-US" w:eastAsia="zh-CN"/>
              </w:rPr>
              <w:t>符合性分析</w:t>
            </w:r>
          </w:p>
          <w:p w14:paraId="4E5180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i w:val="0"/>
                <w:iCs w:val="0"/>
                <w:caps w:val="0"/>
                <w:color w:val="auto"/>
                <w:spacing w:val="0"/>
                <w:sz w:val="24"/>
                <w:szCs w:val="24"/>
                <w:shd w:val="clear" w:fill="FFFFFF"/>
              </w:rPr>
              <w:t>2026年7月9日</w:t>
            </w:r>
            <w:r>
              <w:rPr>
                <w:rFonts w:hint="default" w:ascii="Times New Roman" w:hAnsi="Times New Roman" w:eastAsia="宋体" w:cs="Times New Roman"/>
                <w:i w:val="0"/>
                <w:iCs w:val="0"/>
                <w:caps w:val="0"/>
                <w:color w:val="auto"/>
                <w:spacing w:val="0"/>
                <w:sz w:val="24"/>
                <w:szCs w:val="24"/>
                <w:shd w:val="clear" w:fill="FFFFFF"/>
                <w:lang w:eastAsia="zh-CN"/>
              </w:rPr>
              <w:t>，</w:t>
            </w:r>
            <w:r>
              <w:rPr>
                <w:rFonts w:hint="default" w:ascii="Times New Roman" w:hAnsi="Times New Roman" w:eastAsia="宋体" w:cs="Times New Roman"/>
                <w:i w:val="0"/>
                <w:iCs w:val="0"/>
                <w:caps w:val="0"/>
                <w:color w:val="auto"/>
                <w:spacing w:val="0"/>
                <w:sz w:val="24"/>
                <w:szCs w:val="24"/>
                <w:shd w:val="clear" w:fill="FFFFFF"/>
              </w:rPr>
              <w:t>为贯彻落实党中央、国务院决策部署，全面系统强化固体废物污染防治，生态环境部、国家发展改革委、工业和信息化部、住房城乡建</w:t>
            </w:r>
            <w:r>
              <w:rPr>
                <w:rFonts w:hint="default" w:ascii="Times New Roman" w:hAnsi="Times New Roman" w:eastAsia="宋体" w:cs="Times New Roman"/>
                <w:b w:val="0"/>
                <w:bCs w:val="0"/>
                <w:i w:val="0"/>
                <w:iCs w:val="0"/>
                <w:caps w:val="0"/>
                <w:color w:val="auto"/>
                <w:spacing w:val="0"/>
                <w:sz w:val="24"/>
                <w:szCs w:val="24"/>
                <w:shd w:val="clear" w:fill="FFFFFF"/>
              </w:rPr>
              <w:t>设部、农业农村部、商务部编制了</w:t>
            </w:r>
            <w:r>
              <w:rPr>
                <w:rFonts w:hint="default" w:ascii="Times New Roman" w:hAnsi="Times New Roman" w:eastAsia="宋体" w:cs="Times New Roman"/>
                <w:b w:val="0"/>
                <w:bCs w:val="0"/>
                <w:i w:val="0"/>
                <w:iCs w:val="0"/>
                <w:caps w:val="0"/>
                <w:color w:val="auto"/>
                <w:spacing w:val="0"/>
                <w:sz w:val="24"/>
                <w:szCs w:val="24"/>
                <w:u w:val="none"/>
                <w:shd w:val="clear" w:fill="FFFFFF"/>
              </w:rPr>
              <w:fldChar w:fldCharType="begin"/>
            </w:r>
            <w:r>
              <w:rPr>
                <w:rFonts w:hint="default" w:ascii="Times New Roman" w:hAnsi="Times New Roman" w:eastAsia="宋体" w:cs="Times New Roman"/>
                <w:b w:val="0"/>
                <w:bCs w:val="0"/>
                <w:i w:val="0"/>
                <w:iCs w:val="0"/>
                <w:caps w:val="0"/>
                <w:color w:val="auto"/>
                <w:spacing w:val="0"/>
                <w:sz w:val="24"/>
                <w:szCs w:val="24"/>
                <w:u w:val="none"/>
                <w:shd w:val="clear" w:fill="FFFFFF"/>
              </w:rPr>
              <w:instrText xml:space="preserve"> HYPERLINK "https://www.mee.gov.cn/xxgk2018/xxgk/xxgk03/202607/W020260714564904834404.pdf" </w:instrText>
            </w:r>
            <w:r>
              <w:rPr>
                <w:rFonts w:hint="default" w:ascii="Times New Roman" w:hAnsi="Times New Roman" w:eastAsia="宋体" w:cs="Times New Roman"/>
                <w:b w:val="0"/>
                <w:bCs w:val="0"/>
                <w:i w:val="0"/>
                <w:iCs w:val="0"/>
                <w:caps w:val="0"/>
                <w:color w:val="auto"/>
                <w:spacing w:val="0"/>
                <w:sz w:val="24"/>
                <w:szCs w:val="24"/>
                <w:u w:val="none"/>
                <w:shd w:val="clear" w:fill="FFFFFF"/>
              </w:rPr>
              <w:fldChar w:fldCharType="separate"/>
            </w:r>
            <w:r>
              <w:rPr>
                <w:rStyle w:val="43"/>
                <w:rFonts w:hint="default" w:ascii="Times New Roman" w:hAnsi="Times New Roman" w:eastAsia="宋体" w:cs="Times New Roman"/>
                <w:b w:val="0"/>
                <w:bCs w:val="0"/>
                <w:i w:val="0"/>
                <w:iCs w:val="0"/>
                <w:caps w:val="0"/>
                <w:color w:val="auto"/>
                <w:spacing w:val="0"/>
                <w:sz w:val="24"/>
                <w:szCs w:val="24"/>
                <w:u w:val="none"/>
                <w:shd w:val="clear" w:fill="FFFFFF"/>
              </w:rPr>
              <w:t>《固体废物污染防治“十五五”规划》</w:t>
            </w:r>
            <w:r>
              <w:rPr>
                <w:rFonts w:hint="default" w:ascii="Times New Roman" w:hAnsi="Times New Roman" w:eastAsia="宋体" w:cs="Times New Roman"/>
                <w:b w:val="0"/>
                <w:bCs w:val="0"/>
                <w:i w:val="0"/>
                <w:iCs w:val="0"/>
                <w:caps w:val="0"/>
                <w:color w:val="auto"/>
                <w:spacing w:val="0"/>
                <w:sz w:val="24"/>
                <w:szCs w:val="24"/>
                <w:u w:val="none"/>
                <w:shd w:val="clear" w:fill="FFFFFF"/>
              </w:rPr>
              <w:fldChar w:fldCharType="end"/>
            </w:r>
            <w:r>
              <w:rPr>
                <w:rFonts w:hint="default" w:ascii="Times New Roman" w:hAnsi="Times New Roman" w:eastAsia="宋体" w:cs="Times New Roman"/>
                <w:b w:val="0"/>
                <w:bCs w:val="0"/>
                <w:i w:val="0"/>
                <w:iCs w:val="0"/>
                <w:caps w:val="0"/>
                <w:color w:val="auto"/>
                <w:spacing w:val="0"/>
                <w:sz w:val="24"/>
                <w:szCs w:val="24"/>
                <w:shd w:val="clear" w:fill="FFFFFF"/>
              </w:rPr>
              <w:t>。</w:t>
            </w:r>
            <w:r>
              <w:rPr>
                <w:rFonts w:hint="default" w:ascii="Times New Roman" w:hAnsi="Times New Roman" w:eastAsia="宋体" w:cs="Times New Roman"/>
                <w:b w:val="0"/>
                <w:bCs w:val="0"/>
                <w:color w:val="auto"/>
                <w:sz w:val="24"/>
                <w:szCs w:val="24"/>
                <w:lang w:val="en-US" w:eastAsia="zh-CN"/>
              </w:rPr>
              <w:t>项目与</w:t>
            </w:r>
            <w:r>
              <w:rPr>
                <w:rFonts w:hint="default" w:ascii="Times New Roman" w:hAnsi="Times New Roman" w:eastAsia="宋体" w:cs="Times New Roman"/>
                <w:b w:val="0"/>
                <w:bCs w:val="0"/>
                <w:color w:val="auto"/>
                <w:sz w:val="24"/>
                <w:szCs w:val="24"/>
                <w:highlight w:val="none"/>
                <w:lang w:val="en-US" w:eastAsia="zh-CN"/>
              </w:rPr>
              <w:t>《固体废物污染防治“十五五”规划》</w:t>
            </w:r>
            <w:r>
              <w:rPr>
                <w:rFonts w:hint="default" w:ascii="Times New Roman" w:hAnsi="Times New Roman" w:eastAsia="宋体" w:cs="Times New Roman"/>
                <w:b w:val="0"/>
                <w:bCs w:val="0"/>
                <w:color w:val="auto"/>
                <w:sz w:val="24"/>
                <w:szCs w:val="24"/>
                <w:lang w:val="en-US" w:eastAsia="zh-CN"/>
              </w:rPr>
              <w:t>符合性分析见表1-20。</w:t>
            </w:r>
          </w:p>
          <w:p w14:paraId="2A7AE6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表1-</w:t>
            </w:r>
            <w:r>
              <w:rPr>
                <w:rFonts w:hint="eastAsia" w:cs="Times New Roman"/>
                <w:b/>
                <w:bCs/>
                <w:color w:val="auto"/>
                <w:sz w:val="21"/>
                <w:szCs w:val="21"/>
                <w:lang w:val="en-US" w:eastAsia="zh-CN"/>
              </w:rPr>
              <w:t>20</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i w:val="0"/>
                <w:iCs w:val="0"/>
                <w:caps w:val="0"/>
                <w:color w:val="auto"/>
                <w:spacing w:val="0"/>
                <w:sz w:val="21"/>
                <w:szCs w:val="21"/>
                <w:shd w:val="clear" w:fill="FFFFFF"/>
                <w:lang w:val="en-US" w:eastAsia="zh-CN"/>
              </w:rPr>
              <w:t>项目</w:t>
            </w:r>
            <w:r>
              <w:rPr>
                <w:rFonts w:hint="eastAsia" w:ascii="宋体" w:hAnsi="宋体" w:eastAsia="宋体" w:cs="宋体"/>
                <w:b/>
                <w:bCs/>
                <w:color w:val="auto"/>
                <w:sz w:val="21"/>
                <w:szCs w:val="21"/>
                <w:lang w:val="en-US" w:eastAsia="zh-CN"/>
              </w:rPr>
              <w:t>与</w:t>
            </w:r>
            <w:r>
              <w:rPr>
                <w:rFonts w:hint="eastAsia" w:ascii="宋体" w:hAnsi="宋体" w:eastAsia="宋体" w:cs="宋体"/>
                <w:b/>
                <w:bCs/>
                <w:i w:val="0"/>
                <w:iCs w:val="0"/>
                <w:caps w:val="0"/>
                <w:color w:val="auto"/>
                <w:spacing w:val="0"/>
                <w:sz w:val="21"/>
                <w:szCs w:val="21"/>
                <w:u w:val="none"/>
                <w:shd w:val="clear" w:fill="FFFFFF"/>
              </w:rPr>
              <w:fldChar w:fldCharType="begin"/>
            </w:r>
            <w:r>
              <w:rPr>
                <w:rFonts w:hint="eastAsia" w:ascii="宋体" w:hAnsi="宋体" w:eastAsia="宋体" w:cs="宋体"/>
                <w:b/>
                <w:bCs/>
                <w:i w:val="0"/>
                <w:iCs w:val="0"/>
                <w:caps w:val="0"/>
                <w:color w:val="auto"/>
                <w:spacing w:val="0"/>
                <w:sz w:val="21"/>
                <w:szCs w:val="21"/>
                <w:u w:val="none"/>
                <w:shd w:val="clear" w:fill="FFFFFF"/>
              </w:rPr>
              <w:instrText xml:space="preserve"> HYPERLINK "https://www.mee.gov.cn/xxgk2018/xxgk/xxgk03/202607/W020260714564904834404.pdf" </w:instrText>
            </w:r>
            <w:r>
              <w:rPr>
                <w:rFonts w:hint="eastAsia" w:ascii="宋体" w:hAnsi="宋体" w:eastAsia="宋体" w:cs="宋体"/>
                <w:b/>
                <w:bCs/>
                <w:i w:val="0"/>
                <w:iCs w:val="0"/>
                <w:caps w:val="0"/>
                <w:color w:val="auto"/>
                <w:spacing w:val="0"/>
                <w:sz w:val="21"/>
                <w:szCs w:val="21"/>
                <w:u w:val="none"/>
                <w:shd w:val="clear" w:fill="FFFFFF"/>
              </w:rPr>
              <w:fldChar w:fldCharType="separate"/>
            </w:r>
            <w:r>
              <w:rPr>
                <w:rStyle w:val="43"/>
                <w:rFonts w:hint="eastAsia" w:ascii="宋体" w:hAnsi="宋体" w:eastAsia="宋体" w:cs="宋体"/>
                <w:b/>
                <w:bCs/>
                <w:i w:val="0"/>
                <w:iCs w:val="0"/>
                <w:caps w:val="0"/>
                <w:color w:val="auto"/>
                <w:spacing w:val="0"/>
                <w:sz w:val="21"/>
                <w:szCs w:val="21"/>
                <w:u w:val="none"/>
                <w:shd w:val="clear" w:fill="FFFFFF"/>
              </w:rPr>
              <w:t>《固体废物污染防治“十五五”规划》</w:t>
            </w:r>
            <w:r>
              <w:rPr>
                <w:rFonts w:hint="eastAsia" w:ascii="宋体" w:hAnsi="宋体" w:eastAsia="宋体" w:cs="宋体"/>
                <w:b/>
                <w:bCs/>
                <w:i w:val="0"/>
                <w:iCs w:val="0"/>
                <w:caps w:val="0"/>
                <w:color w:val="auto"/>
                <w:spacing w:val="0"/>
                <w:sz w:val="21"/>
                <w:szCs w:val="21"/>
                <w:u w:val="none"/>
                <w:shd w:val="clear" w:fill="FFFFFF"/>
              </w:rPr>
              <w:fldChar w:fldCharType="end"/>
            </w:r>
            <w:r>
              <w:rPr>
                <w:rFonts w:hint="eastAsia" w:ascii="宋体" w:hAnsi="宋体" w:eastAsia="宋体" w:cs="宋体"/>
                <w:b/>
                <w:bCs/>
                <w:color w:val="auto"/>
                <w:sz w:val="21"/>
                <w:szCs w:val="21"/>
                <w:lang w:val="en-US" w:eastAsia="zh-CN"/>
              </w:rPr>
              <w:t>符合性分析</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4467"/>
              <w:gridCol w:w="1815"/>
              <w:gridCol w:w="907"/>
            </w:tblGrid>
            <w:tr w14:paraId="6162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76" w:type="dxa"/>
                  <w:gridSpan w:val="2"/>
                  <w:vAlign w:val="center"/>
                </w:tcPr>
                <w:p w14:paraId="052E1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val="0"/>
                      <w:iCs w:val="0"/>
                      <w:caps w:val="0"/>
                      <w:color w:val="auto"/>
                      <w:spacing w:val="0"/>
                      <w:sz w:val="21"/>
                      <w:szCs w:val="21"/>
                      <w:u w:val="none"/>
                      <w:shd w:val="clear" w:fill="FFFFFF"/>
                    </w:rPr>
                    <w:fldChar w:fldCharType="begin"/>
                  </w:r>
                  <w:r>
                    <w:rPr>
                      <w:rFonts w:hint="default" w:ascii="Times New Roman" w:hAnsi="Times New Roman" w:eastAsia="宋体" w:cs="Times New Roman"/>
                      <w:b/>
                      <w:bCs/>
                      <w:i w:val="0"/>
                      <w:iCs w:val="0"/>
                      <w:caps w:val="0"/>
                      <w:color w:val="auto"/>
                      <w:spacing w:val="0"/>
                      <w:sz w:val="21"/>
                      <w:szCs w:val="21"/>
                      <w:u w:val="none"/>
                      <w:shd w:val="clear" w:fill="FFFFFF"/>
                    </w:rPr>
                    <w:instrText xml:space="preserve"> HYPERLINK "https://www.mee.gov.cn/xxgk2018/xxgk/xxgk03/202607/W020260714564904834404.pdf" </w:instrText>
                  </w:r>
                  <w:r>
                    <w:rPr>
                      <w:rFonts w:hint="default" w:ascii="Times New Roman" w:hAnsi="Times New Roman" w:eastAsia="宋体" w:cs="Times New Roman"/>
                      <w:b/>
                      <w:bCs/>
                      <w:i w:val="0"/>
                      <w:iCs w:val="0"/>
                      <w:caps w:val="0"/>
                      <w:color w:val="auto"/>
                      <w:spacing w:val="0"/>
                      <w:sz w:val="21"/>
                      <w:szCs w:val="21"/>
                      <w:u w:val="none"/>
                      <w:shd w:val="clear" w:fill="FFFFFF"/>
                    </w:rPr>
                    <w:fldChar w:fldCharType="separate"/>
                  </w:r>
                  <w:r>
                    <w:rPr>
                      <w:rStyle w:val="43"/>
                      <w:rFonts w:hint="default" w:ascii="Times New Roman" w:hAnsi="Times New Roman" w:eastAsia="宋体" w:cs="Times New Roman"/>
                      <w:b/>
                      <w:bCs/>
                      <w:i w:val="0"/>
                      <w:iCs w:val="0"/>
                      <w:caps w:val="0"/>
                      <w:color w:val="auto"/>
                      <w:spacing w:val="0"/>
                      <w:sz w:val="21"/>
                      <w:szCs w:val="21"/>
                      <w:u w:val="none"/>
                      <w:shd w:val="clear" w:fill="FFFFFF"/>
                    </w:rPr>
                    <w:t>《固体废物污染防治“十五五”规划》</w:t>
                  </w:r>
                  <w:r>
                    <w:rPr>
                      <w:rFonts w:hint="default" w:ascii="Times New Roman" w:hAnsi="Times New Roman" w:eastAsia="宋体" w:cs="Times New Roman"/>
                      <w:b/>
                      <w:bCs/>
                      <w:i w:val="0"/>
                      <w:iCs w:val="0"/>
                      <w:caps w:val="0"/>
                      <w:color w:val="auto"/>
                      <w:spacing w:val="0"/>
                      <w:sz w:val="21"/>
                      <w:szCs w:val="21"/>
                      <w:u w:val="none"/>
                      <w:shd w:val="clear" w:fill="FFFFFF"/>
                    </w:rPr>
                    <w:fldChar w:fldCharType="end"/>
                  </w:r>
                  <w:r>
                    <w:rPr>
                      <w:rFonts w:hint="default" w:ascii="Times New Roman" w:hAnsi="Times New Roman" w:eastAsia="宋体" w:cs="Times New Roman"/>
                      <w:b/>
                      <w:bCs/>
                      <w:i w:val="0"/>
                      <w:iCs w:val="0"/>
                      <w:caps w:val="0"/>
                      <w:color w:val="auto"/>
                      <w:spacing w:val="0"/>
                      <w:sz w:val="21"/>
                      <w:szCs w:val="21"/>
                      <w:u w:val="none"/>
                      <w:shd w:val="clear" w:fill="FFFFFF"/>
                      <w:lang w:val="en-US" w:eastAsia="zh-CN"/>
                    </w:rPr>
                    <w:t>相关要求</w:t>
                  </w:r>
                </w:p>
              </w:tc>
              <w:tc>
                <w:tcPr>
                  <w:tcW w:w="1815" w:type="dxa"/>
                  <w:vAlign w:val="center"/>
                </w:tcPr>
                <w:p w14:paraId="22094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本项目情况</w:t>
                  </w:r>
                </w:p>
              </w:tc>
              <w:tc>
                <w:tcPr>
                  <w:tcW w:w="907" w:type="dxa"/>
                  <w:vAlign w:val="center"/>
                </w:tcPr>
                <w:p w14:paraId="7E0C5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符合性</w:t>
                  </w:r>
                </w:p>
              </w:tc>
            </w:tr>
            <w:tr w14:paraId="480A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restart"/>
                  <w:vAlign w:val="center"/>
                </w:tcPr>
                <w:p w14:paraId="532D2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二、扎实开展重点领域固体废物专项整治</w:t>
                  </w:r>
                </w:p>
              </w:tc>
              <w:tc>
                <w:tcPr>
                  <w:tcW w:w="4467" w:type="dxa"/>
                  <w:vAlign w:val="center"/>
                </w:tcPr>
                <w:p w14:paraId="0C7A3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一）推进全国非法倾倒处置固体废物专项整治。运用卫星遥感、无人机巡查等现代技术手段，结合实地巡查排查，及时发现非法倾倒填埋固体废物、非法拆解处置废弃设备及消费品等问题。加强对非法倾倒处置固体废物行为的实时动态监控，强化部门间、区域间信息共享。到2030年，非法倾倒和非法处置固体废物事件发生率控制在0.2当量起数/千平方公里以内，或较2027年下降60%以上。</w:t>
                  </w:r>
                </w:p>
              </w:tc>
              <w:tc>
                <w:tcPr>
                  <w:tcW w:w="1815" w:type="dxa"/>
                  <w:vAlign w:val="center"/>
                </w:tcPr>
                <w:p w14:paraId="2B976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运营过程固体废物全部规范化处置，边角料及不合格产品破碎回用于生产；包装固废交由回收单位资源化利用，生活垃圾由环卫部门清运；项目严禁固体废物私自倾倒、填埋、非法拆解，无非法处置固废行为。</w:t>
                  </w:r>
                </w:p>
              </w:tc>
              <w:tc>
                <w:tcPr>
                  <w:tcW w:w="907" w:type="dxa"/>
                  <w:vAlign w:val="center"/>
                </w:tcPr>
                <w:p w14:paraId="52D288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0503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continue"/>
                  <w:vAlign w:val="center"/>
                </w:tcPr>
                <w:p w14:paraId="7BD9C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p>
              </w:tc>
              <w:tc>
                <w:tcPr>
                  <w:tcW w:w="4467" w:type="dxa"/>
                  <w:vAlign w:val="center"/>
                </w:tcPr>
                <w:p w14:paraId="45D63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（二）推进溶洞垃圾污染专项调查整治。以湖北、湖南、广东、广西、重庆、四川、贵州、云南</w:t>
                  </w:r>
                  <w:r>
                    <w:rPr>
                      <w:rFonts w:hint="eastAsia" w:cs="Times New Roman"/>
                      <w:color w:val="auto"/>
                      <w:sz w:val="21"/>
                      <w:szCs w:val="21"/>
                      <w:lang w:eastAsia="zh-CN"/>
                    </w:rPr>
                    <w:t>等省（区、市）</w:t>
                  </w:r>
                  <w:r>
                    <w:rPr>
                      <w:rFonts w:hint="default" w:ascii="Times New Roman" w:hAnsi="Times New Roman" w:eastAsia="宋体" w:cs="Times New Roman"/>
                      <w:color w:val="auto"/>
                      <w:sz w:val="21"/>
                      <w:szCs w:val="21"/>
                    </w:rPr>
                    <w:t>为重点，开展全覆盖拉网式排查，建立溶洞垃圾污染问题清单。重点省份按期完成污染问题整改，并建立核查工作机制。</w:t>
                  </w:r>
                </w:p>
              </w:tc>
              <w:tc>
                <w:tcPr>
                  <w:tcW w:w="1815" w:type="dxa"/>
                  <w:vAlign w:val="center"/>
                </w:tcPr>
                <w:p w14:paraId="1F87D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本项目选址位于寻甸产业园金所片区标准化厂房内，不涉及溶洞区域，不向溶洞内堆存、丢弃固体废物，不产生溶洞垃圾污染源。</w:t>
                  </w:r>
                </w:p>
              </w:tc>
              <w:tc>
                <w:tcPr>
                  <w:tcW w:w="907" w:type="dxa"/>
                  <w:vAlign w:val="center"/>
                </w:tcPr>
                <w:p w14:paraId="764D95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3989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restart"/>
                  <w:vAlign w:val="center"/>
                </w:tcPr>
                <w:p w14:paraId="6577C5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三、持续提升工业固体废物处置利用治理水平</w:t>
                  </w:r>
                </w:p>
              </w:tc>
              <w:tc>
                <w:tcPr>
                  <w:tcW w:w="4467" w:type="dxa"/>
                  <w:vAlign w:val="center"/>
                </w:tcPr>
                <w:p w14:paraId="22D9E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六）健全工业固体废物全链条环境监管体系。推动将工业固体废物环境污染风险较大的单位纳入排污许可重点管理范围，明确工业固体废物贮存、利用、处置要求。强化工业固体废物管理台账和排污单位环境管理台账、生态环境统计与排污许可统一信息报表数据的衔接。建设全国工业固体废物信息管理平台，逐步推行工业固体废物全链条信息实时采集和轨迹监控，90%以上的工业固体废物排污许可重点管理单位纳入平台监管。</w:t>
                  </w:r>
                </w:p>
              </w:tc>
              <w:tc>
                <w:tcPr>
                  <w:tcW w:w="1815" w:type="dxa"/>
                  <w:vAlign w:val="center"/>
                </w:tcPr>
                <w:p w14:paraId="3A93F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项目属于塑料制品生产项目，运营过</w:t>
                  </w:r>
                  <w:r>
                    <w:rPr>
                      <w:rFonts w:hint="eastAsia" w:cs="Times New Roman"/>
                      <w:color w:val="auto"/>
                      <w:sz w:val="21"/>
                      <w:szCs w:val="21"/>
                      <w:vertAlign w:val="baseline"/>
                      <w:lang w:val="en-US" w:eastAsia="zh-CN"/>
                    </w:rPr>
                    <w:t>程中</w:t>
                  </w:r>
                  <w:r>
                    <w:rPr>
                      <w:rFonts w:hint="default" w:ascii="Times New Roman" w:hAnsi="Times New Roman" w:eastAsia="宋体" w:cs="Times New Roman"/>
                      <w:color w:val="auto"/>
                      <w:sz w:val="21"/>
                      <w:szCs w:val="21"/>
                      <w:vertAlign w:val="baseline"/>
                      <w:lang w:val="en-US" w:eastAsia="zh-CN"/>
                    </w:rPr>
                    <w:t>固体废物全部规范化处置，不纳入</w:t>
                  </w:r>
                  <w:r>
                    <w:rPr>
                      <w:rFonts w:hint="default" w:ascii="Times New Roman" w:hAnsi="Times New Roman" w:eastAsia="宋体" w:cs="Times New Roman"/>
                      <w:color w:val="auto"/>
                      <w:sz w:val="21"/>
                      <w:szCs w:val="21"/>
                    </w:rPr>
                    <w:t>排污许可重点管理范围</w:t>
                  </w:r>
                  <w:r>
                    <w:rPr>
                      <w:rFonts w:hint="default" w:ascii="Times New Roman" w:hAnsi="Times New Roman" w:eastAsia="宋体" w:cs="Times New Roman"/>
                      <w:color w:val="auto"/>
                      <w:sz w:val="21"/>
                      <w:szCs w:val="21"/>
                      <w:lang w:eastAsia="zh-CN"/>
                    </w:rPr>
                    <w:t>。</w:t>
                  </w:r>
                </w:p>
              </w:tc>
              <w:tc>
                <w:tcPr>
                  <w:tcW w:w="907" w:type="dxa"/>
                  <w:vAlign w:val="center"/>
                </w:tcPr>
                <w:p w14:paraId="21653F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409B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continue"/>
                  <w:vAlign w:val="center"/>
                </w:tcPr>
                <w:p w14:paraId="3E7A3B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4467" w:type="dxa"/>
                  <w:vAlign w:val="center"/>
                </w:tcPr>
                <w:p w14:paraId="10E585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（七）加强工业固体废物综合利用环境监管。强化工业窑炉协同 处理固体废物过程有毒有害物质排放管控。制定一般工业固体废物规模化消纳利用工作指南，明确相关项目审批程序及监测监管要求，严防不规范充填回填造成土壤和地下水污染；在国土空间规划实施管理中因地制宜保障大宗工业固体废物充填回填相关用地需求，稳妥有序推进规模化消纳利用。加强磷石膏等综合利用，推动无法利用的磷石膏、赤泥、锰渣等工业固体废物无害化预处理，降低贮存填埋环境风险。</w:t>
                  </w:r>
                </w:p>
              </w:tc>
              <w:tc>
                <w:tcPr>
                  <w:tcW w:w="1815" w:type="dxa"/>
                  <w:vAlign w:val="center"/>
                </w:tcPr>
                <w:p w14:paraId="1A671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项目属于塑料制品生产项目，不涉及工业窑炉协同处置固废，不涉及磷石膏、赤泥、锰石膏类大宗固废，不存在充填回填作业；项目运营过</w:t>
                  </w:r>
                  <w:r>
                    <w:rPr>
                      <w:rFonts w:hint="eastAsia" w:cs="Times New Roman"/>
                      <w:color w:val="auto"/>
                      <w:sz w:val="21"/>
                      <w:szCs w:val="21"/>
                      <w:vertAlign w:val="baseline"/>
                      <w:lang w:val="en-US" w:eastAsia="zh-CN"/>
                    </w:rPr>
                    <w:t>程中</w:t>
                  </w:r>
                  <w:r>
                    <w:rPr>
                      <w:rFonts w:hint="default" w:ascii="Times New Roman" w:hAnsi="Times New Roman" w:eastAsia="宋体" w:cs="Times New Roman"/>
                      <w:color w:val="auto"/>
                      <w:sz w:val="21"/>
                      <w:szCs w:val="21"/>
                      <w:vertAlign w:val="baseline"/>
                      <w:lang w:val="en-US" w:eastAsia="zh-CN"/>
                    </w:rPr>
                    <w:t>固体废物全部规范化处置，厂区分区贮存，做好防渗，防范土壤地下水污染。</w:t>
                  </w:r>
                </w:p>
              </w:tc>
              <w:tc>
                <w:tcPr>
                  <w:tcW w:w="907" w:type="dxa"/>
                  <w:vAlign w:val="center"/>
                </w:tcPr>
                <w:p w14:paraId="02651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4620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continue"/>
                  <w:vAlign w:val="center"/>
                </w:tcPr>
                <w:p w14:paraId="62E317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4467" w:type="dxa"/>
                  <w:vAlign w:val="center"/>
                </w:tcPr>
                <w:p w14:paraId="25BA7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八）开展历史遗留工业固体废物堆存场所排查整治。以大宗工业固体废物为重点对象，开展涉重金属矿山、尾矿库、堆（渣）场环境风险调查评估，实施“一场（库）一策”精准整治。长江流域聚焦锰渣、锑渣等，黄河流域聚焦煤矸石、粉煤灰、赤泥等，实施分区域系统治理，完成60%以上的历史遗留固体废物堆存场所治理。</w:t>
                  </w:r>
                </w:p>
              </w:tc>
              <w:tc>
                <w:tcPr>
                  <w:tcW w:w="1815" w:type="dxa"/>
                  <w:vAlign w:val="center"/>
                </w:tcPr>
                <w:p w14:paraId="6420DA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本项目为租赁现有标准厂房，厂区内无历史遗留固体废物堆存场所、尾矿库、渣场；项目不涉及历史固废治理相关内容。</w:t>
                  </w:r>
                </w:p>
              </w:tc>
              <w:tc>
                <w:tcPr>
                  <w:tcW w:w="907" w:type="dxa"/>
                  <w:vAlign w:val="center"/>
                </w:tcPr>
                <w:p w14:paraId="4F1FB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400C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restart"/>
                  <w:vAlign w:val="center"/>
                </w:tcPr>
                <w:p w14:paraId="25152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四、严格实施危险废物全过程环境监管</w:t>
                  </w:r>
                </w:p>
              </w:tc>
              <w:tc>
                <w:tcPr>
                  <w:tcW w:w="4467" w:type="dxa"/>
                  <w:vAlign w:val="center"/>
                </w:tcPr>
                <w:p w14:paraId="01FE5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九）深化危险废物全过程信息化监管。推动企业开展数智监控设备升级改造，加快全国危险废物全过程环境管理能力建设，推进危险废物产生单位“五即”（即产生、即包装、即称重、即打码、即入库）规范化建设，强化危险废物“一码贯通”实时可追溯信息化监管，全面实现危险废物运输车辆轨迹实时追踪。完善支撑全过程信息化监管的危险废物管理制度，围绕危险废物信息化监管优化危险废物规范化评估模式。鼓励开展危险废物收集、运输、利用、处置网上交易和第三方支付业务。到2028年，全国危险废物全过程环境管理信息系统数据应用于生态环境统计。</w:t>
                  </w:r>
                </w:p>
              </w:tc>
              <w:tc>
                <w:tcPr>
                  <w:tcW w:w="1815" w:type="dxa"/>
                  <w:vAlign w:val="center"/>
                </w:tcPr>
                <w:p w14:paraId="58F35D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w:t>
                  </w:r>
                  <w:r>
                    <w:rPr>
                      <w:rStyle w:val="46"/>
                      <w:rFonts w:hint="default" w:ascii="Times New Roman" w:hAnsi="Times New Roman" w:eastAsia="宋体" w:cs="Times New Roman"/>
                      <w:b w:val="0"/>
                      <w:bCs w:val="0"/>
                      <w:color w:val="auto"/>
                      <w:sz w:val="21"/>
                      <w:szCs w:val="21"/>
                      <w:vertAlign w:val="baseline"/>
                      <w:lang w:val="en-US" w:eastAsia="zh-CN"/>
                    </w:rPr>
                    <w:t>危险废物（</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Style w:val="46"/>
                      <w:rFonts w:hint="default" w:ascii="Times New Roman" w:hAnsi="Times New Roman" w:eastAsia="宋体" w:cs="Times New Roman"/>
                      <w:b w:val="0"/>
                      <w:bCs w:val="0"/>
                      <w:color w:val="auto"/>
                      <w:sz w:val="21"/>
                      <w:szCs w:val="21"/>
                      <w:vertAlign w:val="baseline"/>
                      <w:lang w:val="en-US" w:eastAsia="zh-CN"/>
                    </w:rPr>
                    <w:t>等）设置规范</w:t>
                  </w:r>
                  <w:r>
                    <w:rPr>
                      <w:rStyle w:val="46"/>
                      <w:rFonts w:hint="eastAsia" w:cs="Times New Roman"/>
                      <w:b w:val="0"/>
                      <w:bCs w:val="0"/>
                      <w:color w:val="auto"/>
                      <w:sz w:val="21"/>
                      <w:szCs w:val="21"/>
                      <w:vertAlign w:val="baseline"/>
                      <w:lang w:val="en-US" w:eastAsia="zh-CN"/>
                    </w:rPr>
                    <w:t>危废贮存库</w:t>
                  </w:r>
                  <w:r>
                    <w:rPr>
                      <w:rStyle w:val="46"/>
                      <w:rFonts w:hint="default" w:ascii="Times New Roman" w:hAnsi="Times New Roman" w:eastAsia="宋体" w:cs="Times New Roman"/>
                      <w:b w:val="0"/>
                      <w:bCs w:val="0"/>
                      <w:color w:val="auto"/>
                      <w:sz w:val="21"/>
                      <w:szCs w:val="21"/>
                      <w:vertAlign w:val="baseline"/>
                      <w:lang w:val="en-US" w:eastAsia="zh-CN"/>
                    </w:rPr>
                    <w:t>，分类分区存放，</w:t>
                  </w:r>
                  <w:r>
                    <w:rPr>
                      <w:rFonts w:hint="default" w:ascii="Times New Roman" w:hAnsi="Times New Roman" w:eastAsia="宋体" w:cs="Times New Roman"/>
                      <w:color w:val="auto"/>
                      <w:sz w:val="21"/>
                      <w:szCs w:val="21"/>
                      <w:vertAlign w:val="baseline"/>
                      <w:lang w:val="en-US" w:eastAsia="zh-CN"/>
                    </w:rPr>
                    <w:t>严格落实“五即”规范化建设，执行“一码贯通”全过程信息化追溯管理，危险废物委托有资质单位转运处置。</w:t>
                  </w:r>
                </w:p>
              </w:tc>
              <w:tc>
                <w:tcPr>
                  <w:tcW w:w="907" w:type="dxa"/>
                  <w:vAlign w:val="center"/>
                </w:tcPr>
                <w:p w14:paraId="3C646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64CE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continue"/>
                  <w:vAlign w:val="center"/>
                </w:tcPr>
                <w:p w14:paraId="1D9068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4467" w:type="dxa"/>
                  <w:vAlign w:val="center"/>
                </w:tcPr>
                <w:p w14:paraId="07FB8D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十）提升危险废物收集利用处置水平。强化小微企业危险废物收集管理，优化服务对象和服务地域范围，推动收集单位提档升级。优化危险废物跨省转移管理，对符合要求的简化审批管理。加强危险废物利用处置设施统筹规划，建立环境影响评价与经营许可审批衔接机制，完善利用处置产能评估预警制度，综合利用标准、政策等手段化解能力结构性过剩问题。完善医疗废物收集处置体系，支 持不具备集中处置条件的偏远地区探索就地处置方式。</w:t>
                  </w:r>
                </w:p>
              </w:tc>
              <w:tc>
                <w:tcPr>
                  <w:tcW w:w="1815" w:type="dxa"/>
                  <w:vAlign w:val="center"/>
                </w:tcPr>
                <w:p w14:paraId="3AFD6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w:t>
                  </w:r>
                  <w:r>
                    <w:rPr>
                      <w:rStyle w:val="46"/>
                      <w:rFonts w:hint="default" w:ascii="Times New Roman" w:hAnsi="Times New Roman" w:eastAsia="宋体" w:cs="Times New Roman"/>
                      <w:b w:val="0"/>
                      <w:bCs w:val="0"/>
                      <w:color w:val="auto"/>
                      <w:sz w:val="21"/>
                      <w:szCs w:val="21"/>
                      <w:vertAlign w:val="baseline"/>
                      <w:lang w:val="en-US" w:eastAsia="zh-CN"/>
                    </w:rPr>
                    <w:t>危险废物（</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Style w:val="46"/>
                      <w:rFonts w:hint="default" w:ascii="Times New Roman" w:hAnsi="Times New Roman" w:eastAsia="宋体" w:cs="Times New Roman"/>
                      <w:b w:val="0"/>
                      <w:bCs w:val="0"/>
                      <w:color w:val="auto"/>
                      <w:sz w:val="21"/>
                      <w:szCs w:val="21"/>
                      <w:vertAlign w:val="baseline"/>
                      <w:lang w:val="en-US" w:eastAsia="zh-CN"/>
                    </w:rPr>
                    <w:t>等）设置规范</w:t>
                  </w:r>
                  <w:r>
                    <w:rPr>
                      <w:rStyle w:val="46"/>
                      <w:rFonts w:hint="eastAsia" w:cs="Times New Roman"/>
                      <w:b w:val="0"/>
                      <w:bCs w:val="0"/>
                      <w:color w:val="auto"/>
                      <w:sz w:val="21"/>
                      <w:szCs w:val="21"/>
                      <w:vertAlign w:val="baseline"/>
                      <w:lang w:val="en-US" w:eastAsia="zh-CN"/>
                    </w:rPr>
                    <w:t>危废贮存库</w:t>
                  </w:r>
                  <w:r>
                    <w:rPr>
                      <w:rStyle w:val="46"/>
                      <w:rFonts w:hint="default" w:ascii="Times New Roman" w:hAnsi="Times New Roman" w:eastAsia="宋体" w:cs="Times New Roman"/>
                      <w:b w:val="0"/>
                      <w:bCs w:val="0"/>
                      <w:color w:val="auto"/>
                      <w:sz w:val="21"/>
                      <w:szCs w:val="21"/>
                      <w:vertAlign w:val="baseline"/>
                      <w:lang w:val="en-US" w:eastAsia="zh-CN"/>
                    </w:rPr>
                    <w:t>，分类分区存放，委托具备资质单位安全处置，建立固废危废管理台账，落实转移联单制度</w:t>
                  </w:r>
                  <w:r>
                    <w:rPr>
                      <w:rFonts w:hint="default" w:ascii="Times New Roman" w:hAnsi="Times New Roman" w:eastAsia="宋体" w:cs="Times New Roman"/>
                      <w:color w:val="auto"/>
                      <w:sz w:val="21"/>
                      <w:szCs w:val="21"/>
                      <w:vertAlign w:val="baseline"/>
                      <w:lang w:val="en-US" w:eastAsia="zh-CN"/>
                    </w:rPr>
                    <w:t>。</w:t>
                  </w:r>
                </w:p>
              </w:tc>
              <w:tc>
                <w:tcPr>
                  <w:tcW w:w="907" w:type="dxa"/>
                  <w:vAlign w:val="center"/>
                </w:tcPr>
                <w:p w14:paraId="19DF1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r w14:paraId="583F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9" w:type="dxa"/>
                  <w:vMerge w:val="continue"/>
                  <w:vAlign w:val="center"/>
                </w:tcPr>
                <w:p w14:paraId="430CAD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4467" w:type="dxa"/>
                  <w:vAlign w:val="center"/>
                </w:tcPr>
                <w:p w14:paraId="681176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十一）强化危险废物环境风险管控。严格限制通过利用、焚烧等处理方式可减量的危险废物直接填埋，最大限度减少填埋量。探索建立危险废物利用处置设施绩效分级管理体系，推进利用处置设施提标改造。加快推进能力建设，推动发挥国家和区域性危险废物环境风险防控技术中心、区域性特殊危险废物集中处置中心作用，强化环境监管与风险防控技术支撑。</w:t>
                  </w:r>
                </w:p>
              </w:tc>
              <w:tc>
                <w:tcPr>
                  <w:tcW w:w="1815" w:type="dxa"/>
                  <w:vAlign w:val="center"/>
                </w:tcPr>
                <w:p w14:paraId="6197A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w:t>
                  </w:r>
                  <w:r>
                    <w:rPr>
                      <w:rStyle w:val="46"/>
                      <w:rFonts w:hint="default" w:ascii="Times New Roman" w:hAnsi="Times New Roman" w:eastAsia="宋体" w:cs="Times New Roman"/>
                      <w:b w:val="0"/>
                      <w:bCs w:val="0"/>
                      <w:color w:val="auto"/>
                      <w:sz w:val="21"/>
                      <w:szCs w:val="21"/>
                      <w:vertAlign w:val="baseline"/>
                      <w:lang w:val="en-US" w:eastAsia="zh-CN"/>
                    </w:rPr>
                    <w:t>危险废物（</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Style w:val="46"/>
                      <w:rFonts w:hint="default" w:ascii="Times New Roman" w:hAnsi="Times New Roman" w:eastAsia="宋体" w:cs="Times New Roman"/>
                      <w:b w:val="0"/>
                      <w:bCs w:val="0"/>
                      <w:color w:val="auto"/>
                      <w:sz w:val="21"/>
                      <w:szCs w:val="21"/>
                      <w:vertAlign w:val="baseline"/>
                      <w:lang w:val="en-US" w:eastAsia="zh-CN"/>
                    </w:rPr>
                    <w:t>等）设置规范</w:t>
                  </w:r>
                  <w:r>
                    <w:rPr>
                      <w:rStyle w:val="46"/>
                      <w:rFonts w:hint="eastAsia" w:cs="Times New Roman"/>
                      <w:b w:val="0"/>
                      <w:bCs w:val="0"/>
                      <w:color w:val="auto"/>
                      <w:sz w:val="21"/>
                      <w:szCs w:val="21"/>
                      <w:vertAlign w:val="baseline"/>
                      <w:lang w:val="en-US" w:eastAsia="zh-CN"/>
                    </w:rPr>
                    <w:t>危废贮存库</w:t>
                  </w:r>
                  <w:r>
                    <w:rPr>
                      <w:rStyle w:val="46"/>
                      <w:rFonts w:hint="default" w:ascii="Times New Roman" w:hAnsi="Times New Roman" w:eastAsia="宋体" w:cs="Times New Roman"/>
                      <w:b w:val="0"/>
                      <w:bCs w:val="0"/>
                      <w:color w:val="auto"/>
                      <w:sz w:val="21"/>
                      <w:szCs w:val="21"/>
                      <w:vertAlign w:val="baseline"/>
                      <w:lang w:val="en-US" w:eastAsia="zh-CN"/>
                    </w:rPr>
                    <w:t>，分类分区存放，委托具备资质单位安全处置</w:t>
                  </w:r>
                  <w:r>
                    <w:rPr>
                      <w:rFonts w:hint="default" w:ascii="Times New Roman" w:hAnsi="Times New Roman" w:eastAsia="宋体" w:cs="Times New Roman"/>
                      <w:color w:val="auto"/>
                      <w:sz w:val="21"/>
                      <w:szCs w:val="21"/>
                      <w:vertAlign w:val="baseline"/>
                      <w:lang w:val="en-US" w:eastAsia="zh-CN"/>
                    </w:rPr>
                    <w:t>，不直接填埋。</w:t>
                  </w:r>
                  <w:r>
                    <w:rPr>
                      <w:rStyle w:val="46"/>
                      <w:rFonts w:hint="default" w:ascii="Times New Roman" w:hAnsi="Times New Roman" w:eastAsia="宋体" w:cs="Times New Roman"/>
                      <w:b w:val="0"/>
                      <w:bCs w:val="0"/>
                      <w:color w:val="auto"/>
                      <w:sz w:val="21"/>
                      <w:szCs w:val="21"/>
                      <w:vertAlign w:val="baseline"/>
                      <w:lang w:val="en-US" w:eastAsia="zh-CN"/>
                    </w:rPr>
                    <w:t>建立固废危废管理台账，落实转移联单制度</w:t>
                  </w:r>
                  <w:r>
                    <w:rPr>
                      <w:rFonts w:hint="default" w:ascii="Times New Roman" w:hAnsi="Times New Roman" w:eastAsia="宋体" w:cs="Times New Roman"/>
                      <w:color w:val="auto"/>
                      <w:sz w:val="21"/>
                      <w:szCs w:val="21"/>
                      <w:vertAlign w:val="baseline"/>
                      <w:lang w:val="en-US" w:eastAsia="zh-CN"/>
                    </w:rPr>
                    <w:t>。</w:t>
                  </w:r>
                </w:p>
              </w:tc>
              <w:tc>
                <w:tcPr>
                  <w:tcW w:w="907" w:type="dxa"/>
                  <w:vAlign w:val="center"/>
                </w:tcPr>
                <w:p w14:paraId="77799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符合</w:t>
                  </w:r>
                </w:p>
              </w:tc>
            </w:tr>
          </w:tbl>
          <w:p w14:paraId="1385081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default" w:ascii="Times New Roman" w:hAnsi="Times New Roman" w:eastAsia="宋体" w:cs="Times New Roman"/>
                <w:color w:val="auto"/>
                <w:sz w:val="24"/>
                <w:szCs w:val="24"/>
                <w:lang w:val="en-US" w:eastAsia="zh-CN"/>
              </w:rPr>
              <w:t>根据上表分析可知</w:t>
            </w:r>
            <w:r>
              <w:rPr>
                <w:rFonts w:hint="default" w:ascii="Times New Roman" w:hAnsi="Times New Roman" w:eastAsia="宋体" w:cs="Times New Roman"/>
                <w:color w:val="auto"/>
                <w:sz w:val="24"/>
                <w:szCs w:val="24"/>
              </w:rPr>
              <w:t>，项目建</w:t>
            </w:r>
            <w:r>
              <w:rPr>
                <w:rFonts w:hint="eastAsia" w:ascii="宋体" w:hAnsi="宋体" w:eastAsia="宋体" w:cs="宋体"/>
                <w:color w:val="auto"/>
                <w:sz w:val="24"/>
                <w:szCs w:val="24"/>
              </w:rPr>
              <w:t>设与</w:t>
            </w:r>
            <w:r>
              <w:rPr>
                <w:rFonts w:hint="eastAsia" w:ascii="宋体" w:hAnsi="宋体" w:eastAsia="宋体" w:cs="宋体"/>
                <w:i w:val="0"/>
                <w:iCs w:val="0"/>
                <w:caps w:val="0"/>
                <w:color w:val="auto"/>
                <w:spacing w:val="0"/>
                <w:sz w:val="24"/>
                <w:szCs w:val="24"/>
                <w:u w:val="none"/>
                <w:shd w:val="clear" w:fill="FFFFFF"/>
              </w:rPr>
              <w:fldChar w:fldCharType="begin"/>
            </w:r>
            <w:r>
              <w:rPr>
                <w:rFonts w:hint="eastAsia" w:ascii="宋体" w:hAnsi="宋体" w:eastAsia="宋体" w:cs="宋体"/>
                <w:i w:val="0"/>
                <w:iCs w:val="0"/>
                <w:caps w:val="0"/>
                <w:color w:val="auto"/>
                <w:spacing w:val="0"/>
                <w:sz w:val="24"/>
                <w:szCs w:val="24"/>
                <w:u w:val="none"/>
                <w:shd w:val="clear" w:fill="FFFFFF"/>
              </w:rPr>
              <w:instrText xml:space="preserve"> HYPERLINK "https://www.mee.gov.cn/xxgk2018/xxgk/xxgk03/202607/W020260714564904834404.pdf" </w:instrText>
            </w:r>
            <w:r>
              <w:rPr>
                <w:rFonts w:hint="eastAsia" w:ascii="宋体" w:hAnsi="宋体" w:eastAsia="宋体" w:cs="宋体"/>
                <w:i w:val="0"/>
                <w:iCs w:val="0"/>
                <w:caps w:val="0"/>
                <w:color w:val="auto"/>
                <w:spacing w:val="0"/>
                <w:sz w:val="24"/>
                <w:szCs w:val="24"/>
                <w:u w:val="none"/>
                <w:shd w:val="clear" w:fill="FFFFFF"/>
              </w:rPr>
              <w:fldChar w:fldCharType="separate"/>
            </w:r>
            <w:r>
              <w:rPr>
                <w:rStyle w:val="43"/>
                <w:rFonts w:hint="eastAsia" w:ascii="宋体" w:hAnsi="宋体" w:eastAsia="宋体" w:cs="宋体"/>
                <w:i w:val="0"/>
                <w:iCs w:val="0"/>
                <w:caps w:val="0"/>
                <w:color w:val="auto"/>
                <w:spacing w:val="0"/>
                <w:sz w:val="24"/>
                <w:szCs w:val="24"/>
                <w:u w:val="none"/>
                <w:shd w:val="clear" w:fill="FFFFFF"/>
              </w:rPr>
              <w:t>《固体废物污染防治“十五五”规划》</w:t>
            </w:r>
            <w:r>
              <w:rPr>
                <w:rFonts w:hint="eastAsia" w:ascii="宋体" w:hAnsi="宋体" w:eastAsia="宋体" w:cs="宋体"/>
                <w:i w:val="0"/>
                <w:iCs w:val="0"/>
                <w:caps w:val="0"/>
                <w:color w:val="auto"/>
                <w:spacing w:val="0"/>
                <w:sz w:val="24"/>
                <w:szCs w:val="24"/>
                <w:u w:val="none"/>
                <w:shd w:val="clear" w:fill="FFFFFF"/>
              </w:rPr>
              <w:fldChar w:fldCharType="end"/>
            </w:r>
            <w:r>
              <w:rPr>
                <w:rFonts w:hint="eastAsia" w:ascii="宋体" w:hAnsi="宋体" w:eastAsia="宋体" w:cs="宋体"/>
                <w:color w:val="auto"/>
                <w:sz w:val="24"/>
                <w:szCs w:val="24"/>
              </w:rPr>
              <w:t>相符</w:t>
            </w:r>
            <w:r>
              <w:rPr>
                <w:rFonts w:hint="eastAsia" w:ascii="宋体" w:hAnsi="宋体" w:eastAsia="宋体" w:cs="宋体"/>
                <w:color w:val="auto"/>
                <w:sz w:val="24"/>
                <w:szCs w:val="24"/>
                <w:lang w:eastAsia="zh-CN"/>
              </w:rPr>
              <w:t>。</w:t>
            </w:r>
          </w:p>
          <w:p w14:paraId="1D58BBF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lang w:val="en-US" w:eastAsia="zh-CN"/>
              </w:rPr>
              <w:t>18</w:t>
            </w:r>
            <w:r>
              <w:rPr>
                <w:rFonts w:hint="default" w:ascii="Times New Roman" w:hAnsi="Times New Roman" w:eastAsia="宋体" w:cs="Times New Roman"/>
                <w:b/>
                <w:bCs/>
                <w:color w:val="auto"/>
                <w:sz w:val="24"/>
              </w:rPr>
              <w:t>、选址合理性分析</w:t>
            </w:r>
          </w:p>
          <w:p w14:paraId="0C2F481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寻甸亿源塑料制品有限公司选址位于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lang w:val="en-US" w:eastAsia="zh-CN"/>
              </w:rPr>
              <w:t>，租用云南鹏达冠得有限公司厂房，用地性质为二类工业用地，</w:t>
            </w:r>
            <w:r>
              <w:rPr>
                <w:rFonts w:hint="eastAsia" w:cs="Times New Roman"/>
                <w:color w:val="auto"/>
                <w:sz w:val="24"/>
                <w:lang w:val="en-US" w:eastAsia="zh-CN"/>
              </w:rPr>
              <w:t>厂房租赁合同详见附件4</w:t>
            </w:r>
            <w:r>
              <w:rPr>
                <w:rFonts w:hint="default" w:ascii="Times New Roman" w:hAnsi="Times New Roman" w:eastAsia="宋体" w:cs="Times New Roman"/>
                <w:color w:val="auto"/>
                <w:sz w:val="24"/>
                <w:lang w:val="en-US" w:eastAsia="zh-CN"/>
              </w:rPr>
              <w:t>。项目</w:t>
            </w:r>
            <w:r>
              <w:rPr>
                <w:rFonts w:hint="eastAsia" w:cs="Times New Roman"/>
                <w:color w:val="auto"/>
                <w:sz w:val="24"/>
                <w:lang w:val="en-US" w:eastAsia="zh-CN"/>
              </w:rPr>
              <w:t>建设</w:t>
            </w:r>
            <w:r>
              <w:rPr>
                <w:rFonts w:hint="default" w:ascii="Times New Roman" w:hAnsi="Times New Roman" w:eastAsia="宋体" w:cs="Times New Roman"/>
                <w:color w:val="auto"/>
                <w:sz w:val="24"/>
                <w:lang w:val="en-US" w:eastAsia="zh-CN"/>
              </w:rPr>
              <w:t>不涉及生态保护红线、饮用水源保护区等，选址与用地符合生态环境准入条件。</w:t>
            </w:r>
            <w:r>
              <w:rPr>
                <w:rFonts w:hint="default" w:ascii="Times New Roman" w:hAnsi="Times New Roman" w:eastAsia="宋体" w:cs="Times New Roman"/>
                <w:b w:val="0"/>
                <w:bCs/>
                <w:color w:val="auto"/>
                <w:sz w:val="24"/>
                <w:szCs w:val="24"/>
                <w:highlight w:val="none"/>
                <w:lang w:val="en-US" w:eastAsia="zh-CN"/>
              </w:rPr>
              <w:t>同时，</w:t>
            </w:r>
            <w:r>
              <w:rPr>
                <w:rFonts w:hint="default" w:ascii="Times New Roman" w:hAnsi="Times New Roman" w:eastAsia="宋体" w:cs="Times New Roman"/>
                <w:color w:val="000000"/>
                <w:kern w:val="0"/>
                <w:sz w:val="24"/>
                <w:lang w:val="en-US" w:eastAsia="zh-CN" w:bidi="ar"/>
              </w:rPr>
              <w:t>2026年8月21日</w:t>
            </w:r>
            <w:r>
              <w:rPr>
                <w:rFonts w:hint="default" w:ascii="Times New Roman" w:hAnsi="Times New Roman" w:eastAsia="宋体" w:cs="Times New Roman"/>
                <w:color w:val="000000"/>
                <w:kern w:val="0"/>
                <w:sz w:val="24"/>
                <w:lang w:bidi="ar"/>
              </w:rPr>
              <w:t>已取得寻甸特色产业园区管理委员会出具的《</w:t>
            </w:r>
            <w:r>
              <w:rPr>
                <w:rFonts w:hint="default" w:ascii="Times New Roman" w:hAnsi="Times New Roman" w:eastAsia="宋体" w:cs="Times New Roman"/>
                <w:color w:val="000000"/>
                <w:kern w:val="0"/>
                <w:sz w:val="24"/>
                <w:lang w:eastAsia="zh-CN" w:bidi="ar"/>
              </w:rPr>
              <w:t>寻甸亿源塑料制品有限公司果蔬专用框生产项目</w:t>
            </w:r>
            <w:r>
              <w:rPr>
                <w:rFonts w:hint="eastAsia" w:cs="Times New Roman"/>
                <w:color w:val="000000"/>
                <w:kern w:val="0"/>
                <w:sz w:val="24"/>
                <w:lang w:eastAsia="zh-CN" w:bidi="ar"/>
              </w:rPr>
              <w:t>（</w:t>
            </w:r>
            <w:r>
              <w:rPr>
                <w:rFonts w:hint="default" w:ascii="Times New Roman" w:hAnsi="Times New Roman" w:eastAsia="宋体" w:cs="Times New Roman"/>
                <w:color w:val="000000"/>
                <w:kern w:val="0"/>
                <w:sz w:val="24"/>
                <w:lang w:eastAsia="zh-CN" w:bidi="ar"/>
              </w:rPr>
              <w:t>金所片区</w:t>
            </w:r>
            <w:r>
              <w:rPr>
                <w:rFonts w:hint="eastAsia" w:cs="Times New Roman"/>
                <w:color w:val="000000"/>
                <w:kern w:val="0"/>
                <w:sz w:val="24"/>
                <w:lang w:eastAsia="zh-CN" w:bidi="ar"/>
              </w:rPr>
              <w:t>）</w:t>
            </w:r>
            <w:r>
              <w:rPr>
                <w:rFonts w:hint="default" w:ascii="Times New Roman" w:hAnsi="Times New Roman" w:eastAsia="宋体" w:cs="Times New Roman"/>
                <w:color w:val="000000"/>
                <w:kern w:val="0"/>
                <w:sz w:val="24"/>
                <w:lang w:val="en-US" w:eastAsia="zh-CN" w:bidi="ar"/>
              </w:rPr>
              <w:t>入</w:t>
            </w:r>
            <w:r>
              <w:rPr>
                <w:rFonts w:hint="default" w:ascii="Times New Roman" w:hAnsi="Times New Roman" w:eastAsia="宋体" w:cs="Times New Roman"/>
                <w:color w:val="000000"/>
                <w:kern w:val="0"/>
                <w:sz w:val="24"/>
                <w:lang w:eastAsia="zh-CN" w:bidi="ar"/>
              </w:rPr>
              <w:t>园申请同意书</w:t>
            </w:r>
            <w:r>
              <w:rPr>
                <w:rFonts w:hint="default" w:ascii="Times New Roman" w:hAnsi="Times New Roman" w:eastAsia="宋体" w:cs="Times New Roman"/>
                <w:color w:val="000000"/>
                <w:kern w:val="0"/>
                <w:sz w:val="24"/>
                <w:lang w:bidi="ar"/>
              </w:rPr>
              <w:t>》</w:t>
            </w:r>
            <w:r>
              <w:rPr>
                <w:rFonts w:hint="eastAsia" w:cs="Times New Roman"/>
                <w:color w:val="000000"/>
                <w:kern w:val="0"/>
                <w:sz w:val="24"/>
                <w:lang w:eastAsia="zh-CN" w:bidi="ar"/>
              </w:rPr>
              <w:t>（</w:t>
            </w:r>
            <w:r>
              <w:rPr>
                <w:rFonts w:hint="eastAsia" w:cs="Times New Roman"/>
                <w:color w:val="000000"/>
                <w:kern w:val="0"/>
                <w:sz w:val="24"/>
                <w:lang w:val="en-US" w:eastAsia="zh-CN" w:bidi="ar"/>
              </w:rPr>
              <w:t>附件6</w:t>
            </w:r>
            <w:r>
              <w:rPr>
                <w:rFonts w:hint="eastAsia" w:cs="Times New Roman"/>
                <w:color w:val="000000"/>
                <w:kern w:val="0"/>
                <w:sz w:val="24"/>
                <w:lang w:eastAsia="zh-CN" w:bidi="ar"/>
              </w:rPr>
              <w:t>）</w:t>
            </w:r>
            <w:r>
              <w:rPr>
                <w:rFonts w:hint="default" w:ascii="Times New Roman" w:hAnsi="Times New Roman" w:eastAsia="宋体" w:cs="Times New Roman"/>
                <w:color w:val="000000"/>
                <w:kern w:val="0"/>
                <w:sz w:val="24"/>
                <w:lang w:val="zh-CN" w:bidi="ar"/>
              </w:rPr>
              <w:t>，</w:t>
            </w:r>
            <w:r>
              <w:rPr>
                <w:rFonts w:hint="default" w:ascii="Times New Roman" w:hAnsi="Times New Roman" w:eastAsia="宋体" w:cs="Times New Roman"/>
                <w:color w:val="000000"/>
                <w:kern w:val="0"/>
                <w:sz w:val="24"/>
                <w:lang w:bidi="ar"/>
              </w:rPr>
              <w:t>同意书中明确“项目符合园区产业发展，同意寻甸亿源塑料制品有限公司《寻甸亿源塑料制品有限公司果蔬专用框生产项目</w:t>
            </w:r>
            <w:r>
              <w:rPr>
                <w:rFonts w:hint="eastAsia" w:cs="Times New Roman"/>
                <w:color w:val="000000"/>
                <w:kern w:val="0"/>
                <w:sz w:val="24"/>
                <w:lang w:eastAsia="zh-CN" w:bidi="ar"/>
              </w:rPr>
              <w:t>（</w:t>
            </w:r>
            <w:r>
              <w:rPr>
                <w:rFonts w:hint="default" w:ascii="Times New Roman" w:hAnsi="Times New Roman" w:eastAsia="宋体" w:cs="Times New Roman"/>
                <w:color w:val="000000"/>
                <w:kern w:val="0"/>
                <w:sz w:val="24"/>
                <w:lang w:bidi="ar"/>
              </w:rPr>
              <w:t>金所片区</w:t>
            </w:r>
            <w:r>
              <w:rPr>
                <w:rFonts w:hint="eastAsia" w:cs="Times New Roman"/>
                <w:color w:val="000000"/>
                <w:kern w:val="0"/>
                <w:sz w:val="24"/>
                <w:lang w:eastAsia="zh-CN" w:bidi="ar"/>
              </w:rPr>
              <w:t>）</w:t>
            </w:r>
            <w:r>
              <w:rPr>
                <w:rFonts w:hint="default" w:ascii="Times New Roman" w:hAnsi="Times New Roman" w:eastAsia="宋体" w:cs="Times New Roman"/>
                <w:color w:val="000000"/>
                <w:kern w:val="0"/>
                <w:sz w:val="24"/>
                <w:lang w:bidi="ar"/>
              </w:rPr>
              <w:t>》入驻寻甸产业园区金所片区”</w:t>
            </w:r>
            <w:r>
              <w:rPr>
                <w:rFonts w:hint="default" w:ascii="Times New Roman" w:hAnsi="Times New Roman" w:eastAsia="宋体" w:cs="Times New Roman"/>
                <w:color w:val="auto"/>
                <w:sz w:val="24"/>
                <w:lang w:val="en-US" w:eastAsia="zh-CN"/>
              </w:rPr>
              <w:t>。</w:t>
            </w:r>
          </w:p>
          <w:p w14:paraId="3D942F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建设场地条件、交通运输、环境质量和水、电、通信等条件良好，无重大的环境制约因素。项目运营后产生的“三废”采取相应的环保措施后，对周边环境影响较小，项目涉及的风险物质储量低于临界储存量，存在的风险较小，在采取相应的风险预防措施后，存在的风险是可以接受的。</w:t>
            </w:r>
          </w:p>
          <w:p w14:paraId="71258D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color w:val="auto"/>
                <w:kern w:val="0"/>
                <w:sz w:val="24"/>
              </w:rPr>
              <w:t>综上所述，</w:t>
            </w:r>
            <w:r>
              <w:rPr>
                <w:rFonts w:hint="default" w:ascii="Times New Roman" w:hAnsi="Times New Roman" w:eastAsia="宋体" w:cs="Times New Roman"/>
                <w:color w:val="auto"/>
                <w:sz w:val="24"/>
              </w:rPr>
              <w:t>项目选址合理。</w:t>
            </w:r>
          </w:p>
          <w:p w14:paraId="0E0E868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lang w:val="en-US" w:eastAsia="zh-CN"/>
              </w:rPr>
              <w:t>19</w:t>
            </w:r>
            <w:r>
              <w:rPr>
                <w:rFonts w:hint="default" w:ascii="Times New Roman" w:hAnsi="Times New Roman" w:eastAsia="宋体" w:cs="Times New Roman"/>
                <w:b/>
                <w:bCs/>
                <w:color w:val="auto"/>
                <w:sz w:val="24"/>
              </w:rPr>
              <w:t>、环境相容性分析</w:t>
            </w:r>
          </w:p>
          <w:p w14:paraId="4F78EFB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b w:val="0"/>
                <w:bCs w:val="0"/>
                <w:color w:val="auto"/>
                <w:kern w:val="0"/>
                <w:sz w:val="24"/>
              </w:rPr>
              <w:t>项目选址位于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b w:val="0"/>
                <w:bCs w:val="0"/>
                <w:color w:val="auto"/>
                <w:kern w:val="0"/>
                <w:sz w:val="24"/>
              </w:rPr>
              <w:t>，租用</w:t>
            </w:r>
            <w:r>
              <w:rPr>
                <w:rFonts w:hint="default" w:ascii="Times New Roman" w:hAnsi="Times New Roman" w:eastAsia="宋体" w:cs="Times New Roman"/>
                <w:b w:val="0"/>
                <w:bCs w:val="0"/>
                <w:color w:val="auto"/>
                <w:kern w:val="0"/>
                <w:sz w:val="24"/>
                <w:lang w:eastAsia="zh-CN"/>
              </w:rPr>
              <w:t>云南鹏达冠得有限公司</w:t>
            </w:r>
            <w:r>
              <w:rPr>
                <w:rFonts w:hint="default" w:ascii="Times New Roman" w:hAnsi="Times New Roman" w:eastAsia="宋体" w:cs="Times New Roman"/>
                <w:b w:val="0"/>
                <w:bCs w:val="0"/>
                <w:color w:val="auto"/>
                <w:kern w:val="0"/>
                <w:sz w:val="24"/>
              </w:rPr>
              <w:t>已建闲置厂房</w:t>
            </w:r>
            <w:r>
              <w:rPr>
                <w:rFonts w:hint="default" w:ascii="Times New Roman" w:hAnsi="Times New Roman" w:eastAsia="宋体" w:cs="Times New Roman"/>
                <w:b w:val="0"/>
                <w:bCs w:val="0"/>
                <w:color w:val="auto"/>
                <w:kern w:val="0"/>
                <w:sz w:val="24"/>
                <w:szCs w:val="24"/>
              </w:rPr>
              <w:t>进行建设</w:t>
            </w:r>
            <w:r>
              <w:rPr>
                <w:rFonts w:hint="default" w:ascii="Times New Roman" w:hAnsi="Times New Roman" w:eastAsia="宋体" w:cs="Times New Roman"/>
                <w:b w:val="0"/>
                <w:bCs w:val="0"/>
                <w:color w:val="auto"/>
                <w:kern w:val="0"/>
                <w:sz w:val="24"/>
                <w:szCs w:val="24"/>
                <w:lang w:eastAsia="zh-CN"/>
              </w:rPr>
              <w:t>。</w:t>
            </w:r>
            <w:r>
              <w:rPr>
                <w:rFonts w:hint="default" w:ascii="Times New Roman" w:hAnsi="Times New Roman" w:eastAsia="宋体" w:cs="Times New Roman"/>
                <w:color w:val="auto"/>
                <w:kern w:val="0"/>
                <w:sz w:val="24"/>
                <w:szCs w:val="24"/>
              </w:rPr>
              <w:t>根据现场调查，项目周边</w:t>
            </w:r>
            <w:r>
              <w:rPr>
                <w:rFonts w:hint="eastAsia" w:cs="Times New Roman"/>
                <w:color w:val="auto"/>
                <w:kern w:val="0"/>
                <w:sz w:val="24"/>
                <w:szCs w:val="24"/>
                <w:lang w:val="en-US" w:eastAsia="zh-CN"/>
              </w:rPr>
              <w:t>500m范围</w:t>
            </w:r>
            <w:r>
              <w:rPr>
                <w:rFonts w:hint="default" w:ascii="Times New Roman" w:hAnsi="Times New Roman" w:eastAsia="宋体" w:cs="Times New Roman"/>
                <w:color w:val="auto"/>
                <w:kern w:val="0"/>
                <w:sz w:val="24"/>
                <w:szCs w:val="24"/>
              </w:rPr>
              <w:t>主要</w:t>
            </w:r>
            <w:r>
              <w:rPr>
                <w:rFonts w:hint="eastAsia" w:cs="Times New Roman"/>
                <w:color w:val="auto"/>
                <w:kern w:val="0"/>
                <w:sz w:val="24"/>
                <w:szCs w:val="24"/>
                <w:lang w:val="en-US" w:eastAsia="zh-CN"/>
              </w:rPr>
              <w:t>分布有家具制造、</w:t>
            </w:r>
            <w:r>
              <w:rPr>
                <w:rFonts w:hint="default" w:ascii="Times New Roman" w:hAnsi="Times New Roman" w:eastAsia="宋体" w:cs="Times New Roman"/>
                <w:color w:val="auto"/>
                <w:sz w:val="24"/>
                <w:szCs w:val="24"/>
                <w:highlight w:val="none"/>
                <w:lang w:val="en-US" w:eastAsia="zh-CN"/>
              </w:rPr>
              <w:t>建筑涂料</w:t>
            </w:r>
            <w:r>
              <w:rPr>
                <w:rFonts w:hint="default" w:ascii="Times New Roman" w:hAnsi="Times New Roman" w:eastAsia="宋体" w:cs="Times New Roman"/>
                <w:color w:val="auto"/>
                <w:kern w:val="0"/>
                <w:sz w:val="24"/>
                <w:szCs w:val="24"/>
              </w:rPr>
              <w:t>生产加工</w:t>
            </w:r>
            <w:r>
              <w:rPr>
                <w:rFonts w:hint="eastAsia" w:cs="Times New Roman"/>
                <w:color w:val="auto"/>
                <w:kern w:val="0"/>
                <w:sz w:val="24"/>
                <w:szCs w:val="24"/>
                <w:lang w:eastAsia="zh-CN"/>
              </w:rPr>
              <w:t>、</w:t>
            </w:r>
            <w:r>
              <w:rPr>
                <w:rFonts w:hint="eastAsia" w:cs="Times New Roman"/>
                <w:color w:val="auto"/>
                <w:sz w:val="24"/>
                <w:szCs w:val="24"/>
                <w:highlight w:val="none"/>
                <w:lang w:val="en-US" w:eastAsia="zh-CN"/>
              </w:rPr>
              <w:t>生活</w:t>
            </w:r>
            <w:r>
              <w:rPr>
                <w:rFonts w:hint="default" w:ascii="Times New Roman" w:hAnsi="Times New Roman" w:eastAsia="宋体" w:cs="Times New Roman"/>
                <w:color w:val="auto"/>
                <w:sz w:val="24"/>
                <w:szCs w:val="24"/>
                <w:highlight w:val="none"/>
                <w:lang w:val="en-US" w:eastAsia="zh-CN"/>
              </w:rPr>
              <w:t>用品</w:t>
            </w:r>
            <w:r>
              <w:rPr>
                <w:rFonts w:hint="eastAsia" w:ascii="Times New Roman" w:hAnsi="Times New Roman" w:eastAsia="宋体" w:cs="Times New Roman"/>
                <w:color w:val="auto"/>
                <w:sz w:val="24"/>
                <w:szCs w:val="24"/>
                <w:highlight w:val="none"/>
                <w:lang w:val="en-US" w:eastAsia="zh-CN"/>
              </w:rPr>
              <w:t>及</w:t>
            </w:r>
            <w:r>
              <w:rPr>
                <w:rFonts w:hint="default" w:ascii="Times New Roman" w:hAnsi="Times New Roman" w:eastAsia="宋体" w:cs="Times New Roman"/>
                <w:color w:val="auto"/>
                <w:sz w:val="24"/>
                <w:szCs w:val="24"/>
                <w:highlight w:val="none"/>
                <w:lang w:val="en-US" w:eastAsia="zh-CN"/>
              </w:rPr>
              <w:t>纸制品</w:t>
            </w:r>
            <w:r>
              <w:rPr>
                <w:rFonts w:hint="eastAsia" w:ascii="Times New Roman" w:hAnsi="Times New Roman" w:eastAsia="宋体"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lang w:val="en-US" w:eastAsia="zh-CN"/>
              </w:rPr>
              <w:t>加工</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塑胶制品</w:t>
            </w:r>
            <w:r>
              <w:rPr>
                <w:rFonts w:hint="eastAsia" w:ascii="Times New Roman" w:hAnsi="Times New Roman" w:eastAsia="宋体" w:cs="Times New Roman"/>
                <w:color w:val="auto"/>
                <w:sz w:val="24"/>
                <w:szCs w:val="24"/>
                <w:highlight w:val="none"/>
                <w:lang w:val="en-US" w:eastAsia="zh-CN"/>
              </w:rPr>
              <w:t>生产加工、</w:t>
            </w:r>
            <w:r>
              <w:rPr>
                <w:rFonts w:hint="default" w:ascii="Times New Roman" w:hAnsi="Times New Roman" w:eastAsia="宋体" w:cs="Times New Roman"/>
                <w:color w:val="auto"/>
                <w:sz w:val="24"/>
                <w:szCs w:val="24"/>
                <w:highlight w:val="none"/>
                <w:lang w:val="en-US" w:eastAsia="zh-CN"/>
              </w:rPr>
              <w:t>铝制品加工</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kern w:val="0"/>
                <w:sz w:val="24"/>
                <w:szCs w:val="24"/>
                <w:lang w:val="en-US" w:eastAsia="zh-CN"/>
              </w:rPr>
              <w:t>建材仓储销售等企业</w:t>
            </w:r>
            <w:r>
              <w:rPr>
                <w:rFonts w:hint="default" w:ascii="Times New Roman" w:hAnsi="Times New Roman" w:eastAsia="宋体" w:cs="Times New Roman"/>
                <w:color w:val="auto"/>
                <w:kern w:val="0"/>
                <w:sz w:val="24"/>
                <w:szCs w:val="24"/>
              </w:rPr>
              <w:t>（具体企业分布情况</w:t>
            </w:r>
            <w:r>
              <w:rPr>
                <w:rFonts w:hint="default" w:ascii="Times New Roman" w:hAnsi="Times New Roman" w:eastAsia="宋体" w:cs="Times New Roman"/>
                <w:color w:val="auto"/>
                <w:kern w:val="0"/>
                <w:sz w:val="24"/>
              </w:rPr>
              <w:t>见表1-</w:t>
            </w:r>
            <w:r>
              <w:rPr>
                <w:rFonts w:hint="eastAsia" w:cs="Times New Roman"/>
                <w:color w:val="auto"/>
                <w:kern w:val="0"/>
                <w:sz w:val="24"/>
                <w:lang w:val="en-US" w:eastAsia="zh-CN"/>
              </w:rPr>
              <w:t>21</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sz w:val="24"/>
              </w:rPr>
              <w:t>。区域以工业企业为主，无学校、医院、集中居民区等环境敏感目标。周边现有企业大多为轻工、建材加工类企业，与本项目产业类型相近，区域工业环境特征明显。</w:t>
            </w:r>
          </w:p>
          <w:p w14:paraId="2D17B079">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表1</w:t>
            </w:r>
            <w:r>
              <w:rPr>
                <w:rFonts w:hint="eastAsia" w:cs="Times New Roman"/>
                <w:b/>
                <w:bCs/>
                <w:color w:val="auto"/>
                <w:sz w:val="21"/>
                <w:szCs w:val="21"/>
                <w:lang w:val="en-US" w:eastAsia="zh-CN"/>
              </w:rPr>
              <w:t>-21</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项目周边企业情况一览表</w:t>
            </w: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2035"/>
              <w:gridCol w:w="763"/>
              <w:gridCol w:w="817"/>
              <w:gridCol w:w="1309"/>
              <w:gridCol w:w="1610"/>
              <w:gridCol w:w="689"/>
            </w:tblGrid>
            <w:tr w14:paraId="68D0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53F28A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1288" w:type="pct"/>
                  <w:noWrap w:val="0"/>
                  <w:vAlign w:val="center"/>
                </w:tcPr>
                <w:p w14:paraId="2E4B8A1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周围</w:t>
                  </w:r>
                  <w:r>
                    <w:rPr>
                      <w:rFonts w:hint="default" w:ascii="Times New Roman" w:hAnsi="Times New Roman" w:eastAsia="宋体" w:cs="Times New Roman"/>
                      <w:b/>
                      <w:color w:val="auto"/>
                      <w:sz w:val="21"/>
                      <w:szCs w:val="21"/>
                      <w:highlight w:val="none"/>
                      <w:lang w:val="en-US" w:eastAsia="zh-CN"/>
                    </w:rPr>
                    <w:t>企业</w:t>
                  </w:r>
                </w:p>
              </w:tc>
              <w:tc>
                <w:tcPr>
                  <w:tcW w:w="483" w:type="pct"/>
                  <w:noWrap w:val="0"/>
                  <w:vAlign w:val="center"/>
                </w:tcPr>
                <w:p w14:paraId="6F1F922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方位</w:t>
                  </w:r>
                </w:p>
              </w:tc>
              <w:tc>
                <w:tcPr>
                  <w:tcW w:w="517" w:type="pct"/>
                  <w:noWrap w:val="0"/>
                  <w:vAlign w:val="center"/>
                </w:tcPr>
                <w:p w14:paraId="4D804A2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距离</w:t>
                  </w:r>
                </w:p>
              </w:tc>
              <w:tc>
                <w:tcPr>
                  <w:tcW w:w="829" w:type="pct"/>
                  <w:noWrap w:val="0"/>
                  <w:vAlign w:val="center"/>
                </w:tcPr>
                <w:p w14:paraId="21DBE1C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产品方案</w:t>
                  </w:r>
                </w:p>
              </w:tc>
              <w:tc>
                <w:tcPr>
                  <w:tcW w:w="1019" w:type="pct"/>
                  <w:noWrap w:val="0"/>
                  <w:vAlign w:val="center"/>
                </w:tcPr>
                <w:p w14:paraId="519A86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污染物排放</w:t>
                  </w:r>
                </w:p>
              </w:tc>
              <w:tc>
                <w:tcPr>
                  <w:tcW w:w="436" w:type="pct"/>
                  <w:noWrap w:val="0"/>
                  <w:vAlign w:val="center"/>
                </w:tcPr>
                <w:p w14:paraId="0209443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备注</w:t>
                  </w:r>
                </w:p>
              </w:tc>
            </w:tr>
            <w:tr w14:paraId="6141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CD1DC7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p>
              </w:tc>
              <w:tc>
                <w:tcPr>
                  <w:tcW w:w="1288" w:type="pct"/>
                  <w:noWrap w:val="0"/>
                  <w:vAlign w:val="center"/>
                </w:tcPr>
                <w:p w14:paraId="68F2D2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云南鹏达冠得有限</w:t>
                  </w:r>
                  <w:r>
                    <w:rPr>
                      <w:rFonts w:hint="eastAsia" w:cs="Times New Roman"/>
                      <w:color w:val="auto"/>
                      <w:sz w:val="21"/>
                      <w:szCs w:val="21"/>
                      <w:highlight w:val="none"/>
                      <w:lang w:eastAsia="zh-CN"/>
                    </w:rPr>
                    <w:t>公司</w:t>
                  </w:r>
                </w:p>
              </w:tc>
              <w:tc>
                <w:tcPr>
                  <w:tcW w:w="483" w:type="pct"/>
                  <w:noWrap w:val="0"/>
                  <w:vAlign w:val="center"/>
                </w:tcPr>
                <w:p w14:paraId="7B01698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20A0CA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紧邻</w:t>
                  </w:r>
                </w:p>
              </w:tc>
              <w:tc>
                <w:tcPr>
                  <w:tcW w:w="829" w:type="pct"/>
                  <w:noWrap w:val="0"/>
                  <w:vAlign w:val="center"/>
                </w:tcPr>
                <w:p w14:paraId="068E12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家具制造</w:t>
                  </w:r>
                </w:p>
              </w:tc>
              <w:tc>
                <w:tcPr>
                  <w:tcW w:w="1019" w:type="pct"/>
                  <w:noWrap w:val="0"/>
                  <w:vAlign w:val="center"/>
                </w:tcPr>
                <w:p w14:paraId="13B108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786DE5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00F4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1A901F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2</w:t>
                  </w:r>
                </w:p>
              </w:tc>
              <w:tc>
                <w:tcPr>
                  <w:tcW w:w="1288" w:type="pct"/>
                  <w:noWrap w:val="0"/>
                  <w:vAlign w:val="center"/>
                </w:tcPr>
                <w:p w14:paraId="1E3FF9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云南嘉丽洁建筑材料有限公司</w:t>
                  </w:r>
                </w:p>
              </w:tc>
              <w:tc>
                <w:tcPr>
                  <w:tcW w:w="483" w:type="pct"/>
                  <w:noWrap w:val="0"/>
                  <w:vAlign w:val="center"/>
                </w:tcPr>
                <w:p w14:paraId="3713B3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东侧</w:t>
                  </w:r>
                </w:p>
              </w:tc>
              <w:tc>
                <w:tcPr>
                  <w:tcW w:w="517" w:type="pct"/>
                  <w:noWrap w:val="0"/>
                  <w:vAlign w:val="center"/>
                </w:tcPr>
                <w:p w14:paraId="6EE1E5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20m</w:t>
                  </w:r>
                </w:p>
              </w:tc>
              <w:tc>
                <w:tcPr>
                  <w:tcW w:w="829" w:type="pct"/>
                  <w:noWrap w:val="0"/>
                  <w:vAlign w:val="center"/>
                </w:tcPr>
                <w:p w14:paraId="2D4860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建材销售</w:t>
                  </w:r>
                </w:p>
              </w:tc>
              <w:tc>
                <w:tcPr>
                  <w:tcW w:w="1019" w:type="pct"/>
                  <w:noWrap w:val="0"/>
                  <w:vAlign w:val="center"/>
                </w:tcPr>
                <w:p w14:paraId="6B321D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p>
              </w:tc>
              <w:tc>
                <w:tcPr>
                  <w:tcW w:w="436" w:type="pct"/>
                  <w:noWrap w:val="0"/>
                  <w:vAlign w:val="center"/>
                </w:tcPr>
                <w:p w14:paraId="3FE7E7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已建</w:t>
                  </w:r>
                </w:p>
              </w:tc>
            </w:tr>
            <w:tr w14:paraId="70C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06C3AC0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3</w:t>
                  </w:r>
                </w:p>
              </w:tc>
              <w:tc>
                <w:tcPr>
                  <w:tcW w:w="1288" w:type="pct"/>
                  <w:noWrap w:val="0"/>
                  <w:vAlign w:val="center"/>
                </w:tcPr>
                <w:p w14:paraId="31CA4B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云南锦桂涂料有限公司</w:t>
                  </w:r>
                </w:p>
              </w:tc>
              <w:tc>
                <w:tcPr>
                  <w:tcW w:w="483" w:type="pct"/>
                  <w:noWrap w:val="0"/>
                  <w:vAlign w:val="center"/>
                </w:tcPr>
                <w:p w14:paraId="044986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359E51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90m</w:t>
                  </w:r>
                </w:p>
              </w:tc>
              <w:tc>
                <w:tcPr>
                  <w:tcW w:w="829" w:type="pct"/>
                  <w:noWrap w:val="0"/>
                  <w:vAlign w:val="center"/>
                </w:tcPr>
                <w:p w14:paraId="163782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建筑涂料加工</w:t>
                  </w:r>
                </w:p>
              </w:tc>
              <w:tc>
                <w:tcPr>
                  <w:tcW w:w="1019" w:type="pct"/>
                  <w:noWrap w:val="0"/>
                  <w:vAlign w:val="center"/>
                </w:tcPr>
                <w:p w14:paraId="452A3E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539C29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已建</w:t>
                  </w:r>
                </w:p>
              </w:tc>
            </w:tr>
            <w:tr w14:paraId="1D40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2775CFF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4</w:t>
                  </w:r>
                </w:p>
              </w:tc>
              <w:tc>
                <w:tcPr>
                  <w:tcW w:w="1288" w:type="pct"/>
                  <w:noWrap w:val="0"/>
                  <w:vAlign w:val="center"/>
                </w:tcPr>
                <w:p w14:paraId="62852A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云南攀昆卫生用品有限公司</w:t>
                  </w:r>
                </w:p>
              </w:tc>
              <w:tc>
                <w:tcPr>
                  <w:tcW w:w="483" w:type="pct"/>
                  <w:noWrap w:val="0"/>
                  <w:vAlign w:val="center"/>
                </w:tcPr>
                <w:p w14:paraId="15906D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00AEAF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453m</w:t>
                  </w:r>
                </w:p>
              </w:tc>
              <w:tc>
                <w:tcPr>
                  <w:tcW w:w="829" w:type="pct"/>
                  <w:noWrap w:val="0"/>
                  <w:vAlign w:val="center"/>
                </w:tcPr>
                <w:p w14:paraId="4A9524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卫生用品、纸制品等加工</w:t>
                  </w:r>
                </w:p>
              </w:tc>
              <w:tc>
                <w:tcPr>
                  <w:tcW w:w="1019" w:type="pct"/>
                  <w:noWrap w:val="0"/>
                  <w:vAlign w:val="center"/>
                </w:tcPr>
                <w:p w14:paraId="6F74C2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54442F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已建</w:t>
                  </w:r>
                </w:p>
              </w:tc>
            </w:tr>
            <w:tr w14:paraId="21AA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948C17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w:t>
                  </w:r>
                </w:p>
              </w:tc>
              <w:tc>
                <w:tcPr>
                  <w:tcW w:w="1288" w:type="pct"/>
                  <w:noWrap w:val="0"/>
                  <w:vAlign w:val="center"/>
                </w:tcPr>
                <w:p w14:paraId="2030C2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云南丰达纸业有限公司</w:t>
                  </w:r>
                </w:p>
              </w:tc>
              <w:tc>
                <w:tcPr>
                  <w:tcW w:w="483" w:type="pct"/>
                  <w:noWrap w:val="0"/>
                  <w:vAlign w:val="center"/>
                </w:tcPr>
                <w:p w14:paraId="4854B9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6B7779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203m</w:t>
                  </w:r>
                </w:p>
              </w:tc>
              <w:tc>
                <w:tcPr>
                  <w:tcW w:w="829" w:type="pct"/>
                  <w:noWrap w:val="0"/>
                  <w:vAlign w:val="center"/>
                </w:tcPr>
                <w:p w14:paraId="2896DC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纸制品加工</w:t>
                  </w:r>
                </w:p>
              </w:tc>
              <w:tc>
                <w:tcPr>
                  <w:tcW w:w="1019" w:type="pct"/>
                  <w:noWrap w:val="0"/>
                  <w:vAlign w:val="center"/>
                </w:tcPr>
                <w:p w14:paraId="63B1AA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0C953B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30C8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0D774B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w:t>
                  </w:r>
                </w:p>
              </w:tc>
              <w:tc>
                <w:tcPr>
                  <w:tcW w:w="1288" w:type="pct"/>
                  <w:noWrap w:val="0"/>
                  <w:vAlign w:val="center"/>
                </w:tcPr>
                <w:p w14:paraId="083DCD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云南昆和包装印刷有限公司</w:t>
                  </w:r>
                </w:p>
              </w:tc>
              <w:tc>
                <w:tcPr>
                  <w:tcW w:w="483" w:type="pct"/>
                  <w:noWrap w:val="0"/>
                  <w:vAlign w:val="center"/>
                </w:tcPr>
                <w:p w14:paraId="268378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277D5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456m</w:t>
                  </w:r>
                </w:p>
              </w:tc>
              <w:tc>
                <w:tcPr>
                  <w:tcW w:w="829" w:type="pct"/>
                  <w:noWrap w:val="0"/>
                  <w:vAlign w:val="center"/>
                </w:tcPr>
                <w:p w14:paraId="3587E8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纸制品加工</w:t>
                  </w:r>
                </w:p>
              </w:tc>
              <w:tc>
                <w:tcPr>
                  <w:tcW w:w="1019" w:type="pct"/>
                  <w:noWrap w:val="0"/>
                  <w:vAlign w:val="center"/>
                </w:tcPr>
                <w:p w14:paraId="7FBF88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p>
              </w:tc>
              <w:tc>
                <w:tcPr>
                  <w:tcW w:w="436" w:type="pct"/>
                  <w:noWrap w:val="0"/>
                  <w:vAlign w:val="center"/>
                </w:tcPr>
                <w:p w14:paraId="64910E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370D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D8953A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w:t>
                  </w:r>
                </w:p>
              </w:tc>
              <w:tc>
                <w:tcPr>
                  <w:tcW w:w="1288" w:type="pct"/>
                  <w:noWrap w:val="0"/>
                  <w:vAlign w:val="center"/>
                </w:tcPr>
                <w:p w14:paraId="18356F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云南嘉航卫生用品有限公司</w:t>
                  </w:r>
                </w:p>
              </w:tc>
              <w:tc>
                <w:tcPr>
                  <w:tcW w:w="483" w:type="pct"/>
                  <w:noWrap w:val="0"/>
                  <w:vAlign w:val="center"/>
                </w:tcPr>
                <w:p w14:paraId="61731A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1CCBA1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404m</w:t>
                  </w:r>
                </w:p>
              </w:tc>
              <w:tc>
                <w:tcPr>
                  <w:tcW w:w="829" w:type="pct"/>
                  <w:noWrap w:val="0"/>
                  <w:vAlign w:val="center"/>
                </w:tcPr>
                <w:p w14:paraId="08EA18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卫生用品、纸制品等加工</w:t>
                  </w:r>
                </w:p>
              </w:tc>
              <w:tc>
                <w:tcPr>
                  <w:tcW w:w="1019" w:type="pct"/>
                  <w:noWrap w:val="0"/>
                  <w:vAlign w:val="center"/>
                </w:tcPr>
                <w:p w14:paraId="3ECC9D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007564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3A8D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1A3C830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w:t>
                  </w:r>
                </w:p>
              </w:tc>
              <w:tc>
                <w:tcPr>
                  <w:tcW w:w="1288" w:type="pct"/>
                  <w:noWrap w:val="0"/>
                  <w:vAlign w:val="center"/>
                </w:tcPr>
                <w:p w14:paraId="0FD64A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云南茂源纸业有限公司</w:t>
                  </w:r>
                </w:p>
              </w:tc>
              <w:tc>
                <w:tcPr>
                  <w:tcW w:w="483" w:type="pct"/>
                  <w:noWrap w:val="0"/>
                  <w:vAlign w:val="center"/>
                </w:tcPr>
                <w:p w14:paraId="4593DD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55B715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365m</w:t>
                  </w:r>
                </w:p>
              </w:tc>
              <w:tc>
                <w:tcPr>
                  <w:tcW w:w="829" w:type="pct"/>
                  <w:noWrap w:val="0"/>
                  <w:vAlign w:val="center"/>
                </w:tcPr>
                <w:p w14:paraId="1F1464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纸制品加工</w:t>
                  </w:r>
                </w:p>
              </w:tc>
              <w:tc>
                <w:tcPr>
                  <w:tcW w:w="1019" w:type="pct"/>
                  <w:noWrap w:val="0"/>
                  <w:vAlign w:val="center"/>
                </w:tcPr>
                <w:p w14:paraId="164111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47A2B2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1A99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496BCC6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w:t>
                  </w:r>
                </w:p>
              </w:tc>
              <w:tc>
                <w:tcPr>
                  <w:tcW w:w="1288" w:type="pct"/>
                  <w:noWrap w:val="0"/>
                  <w:vAlign w:val="center"/>
                </w:tcPr>
                <w:p w14:paraId="228CAA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云南亨纸业有限公司</w:t>
                  </w:r>
                </w:p>
              </w:tc>
              <w:tc>
                <w:tcPr>
                  <w:tcW w:w="483" w:type="pct"/>
                  <w:noWrap w:val="0"/>
                  <w:vAlign w:val="center"/>
                </w:tcPr>
                <w:p w14:paraId="6988B6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14B45C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288m</w:t>
                  </w:r>
                </w:p>
              </w:tc>
              <w:tc>
                <w:tcPr>
                  <w:tcW w:w="829" w:type="pct"/>
                  <w:noWrap w:val="0"/>
                  <w:vAlign w:val="center"/>
                </w:tcPr>
                <w:p w14:paraId="48DB49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纸制品加工</w:t>
                  </w:r>
                </w:p>
              </w:tc>
              <w:tc>
                <w:tcPr>
                  <w:tcW w:w="1019" w:type="pct"/>
                  <w:noWrap w:val="0"/>
                  <w:vAlign w:val="center"/>
                </w:tcPr>
                <w:p w14:paraId="7CA578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2360FC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726F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63FC7A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c>
                <w:tcPr>
                  <w:tcW w:w="1288" w:type="pct"/>
                  <w:noWrap w:val="0"/>
                  <w:vAlign w:val="center"/>
                </w:tcPr>
                <w:p w14:paraId="3BCED9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昆明正能博美纸业有限公司</w:t>
                  </w:r>
                </w:p>
              </w:tc>
              <w:tc>
                <w:tcPr>
                  <w:tcW w:w="483" w:type="pct"/>
                  <w:noWrap w:val="0"/>
                  <w:vAlign w:val="center"/>
                </w:tcPr>
                <w:p w14:paraId="22D741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西北侧</w:t>
                  </w:r>
                </w:p>
              </w:tc>
              <w:tc>
                <w:tcPr>
                  <w:tcW w:w="517" w:type="pct"/>
                  <w:noWrap w:val="0"/>
                  <w:vAlign w:val="center"/>
                </w:tcPr>
                <w:p w14:paraId="386F46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245m</w:t>
                  </w:r>
                </w:p>
              </w:tc>
              <w:tc>
                <w:tcPr>
                  <w:tcW w:w="829" w:type="pct"/>
                  <w:noWrap w:val="0"/>
                  <w:vAlign w:val="center"/>
                </w:tcPr>
                <w:p w14:paraId="5B69C4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纸制品加工</w:t>
                  </w:r>
                </w:p>
              </w:tc>
              <w:tc>
                <w:tcPr>
                  <w:tcW w:w="1019" w:type="pct"/>
                  <w:noWrap w:val="0"/>
                  <w:vAlign w:val="center"/>
                </w:tcPr>
                <w:p w14:paraId="7F5A09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792F61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72B2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F5AAD6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w:t>
                  </w:r>
                </w:p>
              </w:tc>
              <w:tc>
                <w:tcPr>
                  <w:tcW w:w="1288" w:type="pct"/>
                  <w:noWrap w:val="0"/>
                  <w:vAlign w:val="center"/>
                </w:tcPr>
                <w:p w14:paraId="1FDCE6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云南拓欣机械设备有限公司</w:t>
                  </w:r>
                </w:p>
              </w:tc>
              <w:tc>
                <w:tcPr>
                  <w:tcW w:w="483" w:type="pct"/>
                  <w:noWrap w:val="0"/>
                  <w:vAlign w:val="center"/>
                </w:tcPr>
                <w:p w14:paraId="2549AE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西侧</w:t>
                  </w:r>
                </w:p>
              </w:tc>
              <w:tc>
                <w:tcPr>
                  <w:tcW w:w="517" w:type="pct"/>
                  <w:noWrap w:val="0"/>
                  <w:vAlign w:val="center"/>
                </w:tcPr>
                <w:p w14:paraId="627FD2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89m</w:t>
                  </w:r>
                </w:p>
              </w:tc>
              <w:tc>
                <w:tcPr>
                  <w:tcW w:w="829" w:type="pct"/>
                  <w:noWrap w:val="0"/>
                  <w:vAlign w:val="center"/>
                </w:tcPr>
                <w:p w14:paraId="452154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机械设备制造</w:t>
                  </w:r>
                </w:p>
              </w:tc>
              <w:tc>
                <w:tcPr>
                  <w:tcW w:w="1019" w:type="pct"/>
                  <w:noWrap w:val="0"/>
                  <w:vAlign w:val="center"/>
                </w:tcPr>
                <w:p w14:paraId="581108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66708A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5350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13CEC88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w:t>
                  </w:r>
                </w:p>
              </w:tc>
              <w:tc>
                <w:tcPr>
                  <w:tcW w:w="1288" w:type="pct"/>
                  <w:noWrap w:val="0"/>
                  <w:vAlign w:val="center"/>
                </w:tcPr>
                <w:p w14:paraId="5D871F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云南状才木业有限公司</w:t>
                  </w:r>
                </w:p>
              </w:tc>
              <w:tc>
                <w:tcPr>
                  <w:tcW w:w="483" w:type="pct"/>
                  <w:noWrap w:val="0"/>
                  <w:vAlign w:val="center"/>
                </w:tcPr>
                <w:p w14:paraId="24578A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西侧</w:t>
                  </w:r>
                </w:p>
              </w:tc>
              <w:tc>
                <w:tcPr>
                  <w:tcW w:w="517" w:type="pct"/>
                  <w:noWrap w:val="0"/>
                  <w:vAlign w:val="center"/>
                </w:tcPr>
                <w:p w14:paraId="55B60F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360m</w:t>
                  </w:r>
                </w:p>
              </w:tc>
              <w:tc>
                <w:tcPr>
                  <w:tcW w:w="829" w:type="pct"/>
                  <w:noWrap w:val="0"/>
                  <w:vAlign w:val="center"/>
                </w:tcPr>
                <w:p w14:paraId="4D0591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木材加工</w:t>
                  </w:r>
                </w:p>
              </w:tc>
              <w:tc>
                <w:tcPr>
                  <w:tcW w:w="1019" w:type="pct"/>
                  <w:noWrap w:val="0"/>
                  <w:vAlign w:val="center"/>
                </w:tcPr>
                <w:p w14:paraId="0602BB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1CA3BF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29ED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43E97CF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w:t>
                  </w:r>
                </w:p>
              </w:tc>
              <w:tc>
                <w:tcPr>
                  <w:tcW w:w="1288" w:type="pct"/>
                  <w:noWrap w:val="0"/>
                  <w:vAlign w:val="center"/>
                </w:tcPr>
                <w:p w14:paraId="6A61DF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云南嘉峰家具制造有限公司</w:t>
                  </w:r>
                </w:p>
              </w:tc>
              <w:tc>
                <w:tcPr>
                  <w:tcW w:w="483" w:type="pct"/>
                  <w:noWrap w:val="0"/>
                  <w:vAlign w:val="center"/>
                </w:tcPr>
                <w:p w14:paraId="07FE65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517" w:type="pct"/>
                  <w:noWrap w:val="0"/>
                  <w:vAlign w:val="center"/>
                </w:tcPr>
                <w:p w14:paraId="04BCF7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396m</w:t>
                  </w:r>
                </w:p>
              </w:tc>
              <w:tc>
                <w:tcPr>
                  <w:tcW w:w="829" w:type="pct"/>
                  <w:noWrap w:val="0"/>
                  <w:vAlign w:val="center"/>
                </w:tcPr>
                <w:p w14:paraId="5E92BA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家具制造</w:t>
                  </w:r>
                </w:p>
              </w:tc>
              <w:tc>
                <w:tcPr>
                  <w:tcW w:w="1019" w:type="pct"/>
                  <w:noWrap w:val="0"/>
                  <w:vAlign w:val="center"/>
                </w:tcPr>
                <w:p w14:paraId="3D55F5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213D14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0F93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38E4A7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w:t>
                  </w:r>
                </w:p>
              </w:tc>
              <w:tc>
                <w:tcPr>
                  <w:tcW w:w="1288" w:type="pct"/>
                  <w:noWrap w:val="0"/>
                  <w:vAlign w:val="center"/>
                </w:tcPr>
                <w:p w14:paraId="0B6406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昆明铂林塑胶制品有限公司</w:t>
                  </w:r>
                </w:p>
              </w:tc>
              <w:tc>
                <w:tcPr>
                  <w:tcW w:w="483" w:type="pct"/>
                  <w:noWrap w:val="0"/>
                  <w:vAlign w:val="center"/>
                </w:tcPr>
                <w:p w14:paraId="312F48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517" w:type="pct"/>
                  <w:noWrap w:val="0"/>
                  <w:vAlign w:val="center"/>
                </w:tcPr>
                <w:p w14:paraId="7DA8B9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360m</w:t>
                  </w:r>
                </w:p>
              </w:tc>
              <w:tc>
                <w:tcPr>
                  <w:tcW w:w="829" w:type="pct"/>
                  <w:noWrap w:val="0"/>
                  <w:vAlign w:val="center"/>
                </w:tcPr>
                <w:p w14:paraId="687BEB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塑胶制品制造</w:t>
                  </w:r>
                </w:p>
              </w:tc>
              <w:tc>
                <w:tcPr>
                  <w:tcW w:w="1019" w:type="pct"/>
                  <w:noWrap w:val="0"/>
                  <w:vAlign w:val="center"/>
                </w:tcPr>
                <w:p w14:paraId="7ADCAA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499421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6F87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0C27C50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1288" w:type="pct"/>
                  <w:noWrap w:val="0"/>
                  <w:vAlign w:val="center"/>
                </w:tcPr>
                <w:p w14:paraId="64C8FE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云南金凯粤铝业科技有限公司</w:t>
                  </w:r>
                </w:p>
              </w:tc>
              <w:tc>
                <w:tcPr>
                  <w:tcW w:w="483" w:type="pct"/>
                  <w:noWrap w:val="0"/>
                  <w:vAlign w:val="center"/>
                </w:tcPr>
                <w:p w14:paraId="7BCCEB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517" w:type="pct"/>
                  <w:noWrap w:val="0"/>
                  <w:vAlign w:val="center"/>
                </w:tcPr>
                <w:p w14:paraId="178317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255m</w:t>
                  </w:r>
                </w:p>
              </w:tc>
              <w:tc>
                <w:tcPr>
                  <w:tcW w:w="829" w:type="pct"/>
                  <w:noWrap w:val="0"/>
                  <w:vAlign w:val="center"/>
                </w:tcPr>
                <w:p w14:paraId="1C35B7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铝业制品加工</w:t>
                  </w:r>
                </w:p>
              </w:tc>
              <w:tc>
                <w:tcPr>
                  <w:tcW w:w="1019" w:type="pct"/>
                  <w:noWrap w:val="0"/>
                  <w:vAlign w:val="center"/>
                </w:tcPr>
                <w:p w14:paraId="290955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52A257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39BD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096D0ED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w:t>
                  </w:r>
                </w:p>
              </w:tc>
              <w:tc>
                <w:tcPr>
                  <w:tcW w:w="1288" w:type="pct"/>
                  <w:noWrap w:val="0"/>
                  <w:vAlign w:val="center"/>
                </w:tcPr>
                <w:p w14:paraId="191BBC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云南龙相新型材料有限公司</w:t>
                  </w:r>
                </w:p>
              </w:tc>
              <w:tc>
                <w:tcPr>
                  <w:tcW w:w="483" w:type="pct"/>
                  <w:noWrap w:val="0"/>
                  <w:vAlign w:val="center"/>
                </w:tcPr>
                <w:p w14:paraId="668976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517" w:type="pct"/>
                  <w:noWrap w:val="0"/>
                  <w:vAlign w:val="center"/>
                </w:tcPr>
                <w:p w14:paraId="7006F1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213m</w:t>
                  </w:r>
                </w:p>
              </w:tc>
              <w:tc>
                <w:tcPr>
                  <w:tcW w:w="829" w:type="pct"/>
                  <w:noWrap w:val="0"/>
                  <w:vAlign w:val="center"/>
                </w:tcPr>
                <w:p w14:paraId="2CCF77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建材销售</w:t>
                  </w:r>
                </w:p>
              </w:tc>
              <w:tc>
                <w:tcPr>
                  <w:tcW w:w="1019" w:type="pct"/>
                  <w:noWrap w:val="0"/>
                  <w:vAlign w:val="center"/>
                </w:tcPr>
                <w:p w14:paraId="579CAF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36" w:type="pct"/>
                  <w:noWrap w:val="0"/>
                  <w:vAlign w:val="center"/>
                </w:tcPr>
                <w:p w14:paraId="5DC277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74EE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2FD4D7E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1288" w:type="pct"/>
                  <w:noWrap w:val="0"/>
                  <w:vAlign w:val="center"/>
                </w:tcPr>
                <w:p w14:paraId="5292DA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昆明的美装饰材料有限公司</w:t>
                  </w:r>
                </w:p>
              </w:tc>
              <w:tc>
                <w:tcPr>
                  <w:tcW w:w="483" w:type="pct"/>
                  <w:noWrap w:val="0"/>
                  <w:vAlign w:val="center"/>
                </w:tcPr>
                <w:p w14:paraId="3A3582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西南侧</w:t>
                  </w:r>
                </w:p>
              </w:tc>
              <w:tc>
                <w:tcPr>
                  <w:tcW w:w="517" w:type="pct"/>
                  <w:noWrap w:val="0"/>
                  <w:vAlign w:val="center"/>
                </w:tcPr>
                <w:p w14:paraId="615806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138m</w:t>
                  </w:r>
                </w:p>
              </w:tc>
              <w:tc>
                <w:tcPr>
                  <w:tcW w:w="829" w:type="pct"/>
                  <w:noWrap w:val="0"/>
                  <w:vAlign w:val="center"/>
                </w:tcPr>
                <w:p w14:paraId="612312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装饰材料</w:t>
                  </w:r>
                  <w:r>
                    <w:rPr>
                      <w:rFonts w:hint="default" w:ascii="Times New Roman" w:hAnsi="Times New Roman" w:eastAsia="宋体" w:cs="Times New Roman"/>
                      <w:color w:val="auto"/>
                      <w:sz w:val="21"/>
                      <w:szCs w:val="21"/>
                      <w:highlight w:val="none"/>
                      <w:lang w:val="en-US" w:eastAsia="zh-CN"/>
                    </w:rPr>
                    <w:t>销售</w:t>
                  </w:r>
                </w:p>
              </w:tc>
              <w:tc>
                <w:tcPr>
                  <w:tcW w:w="1019" w:type="pct"/>
                  <w:noWrap w:val="0"/>
                  <w:vAlign w:val="center"/>
                </w:tcPr>
                <w:p w14:paraId="135D8C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36" w:type="pct"/>
                  <w:noWrap w:val="0"/>
                  <w:vAlign w:val="center"/>
                </w:tcPr>
                <w:p w14:paraId="47FC8F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1C5B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5CE8FC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w:t>
                  </w:r>
                </w:p>
              </w:tc>
              <w:tc>
                <w:tcPr>
                  <w:tcW w:w="1288" w:type="pct"/>
                  <w:noWrap w:val="0"/>
                  <w:vAlign w:val="center"/>
                </w:tcPr>
                <w:p w14:paraId="3E94AD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云南奇源新能源科技有限公司</w:t>
                  </w:r>
                </w:p>
              </w:tc>
              <w:tc>
                <w:tcPr>
                  <w:tcW w:w="483" w:type="pct"/>
                  <w:noWrap w:val="0"/>
                  <w:vAlign w:val="center"/>
                </w:tcPr>
                <w:p w14:paraId="2D70A0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2978D3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43m</w:t>
                  </w:r>
                </w:p>
              </w:tc>
              <w:tc>
                <w:tcPr>
                  <w:tcW w:w="829" w:type="pct"/>
                  <w:noWrap w:val="0"/>
                  <w:vAlign w:val="center"/>
                </w:tcPr>
                <w:p w14:paraId="36456F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新能源设备销售</w:t>
                  </w:r>
                </w:p>
              </w:tc>
              <w:tc>
                <w:tcPr>
                  <w:tcW w:w="1019" w:type="pct"/>
                  <w:noWrap w:val="0"/>
                  <w:vAlign w:val="center"/>
                </w:tcPr>
                <w:p w14:paraId="4FD488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w:t>
                  </w:r>
                </w:p>
              </w:tc>
              <w:tc>
                <w:tcPr>
                  <w:tcW w:w="436" w:type="pct"/>
                  <w:noWrap w:val="0"/>
                  <w:vAlign w:val="center"/>
                </w:tcPr>
                <w:p w14:paraId="63ED69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已建</w:t>
                  </w:r>
                </w:p>
              </w:tc>
            </w:tr>
            <w:tr w14:paraId="2021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77B9F97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1288" w:type="pct"/>
                  <w:noWrap w:val="0"/>
                  <w:vAlign w:val="center"/>
                </w:tcPr>
                <w:p w14:paraId="3044B7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广东佛山梦之绿涂料</w:t>
                  </w:r>
                  <w:r>
                    <w:rPr>
                      <w:rFonts w:hint="eastAsia" w:cs="Times New Roman"/>
                      <w:i w:val="0"/>
                      <w:iCs w:val="0"/>
                      <w:color w:val="000000"/>
                      <w:kern w:val="0"/>
                      <w:sz w:val="21"/>
                      <w:szCs w:val="21"/>
                      <w:highlight w:val="none"/>
                      <w:u w:val="none"/>
                      <w:lang w:val="en-US" w:eastAsia="zh-CN" w:bidi="ar"/>
                    </w:rPr>
                    <w:t>（</w:t>
                  </w:r>
                  <w:r>
                    <w:rPr>
                      <w:rFonts w:hint="default" w:ascii="Times New Roman" w:hAnsi="Times New Roman" w:eastAsia="宋体" w:cs="Times New Roman"/>
                      <w:i w:val="0"/>
                      <w:iCs w:val="0"/>
                      <w:color w:val="000000"/>
                      <w:kern w:val="0"/>
                      <w:sz w:val="21"/>
                      <w:szCs w:val="21"/>
                      <w:highlight w:val="none"/>
                      <w:u w:val="none"/>
                      <w:lang w:val="en-US" w:eastAsia="zh-CN" w:bidi="ar"/>
                    </w:rPr>
                    <w:t>云南仓储中心</w:t>
                  </w:r>
                  <w:r>
                    <w:rPr>
                      <w:rFonts w:hint="eastAsia" w:cs="Times New Roman"/>
                      <w:i w:val="0"/>
                      <w:iCs w:val="0"/>
                      <w:color w:val="000000"/>
                      <w:kern w:val="0"/>
                      <w:sz w:val="21"/>
                      <w:szCs w:val="21"/>
                      <w:highlight w:val="none"/>
                      <w:u w:val="none"/>
                      <w:lang w:val="en-US" w:eastAsia="zh-CN" w:bidi="ar"/>
                    </w:rPr>
                    <w:t>）</w:t>
                  </w:r>
                </w:p>
              </w:tc>
              <w:tc>
                <w:tcPr>
                  <w:tcW w:w="483" w:type="pct"/>
                  <w:noWrap w:val="0"/>
                  <w:vAlign w:val="center"/>
                </w:tcPr>
                <w:p w14:paraId="6058F3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19AF37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107m</w:t>
                  </w:r>
                </w:p>
              </w:tc>
              <w:tc>
                <w:tcPr>
                  <w:tcW w:w="829" w:type="pct"/>
                  <w:noWrap w:val="0"/>
                  <w:vAlign w:val="center"/>
                </w:tcPr>
                <w:p w14:paraId="56B67C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涂料销售仓储</w:t>
                  </w:r>
                </w:p>
              </w:tc>
              <w:tc>
                <w:tcPr>
                  <w:tcW w:w="1019" w:type="pct"/>
                  <w:noWrap w:val="0"/>
                  <w:vAlign w:val="center"/>
                </w:tcPr>
                <w:p w14:paraId="2071F5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36" w:type="pct"/>
                  <w:noWrap w:val="0"/>
                  <w:vAlign w:val="center"/>
                </w:tcPr>
                <w:p w14:paraId="20BF49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4815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29DAB57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1288" w:type="pct"/>
                  <w:noWrap w:val="0"/>
                  <w:vAlign w:val="center"/>
                </w:tcPr>
                <w:p w14:paraId="534A6B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比利孚绿色肥料（云南）有限公司</w:t>
                  </w:r>
                </w:p>
              </w:tc>
              <w:tc>
                <w:tcPr>
                  <w:tcW w:w="483" w:type="pct"/>
                  <w:noWrap w:val="0"/>
                  <w:vAlign w:val="center"/>
                </w:tcPr>
                <w:p w14:paraId="1E709D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1BA36F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166m</w:t>
                  </w:r>
                </w:p>
              </w:tc>
              <w:tc>
                <w:tcPr>
                  <w:tcW w:w="829" w:type="pct"/>
                  <w:noWrap w:val="0"/>
                  <w:vAlign w:val="center"/>
                </w:tcPr>
                <w:p w14:paraId="715637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绿色肥料生产</w:t>
                  </w:r>
                </w:p>
              </w:tc>
              <w:tc>
                <w:tcPr>
                  <w:tcW w:w="1019" w:type="pct"/>
                  <w:noWrap w:val="0"/>
                  <w:vAlign w:val="center"/>
                </w:tcPr>
                <w:p w14:paraId="18A5AD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臭气浓度、</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7779DC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54BA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DE6FC0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w:t>
                  </w:r>
                </w:p>
              </w:tc>
              <w:tc>
                <w:tcPr>
                  <w:tcW w:w="1288" w:type="pct"/>
                  <w:noWrap w:val="0"/>
                  <w:vAlign w:val="center"/>
                </w:tcPr>
                <w:p w14:paraId="79FA02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云南汇超海绵制造有限公司</w:t>
                  </w:r>
                </w:p>
              </w:tc>
              <w:tc>
                <w:tcPr>
                  <w:tcW w:w="483" w:type="pct"/>
                  <w:noWrap w:val="0"/>
                  <w:vAlign w:val="center"/>
                </w:tcPr>
                <w:p w14:paraId="6C2972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东南侧</w:t>
                  </w:r>
                </w:p>
              </w:tc>
              <w:tc>
                <w:tcPr>
                  <w:tcW w:w="517" w:type="pct"/>
                  <w:noWrap w:val="0"/>
                  <w:vAlign w:val="center"/>
                </w:tcPr>
                <w:p w14:paraId="4E619C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156m</w:t>
                  </w:r>
                </w:p>
              </w:tc>
              <w:tc>
                <w:tcPr>
                  <w:tcW w:w="829" w:type="pct"/>
                  <w:noWrap w:val="0"/>
                  <w:vAlign w:val="center"/>
                </w:tcPr>
                <w:p w14:paraId="00A382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海绵制造</w:t>
                  </w:r>
                </w:p>
              </w:tc>
              <w:tc>
                <w:tcPr>
                  <w:tcW w:w="1019" w:type="pct"/>
                  <w:noWrap w:val="0"/>
                  <w:vAlign w:val="center"/>
                </w:tcPr>
                <w:p w14:paraId="64DBF5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2C24CE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65FE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5783245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w:t>
                  </w:r>
                </w:p>
              </w:tc>
              <w:tc>
                <w:tcPr>
                  <w:tcW w:w="1288" w:type="pct"/>
                  <w:noWrap w:val="0"/>
                  <w:vAlign w:val="center"/>
                </w:tcPr>
                <w:p w14:paraId="4BDC82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云南天源钢结构工程有限公司</w:t>
                  </w:r>
                </w:p>
              </w:tc>
              <w:tc>
                <w:tcPr>
                  <w:tcW w:w="483" w:type="pct"/>
                  <w:noWrap w:val="0"/>
                  <w:vAlign w:val="center"/>
                </w:tcPr>
                <w:p w14:paraId="5E41D0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东南侧</w:t>
                  </w:r>
                </w:p>
              </w:tc>
              <w:tc>
                <w:tcPr>
                  <w:tcW w:w="517" w:type="pct"/>
                  <w:noWrap w:val="0"/>
                  <w:vAlign w:val="center"/>
                </w:tcPr>
                <w:p w14:paraId="229C36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224m</w:t>
                  </w:r>
                </w:p>
              </w:tc>
              <w:tc>
                <w:tcPr>
                  <w:tcW w:w="829" w:type="pct"/>
                  <w:noWrap w:val="0"/>
                  <w:vAlign w:val="center"/>
                </w:tcPr>
                <w:p w14:paraId="46D693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钢材销售</w:t>
                  </w:r>
                </w:p>
              </w:tc>
              <w:tc>
                <w:tcPr>
                  <w:tcW w:w="1019" w:type="pct"/>
                  <w:noWrap w:val="0"/>
                  <w:vAlign w:val="center"/>
                </w:tcPr>
                <w:p w14:paraId="0DEBBB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36" w:type="pct"/>
                  <w:noWrap w:val="0"/>
                  <w:vAlign w:val="center"/>
                </w:tcPr>
                <w:p w14:paraId="0D6700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591B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AC1A55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w:t>
                  </w:r>
                </w:p>
              </w:tc>
              <w:tc>
                <w:tcPr>
                  <w:tcW w:w="1288" w:type="pct"/>
                  <w:noWrap w:val="0"/>
                  <w:vAlign w:val="center"/>
                </w:tcPr>
                <w:p w14:paraId="13F1C8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云南艾家建筑材料有限公司</w:t>
                  </w:r>
                </w:p>
              </w:tc>
              <w:tc>
                <w:tcPr>
                  <w:tcW w:w="483" w:type="pct"/>
                  <w:noWrap w:val="0"/>
                  <w:vAlign w:val="center"/>
                </w:tcPr>
                <w:p w14:paraId="7A0B02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5B4D16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317m</w:t>
                  </w:r>
                </w:p>
              </w:tc>
              <w:tc>
                <w:tcPr>
                  <w:tcW w:w="829" w:type="pct"/>
                  <w:noWrap w:val="0"/>
                  <w:vAlign w:val="center"/>
                </w:tcPr>
                <w:p w14:paraId="66F0A2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建材销售</w:t>
                  </w:r>
                </w:p>
              </w:tc>
              <w:tc>
                <w:tcPr>
                  <w:tcW w:w="1019" w:type="pct"/>
                  <w:noWrap w:val="0"/>
                  <w:vAlign w:val="center"/>
                </w:tcPr>
                <w:p w14:paraId="19C78A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36" w:type="pct"/>
                  <w:noWrap w:val="0"/>
                  <w:vAlign w:val="center"/>
                </w:tcPr>
                <w:p w14:paraId="2FB245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43DB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6C48F19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24</w:t>
                  </w:r>
                </w:p>
              </w:tc>
              <w:tc>
                <w:tcPr>
                  <w:tcW w:w="1288" w:type="pct"/>
                  <w:noWrap w:val="0"/>
                  <w:vAlign w:val="center"/>
                </w:tcPr>
                <w:p w14:paraId="44B272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得奥海绵制造有限公司</w:t>
                  </w:r>
                </w:p>
              </w:tc>
              <w:tc>
                <w:tcPr>
                  <w:tcW w:w="483" w:type="pct"/>
                  <w:noWrap w:val="0"/>
                  <w:vAlign w:val="center"/>
                </w:tcPr>
                <w:p w14:paraId="4B72D2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南侧</w:t>
                  </w:r>
                </w:p>
              </w:tc>
              <w:tc>
                <w:tcPr>
                  <w:tcW w:w="517" w:type="pct"/>
                  <w:noWrap w:val="0"/>
                  <w:vAlign w:val="center"/>
                </w:tcPr>
                <w:p w14:paraId="31409A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386m</w:t>
                  </w:r>
                </w:p>
              </w:tc>
              <w:tc>
                <w:tcPr>
                  <w:tcW w:w="829" w:type="pct"/>
                  <w:noWrap w:val="0"/>
                  <w:vAlign w:val="center"/>
                </w:tcPr>
                <w:p w14:paraId="27D398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海绵制造</w:t>
                  </w:r>
                </w:p>
              </w:tc>
              <w:tc>
                <w:tcPr>
                  <w:tcW w:w="1019" w:type="pct"/>
                  <w:noWrap w:val="0"/>
                  <w:vAlign w:val="center"/>
                </w:tcPr>
                <w:p w14:paraId="447C00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有机废气</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725746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0184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3AC64ED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25</w:t>
                  </w:r>
                </w:p>
              </w:tc>
              <w:tc>
                <w:tcPr>
                  <w:tcW w:w="1288" w:type="pct"/>
                  <w:noWrap w:val="0"/>
                  <w:vAlign w:val="center"/>
                </w:tcPr>
                <w:p w14:paraId="0EE1D3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寻甸龙筑混凝土有限公司</w:t>
                  </w:r>
                </w:p>
              </w:tc>
              <w:tc>
                <w:tcPr>
                  <w:tcW w:w="483" w:type="pct"/>
                  <w:noWrap w:val="0"/>
                  <w:vAlign w:val="center"/>
                </w:tcPr>
                <w:p w14:paraId="5C7717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东北侧</w:t>
                  </w:r>
                </w:p>
              </w:tc>
              <w:tc>
                <w:tcPr>
                  <w:tcW w:w="517" w:type="pct"/>
                  <w:noWrap w:val="0"/>
                  <w:vAlign w:val="center"/>
                </w:tcPr>
                <w:p w14:paraId="7318DF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223m</w:t>
                  </w:r>
                </w:p>
              </w:tc>
              <w:tc>
                <w:tcPr>
                  <w:tcW w:w="829" w:type="pct"/>
                  <w:noWrap w:val="0"/>
                  <w:vAlign w:val="center"/>
                </w:tcPr>
                <w:p w14:paraId="65CA61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混凝土制品</w:t>
                  </w:r>
                </w:p>
              </w:tc>
              <w:tc>
                <w:tcPr>
                  <w:tcW w:w="1019" w:type="pct"/>
                  <w:noWrap w:val="0"/>
                  <w:vAlign w:val="center"/>
                </w:tcPr>
                <w:p w14:paraId="1603C4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0249ED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r w14:paraId="03AF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4" w:type="pct"/>
                  <w:noWrap w:val="0"/>
                  <w:vAlign w:val="center"/>
                </w:tcPr>
                <w:p w14:paraId="76E7667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26</w:t>
                  </w:r>
                </w:p>
              </w:tc>
              <w:tc>
                <w:tcPr>
                  <w:tcW w:w="1288" w:type="pct"/>
                  <w:noWrap w:val="0"/>
                  <w:vAlign w:val="center"/>
                </w:tcPr>
                <w:p w14:paraId="322EDF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云南荣奥铝业有限公司</w:t>
                  </w:r>
                </w:p>
              </w:tc>
              <w:tc>
                <w:tcPr>
                  <w:tcW w:w="483" w:type="pct"/>
                  <w:noWrap w:val="0"/>
                  <w:vAlign w:val="center"/>
                </w:tcPr>
                <w:p w14:paraId="318163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东南侧</w:t>
                  </w:r>
                </w:p>
              </w:tc>
              <w:tc>
                <w:tcPr>
                  <w:tcW w:w="517" w:type="pct"/>
                  <w:noWrap w:val="0"/>
                  <w:vAlign w:val="center"/>
                </w:tcPr>
                <w:p w14:paraId="1C67D1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430m</w:t>
                  </w:r>
                </w:p>
              </w:tc>
              <w:tc>
                <w:tcPr>
                  <w:tcW w:w="829" w:type="pct"/>
                  <w:noWrap w:val="0"/>
                  <w:vAlign w:val="center"/>
                </w:tcPr>
                <w:p w14:paraId="5D6C25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铝业制品加工</w:t>
                  </w:r>
                </w:p>
              </w:tc>
              <w:tc>
                <w:tcPr>
                  <w:tcW w:w="1019" w:type="pct"/>
                  <w:noWrap w:val="0"/>
                  <w:vAlign w:val="center"/>
                </w:tcPr>
                <w:p w14:paraId="071418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设备噪声</w:t>
                  </w:r>
                </w:p>
              </w:tc>
              <w:tc>
                <w:tcPr>
                  <w:tcW w:w="436" w:type="pct"/>
                  <w:noWrap w:val="0"/>
                  <w:vAlign w:val="center"/>
                </w:tcPr>
                <w:p w14:paraId="3B7487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已建</w:t>
                  </w:r>
                </w:p>
              </w:tc>
            </w:tr>
          </w:tbl>
          <w:p w14:paraId="224838B7">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项目运营期产生的废气、噪声、固体废物，</w:t>
            </w:r>
            <w:r>
              <w:rPr>
                <w:rFonts w:hint="eastAsia" w:eastAsia="宋体" w:cs="Times New Roman"/>
                <w:color w:val="auto"/>
                <w:kern w:val="0"/>
                <w:sz w:val="24"/>
                <w:szCs w:val="24"/>
                <w:lang w:val="en-US" w:eastAsia="zh-CN"/>
              </w:rPr>
              <w:t>在采取相应的环保措施后，</w:t>
            </w:r>
            <w:r>
              <w:rPr>
                <w:rFonts w:hint="default" w:ascii="Times New Roman" w:hAnsi="Times New Roman" w:eastAsia="宋体" w:cs="Times New Roman"/>
                <w:color w:val="auto"/>
                <w:kern w:val="0"/>
                <w:sz w:val="24"/>
                <w:szCs w:val="24"/>
              </w:rPr>
              <w:t>项目产生的噪声、废气均能达标排放；项目生产过程中</w:t>
            </w:r>
            <w:r>
              <w:rPr>
                <w:rFonts w:hint="eastAsia" w:cs="Times New Roman"/>
                <w:color w:val="auto"/>
                <w:kern w:val="0"/>
                <w:sz w:val="24"/>
                <w:szCs w:val="24"/>
                <w:highlight w:val="none"/>
                <w:lang w:val="en-US" w:eastAsia="zh-CN" w:bidi="ar"/>
              </w:rPr>
              <w:t>间接</w:t>
            </w:r>
            <w:r>
              <w:rPr>
                <w:rFonts w:hint="default" w:ascii="Times New Roman" w:hAnsi="Times New Roman" w:eastAsia="宋体" w:cs="Times New Roman"/>
                <w:color w:val="auto"/>
                <w:kern w:val="0"/>
                <w:sz w:val="24"/>
                <w:szCs w:val="24"/>
                <w:highlight w:val="none"/>
                <w:lang w:val="en-US" w:eastAsia="zh-CN" w:bidi="ar"/>
              </w:rPr>
              <w:t>冷却循环</w:t>
            </w:r>
            <w:r>
              <w:rPr>
                <w:rFonts w:hint="eastAsia" w:cs="Times New Roman"/>
                <w:color w:val="auto"/>
                <w:kern w:val="0"/>
                <w:sz w:val="24"/>
                <w:szCs w:val="24"/>
                <w:highlight w:val="none"/>
                <w:lang w:val="en-US" w:eastAsia="zh-CN" w:bidi="ar"/>
              </w:rPr>
              <w:t>废水经</w:t>
            </w:r>
            <w:r>
              <w:rPr>
                <w:rFonts w:hint="default" w:ascii="Times New Roman" w:hAnsi="Times New Roman" w:eastAsia="宋体" w:cs="Times New Roman"/>
                <w:color w:val="auto"/>
                <w:kern w:val="0"/>
                <w:sz w:val="24"/>
                <w:szCs w:val="24"/>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4"/>
                <w:szCs w:val="24"/>
                <w:highlight w:val="none"/>
              </w:rPr>
              <w:t>用于</w:t>
            </w:r>
            <w:r>
              <w:rPr>
                <w:rFonts w:hint="default" w:ascii="Times New Roman" w:hAnsi="Times New Roman" w:eastAsia="宋体" w:cs="Times New Roman"/>
                <w:color w:val="auto"/>
                <w:kern w:val="0"/>
                <w:sz w:val="24"/>
                <w:szCs w:val="24"/>
                <w:highlight w:val="none"/>
                <w:lang w:val="en-US" w:eastAsia="zh-CN" w:bidi="ar"/>
              </w:rPr>
              <w:t>绿化浇灌及道路洒水</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rPr>
              <w:t>生活污水</w:t>
            </w:r>
            <w:r>
              <w:rPr>
                <w:rFonts w:hint="eastAsia" w:eastAsia="宋体" w:cs="Times New Roman"/>
                <w:color w:val="auto"/>
                <w:kern w:val="0"/>
                <w:sz w:val="24"/>
                <w:szCs w:val="24"/>
                <w:lang w:val="en-US" w:eastAsia="zh-CN"/>
              </w:rPr>
              <w:t>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已建污水处理系统（化粪池+</w:t>
            </w:r>
            <w:r>
              <w:rPr>
                <w:rFonts w:hint="default" w:ascii="Times New Roman" w:hAnsi="Times New Roman" w:eastAsia="宋体" w:cs="Times New Roman"/>
                <w:color w:val="auto"/>
                <w:kern w:val="0"/>
                <w:sz w:val="24"/>
                <w:szCs w:val="24"/>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处理达标后</w:t>
            </w:r>
            <w:r>
              <w:rPr>
                <w:rFonts w:hint="default" w:ascii="Times New Roman" w:hAnsi="Times New Roman" w:eastAsia="宋体" w:cs="Times New Roman"/>
                <w:color w:val="auto"/>
                <w:sz w:val="24"/>
                <w:szCs w:val="24"/>
              </w:rPr>
              <w:t>用于</w:t>
            </w:r>
            <w:r>
              <w:rPr>
                <w:rFonts w:hint="default" w:ascii="Times New Roman" w:hAnsi="Times New Roman" w:eastAsia="宋体" w:cs="Times New Roman"/>
                <w:color w:val="auto"/>
                <w:kern w:val="0"/>
                <w:sz w:val="24"/>
                <w:szCs w:val="24"/>
                <w:lang w:val="en-US" w:eastAsia="zh-CN" w:bidi="ar"/>
              </w:rPr>
              <w:t>绿化浇灌及道路洒水</w:t>
            </w:r>
            <w:r>
              <w:rPr>
                <w:rFonts w:hint="default" w:ascii="Times New Roman" w:hAnsi="Times New Roman" w:eastAsia="宋体" w:cs="Times New Roman"/>
                <w:color w:val="auto"/>
                <w:kern w:val="0"/>
                <w:sz w:val="24"/>
                <w:szCs w:val="24"/>
              </w:rPr>
              <w:t>，项目</w:t>
            </w:r>
            <w:r>
              <w:rPr>
                <w:rFonts w:hint="eastAsia" w:eastAsia="宋体" w:cs="Times New Roman"/>
                <w:color w:val="auto"/>
                <w:kern w:val="0"/>
                <w:sz w:val="24"/>
                <w:szCs w:val="24"/>
                <w:lang w:val="en-US" w:eastAsia="zh-CN"/>
              </w:rPr>
              <w:t>无</w:t>
            </w:r>
            <w:r>
              <w:rPr>
                <w:rFonts w:hint="default" w:ascii="Times New Roman" w:hAnsi="Times New Roman" w:eastAsia="宋体" w:cs="Times New Roman"/>
                <w:color w:val="auto"/>
                <w:kern w:val="0"/>
                <w:sz w:val="24"/>
                <w:szCs w:val="24"/>
              </w:rPr>
              <w:t>废水外排；固体废物处置</w:t>
            </w:r>
            <w:r>
              <w:rPr>
                <w:rFonts w:hint="default" w:ascii="Times New Roman" w:hAnsi="Times New Roman" w:eastAsia="宋体" w:cs="Times New Roman"/>
                <w:color w:val="auto"/>
                <w:kern w:val="0"/>
                <w:sz w:val="24"/>
                <w:szCs w:val="24"/>
                <w:lang w:val="en-US" w:eastAsia="zh-CN"/>
              </w:rPr>
              <w:t>率为</w:t>
            </w:r>
            <w:r>
              <w:rPr>
                <w:rFonts w:hint="default" w:ascii="Times New Roman" w:hAnsi="Times New Roman" w:eastAsia="宋体" w:cs="Times New Roman"/>
                <w:color w:val="auto"/>
                <w:kern w:val="0"/>
                <w:sz w:val="24"/>
                <w:szCs w:val="24"/>
              </w:rPr>
              <w:t>100%，项目的建设对周围企业的影响不大。项目污染物排放类型与周边现有企业环境影响特征相近，与区域现有工业环境相容。项目租赁现有闲置厂房实施生产，不新增土建开挖，不改变土地用地性质，不占用生态保护红线、基本农田。</w:t>
            </w:r>
          </w:p>
          <w:p w14:paraId="412866A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在落实本报告提出的各项污染防治措施前提下，本项目与周边现有企业之间环境相互影响较小，区域环境可承载本项目建设，项目选址与周边区域环境具备环境相容性。</w:t>
            </w:r>
          </w:p>
          <w:p w14:paraId="1D011939">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综上所述，本项目与周围环境是相容的。</w:t>
            </w:r>
          </w:p>
          <w:p w14:paraId="6B1175F6">
            <w:pPr>
              <w:pStyle w:val="61"/>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szCs w:val="21"/>
                <w:lang w:val="en-US" w:eastAsia="zh-CN"/>
              </w:rPr>
            </w:pPr>
          </w:p>
        </w:tc>
      </w:tr>
    </w:tbl>
    <w:p w14:paraId="5A3CF6C7">
      <w:pPr>
        <w:spacing w:line="360" w:lineRule="auto"/>
        <w:outlineLvl w:val="0"/>
        <w:rPr>
          <w:rFonts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5917A2F3">
      <w:pPr>
        <w:pStyle w:val="2"/>
        <w:rPr>
          <w:color w:val="auto"/>
        </w:rPr>
      </w:pPr>
      <w:bookmarkStart w:id="7" w:name="_Toc2839"/>
      <w:r>
        <w:rPr>
          <w:rFonts w:hint="eastAsia" w:ascii="宋体" w:hAnsi="宋体" w:eastAsia="宋体" w:cs="宋体"/>
          <w:color w:val="auto"/>
        </w:rPr>
        <w:t>二、建设项目工程分析</w:t>
      </w:r>
      <w:bookmarkEnd w:id="7"/>
    </w:p>
    <w:tbl>
      <w:tblPr>
        <w:tblStyle w:val="36"/>
        <w:tblW w:w="9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8844"/>
      </w:tblGrid>
      <w:tr w14:paraId="08F8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2" w:hRule="atLeast"/>
          <w:jc w:val="center"/>
        </w:trPr>
        <w:tc>
          <w:tcPr>
            <w:tcW w:w="490" w:type="dxa"/>
            <w:noWrap w:val="0"/>
            <w:vAlign w:val="center"/>
          </w:tcPr>
          <w:p w14:paraId="4CFE670E">
            <w:pPr>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 w:val="24"/>
              </w:rPr>
              <w:t>建设内容</w:t>
            </w:r>
          </w:p>
        </w:tc>
        <w:tc>
          <w:tcPr>
            <w:tcW w:w="8844" w:type="dxa"/>
            <w:noWrap w:val="0"/>
            <w:vAlign w:val="top"/>
          </w:tcPr>
          <w:p w14:paraId="1776F32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一、项目由来</w:t>
            </w:r>
          </w:p>
          <w:p w14:paraId="7114385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lang w:eastAsia="zh-CN"/>
              </w:rPr>
              <w:t>云南鹏达冠得有限公司已建厂房位于云南省昆明市寻甸县金所街道办事处竹沟社区居委会魏所工业园区01号。近年来受市场不景气影响，云南鹏达冠得有限公司订单萎缩、生产经营困难，部分生产线陆续停产，其已建厂房部分处于闲置状态。为盘活闲置资产、缓解经营压力，云南鹏达冠得有限公司将</w:t>
            </w:r>
            <w:r>
              <w:rPr>
                <w:rFonts w:hint="eastAsia" w:cs="Times New Roman"/>
                <w:color w:val="auto"/>
                <w:sz w:val="24"/>
                <w:lang w:val="en-US" w:eastAsia="zh-CN"/>
              </w:rPr>
              <w:t>部分</w:t>
            </w:r>
            <w:r>
              <w:rPr>
                <w:rFonts w:hint="default" w:ascii="Times New Roman" w:hAnsi="Times New Roman" w:eastAsia="宋体" w:cs="Times New Roman"/>
                <w:color w:val="auto"/>
                <w:sz w:val="24"/>
                <w:lang w:eastAsia="zh-CN"/>
              </w:rPr>
              <w:t>已建厂房（</w:t>
            </w:r>
            <w:r>
              <w:rPr>
                <w:rFonts w:hint="eastAsia" w:cs="Times New Roman"/>
                <w:color w:val="auto"/>
                <w:sz w:val="24"/>
                <w:lang w:val="en-US" w:eastAsia="zh-CN"/>
              </w:rPr>
              <w:t>占地</w:t>
            </w:r>
            <w:r>
              <w:rPr>
                <w:rFonts w:hint="default" w:ascii="Times New Roman" w:hAnsi="Times New Roman" w:eastAsia="宋体" w:cs="Times New Roman"/>
                <w:color w:val="auto"/>
                <w:sz w:val="24"/>
                <w:lang w:eastAsia="zh-CN"/>
              </w:rPr>
              <w:t>面积约2</w:t>
            </w:r>
            <w:r>
              <w:rPr>
                <w:rFonts w:hint="eastAsia" w:cs="Times New Roman"/>
                <w:color w:val="auto"/>
                <w:sz w:val="24"/>
                <w:lang w:val="en-US" w:eastAsia="zh-CN"/>
              </w:rPr>
              <w:t>3</w:t>
            </w:r>
            <w:r>
              <w:rPr>
                <w:rFonts w:hint="default" w:ascii="Times New Roman" w:hAnsi="Times New Roman" w:eastAsia="宋体" w:cs="Times New Roman"/>
                <w:color w:val="auto"/>
                <w:sz w:val="24"/>
                <w:lang w:eastAsia="zh-CN"/>
              </w:rPr>
              <w:t>00m</w:t>
            </w:r>
            <w:r>
              <w:rPr>
                <w:rFonts w:hint="default" w:ascii="Times New Roman" w:hAnsi="Times New Roman" w:eastAsia="宋体" w:cs="Times New Roman"/>
                <w:color w:val="auto"/>
                <w:sz w:val="24"/>
                <w:vertAlign w:val="superscript"/>
                <w:lang w:eastAsia="zh-CN"/>
              </w:rPr>
              <w:t>2</w:t>
            </w:r>
            <w:r>
              <w:rPr>
                <w:rFonts w:hint="default" w:ascii="Times New Roman" w:hAnsi="Times New Roman" w:eastAsia="宋体" w:cs="Times New Roman"/>
                <w:color w:val="auto"/>
                <w:sz w:val="24"/>
                <w:lang w:eastAsia="zh-CN"/>
              </w:rPr>
              <w:t>）出租给寻甸亿源塑料制品有限公司，建设</w:t>
            </w:r>
            <w:r>
              <w:rPr>
                <w:rFonts w:hint="eastAsia" w:cs="Times New Roman"/>
                <w:color w:val="auto"/>
                <w:sz w:val="24"/>
                <w:lang w:eastAsia="zh-CN"/>
              </w:rPr>
              <w:t>“</w:t>
            </w:r>
            <w:r>
              <w:rPr>
                <w:rFonts w:hint="default" w:ascii="Times New Roman" w:hAnsi="Times New Roman" w:eastAsia="宋体" w:cs="Times New Roman"/>
                <w:color w:val="auto"/>
                <w:sz w:val="24"/>
                <w:lang w:eastAsia="zh-CN"/>
              </w:rPr>
              <w:t>寻甸亿源塑料制品有限公司果蔬专用框生产项目（金所片区）</w:t>
            </w:r>
            <w:r>
              <w:rPr>
                <w:rFonts w:hint="eastAsia" w:cs="Times New Roman"/>
                <w:color w:val="auto"/>
                <w:sz w:val="24"/>
                <w:lang w:eastAsia="zh-CN"/>
              </w:rPr>
              <w:t>”</w:t>
            </w:r>
            <w:r>
              <w:rPr>
                <w:rFonts w:hint="default" w:ascii="Times New Roman" w:hAnsi="Times New Roman" w:eastAsia="宋体" w:cs="Times New Roman"/>
                <w:color w:val="auto"/>
                <w:sz w:val="24"/>
                <w:lang w:eastAsia="zh-CN"/>
              </w:rPr>
              <w:t>。本项目租用厂房</w:t>
            </w:r>
            <w:r>
              <w:rPr>
                <w:rFonts w:hint="eastAsia" w:cs="Times New Roman"/>
                <w:color w:val="auto"/>
                <w:sz w:val="24"/>
                <w:lang w:val="en-US" w:eastAsia="zh-CN"/>
              </w:rPr>
              <w:t>建筑</w:t>
            </w:r>
            <w:r>
              <w:rPr>
                <w:rFonts w:hint="default" w:ascii="Times New Roman" w:hAnsi="Times New Roman" w:eastAsia="宋体" w:cs="Times New Roman"/>
                <w:color w:val="auto"/>
                <w:sz w:val="24"/>
                <w:lang w:eastAsia="zh-CN"/>
              </w:rPr>
              <w:t>面积约为2</w:t>
            </w:r>
            <w:r>
              <w:rPr>
                <w:rFonts w:hint="eastAsia" w:cs="Times New Roman"/>
                <w:color w:val="auto"/>
                <w:sz w:val="24"/>
                <w:lang w:val="en-US" w:eastAsia="zh-CN"/>
              </w:rPr>
              <w:t>9</w:t>
            </w:r>
            <w:r>
              <w:rPr>
                <w:rFonts w:hint="default" w:ascii="Times New Roman" w:hAnsi="Times New Roman" w:eastAsia="宋体" w:cs="Times New Roman"/>
                <w:color w:val="auto"/>
                <w:sz w:val="24"/>
                <w:lang w:eastAsia="zh-CN"/>
              </w:rPr>
              <w:t>00m</w:t>
            </w:r>
            <w:r>
              <w:rPr>
                <w:rFonts w:hint="default" w:ascii="Times New Roman" w:hAnsi="Times New Roman" w:eastAsia="宋体" w:cs="Times New Roman"/>
                <w:color w:val="auto"/>
                <w:sz w:val="24"/>
                <w:vertAlign w:val="superscript"/>
                <w:lang w:eastAsia="zh-CN"/>
              </w:rPr>
              <w:t>2</w:t>
            </w:r>
            <w:r>
              <w:rPr>
                <w:rFonts w:hint="default" w:ascii="Times New Roman" w:hAnsi="Times New Roman" w:eastAsia="宋体" w:cs="Times New Roman"/>
                <w:color w:val="auto"/>
                <w:sz w:val="24"/>
                <w:lang w:eastAsia="zh-CN"/>
              </w:rPr>
              <w:t>，包括生产厂房2300m</w:t>
            </w:r>
            <w:r>
              <w:rPr>
                <w:rFonts w:hint="default" w:ascii="Times New Roman" w:hAnsi="Times New Roman" w:eastAsia="宋体" w:cs="Times New Roman"/>
                <w:color w:val="auto"/>
                <w:sz w:val="24"/>
                <w:vertAlign w:val="superscript"/>
                <w:lang w:eastAsia="zh-CN"/>
              </w:rPr>
              <w:t>2</w:t>
            </w:r>
            <w:r>
              <w:rPr>
                <w:rFonts w:hint="default" w:ascii="Times New Roman" w:hAnsi="Times New Roman" w:eastAsia="宋体" w:cs="Times New Roman"/>
                <w:color w:val="auto"/>
                <w:sz w:val="24"/>
                <w:lang w:eastAsia="zh-CN"/>
              </w:rPr>
              <w:t>、办公室（位于云南鹏达冠得有限公司综合楼</w:t>
            </w:r>
            <w:r>
              <w:rPr>
                <w:rFonts w:hint="eastAsia" w:cs="Times New Roman"/>
                <w:color w:val="auto"/>
                <w:sz w:val="24"/>
                <w:lang w:val="en-US" w:eastAsia="zh-CN"/>
              </w:rPr>
              <w:t>第</w:t>
            </w:r>
            <w:r>
              <w:rPr>
                <w:rFonts w:hint="default" w:ascii="Times New Roman" w:hAnsi="Times New Roman" w:eastAsia="宋体" w:cs="Times New Roman"/>
                <w:color w:val="auto"/>
                <w:sz w:val="24"/>
                <w:lang w:eastAsia="zh-CN"/>
              </w:rPr>
              <w:t>三层）</w:t>
            </w:r>
            <w:r>
              <w:rPr>
                <w:rFonts w:hint="eastAsia" w:cs="Times New Roman"/>
                <w:color w:val="auto"/>
                <w:sz w:val="24"/>
                <w:lang w:val="en-US" w:eastAsia="zh-CN"/>
              </w:rPr>
              <w:t>6</w:t>
            </w:r>
            <w:r>
              <w:rPr>
                <w:rFonts w:hint="default" w:ascii="Times New Roman" w:hAnsi="Times New Roman" w:eastAsia="宋体" w:cs="Times New Roman"/>
                <w:color w:val="auto"/>
                <w:sz w:val="24"/>
                <w:lang w:eastAsia="zh-CN"/>
              </w:rPr>
              <w:t>00m</w:t>
            </w:r>
            <w:r>
              <w:rPr>
                <w:rFonts w:hint="default" w:ascii="Times New Roman" w:hAnsi="Times New Roman" w:eastAsia="宋体" w:cs="Times New Roman"/>
                <w:color w:val="auto"/>
                <w:sz w:val="24"/>
                <w:vertAlign w:val="superscript"/>
                <w:lang w:eastAsia="zh-CN"/>
              </w:rPr>
              <w:t>2</w:t>
            </w:r>
            <w:r>
              <w:rPr>
                <w:rFonts w:hint="default" w:ascii="Times New Roman" w:hAnsi="Times New Roman" w:eastAsia="宋体" w:cs="Times New Roman"/>
                <w:color w:val="auto"/>
                <w:sz w:val="24"/>
                <w:lang w:eastAsia="zh-CN"/>
              </w:rPr>
              <w:t>。</w:t>
            </w:r>
            <w:r>
              <w:rPr>
                <w:rFonts w:hint="eastAsia" w:cs="Times New Roman"/>
                <w:color w:val="auto"/>
                <w:sz w:val="24"/>
                <w:lang w:val="en-US" w:eastAsia="zh-CN"/>
              </w:rPr>
              <w:t>根据项目建设单位了解，</w:t>
            </w:r>
            <w:r>
              <w:rPr>
                <w:rFonts w:hint="default" w:ascii="Times New Roman" w:hAnsi="Times New Roman" w:eastAsia="宋体" w:cs="Times New Roman"/>
                <w:color w:val="auto"/>
                <w:sz w:val="24"/>
                <w:lang w:eastAsia="zh-CN"/>
              </w:rPr>
              <w:t>本项目</w:t>
            </w:r>
            <w:r>
              <w:rPr>
                <w:rFonts w:hint="eastAsia" w:cs="Times New Roman"/>
                <w:color w:val="auto"/>
                <w:sz w:val="24"/>
                <w:lang w:val="en-US" w:eastAsia="zh-CN"/>
              </w:rPr>
              <w:t>设备</w:t>
            </w:r>
            <w:r>
              <w:rPr>
                <w:rFonts w:hint="default" w:ascii="Times New Roman" w:hAnsi="Times New Roman" w:eastAsia="宋体" w:cs="Times New Roman"/>
                <w:color w:val="auto"/>
                <w:sz w:val="24"/>
                <w:lang w:eastAsia="zh-CN"/>
              </w:rPr>
              <w:t>进场前，本次租用厂房</w:t>
            </w:r>
            <w:r>
              <w:rPr>
                <w:rFonts w:hint="eastAsia" w:cs="Times New Roman"/>
                <w:color w:val="auto"/>
                <w:sz w:val="24"/>
                <w:lang w:val="en-US" w:eastAsia="zh-CN"/>
              </w:rPr>
              <w:t>面积</w:t>
            </w:r>
            <w:r>
              <w:rPr>
                <w:rFonts w:hint="default" w:ascii="Times New Roman" w:hAnsi="Times New Roman" w:eastAsia="宋体" w:cs="Times New Roman"/>
                <w:color w:val="auto"/>
                <w:sz w:val="24"/>
                <w:lang w:eastAsia="zh-CN"/>
              </w:rPr>
              <w:t>范围内原有生产设备已全部拆除清空，</w:t>
            </w:r>
            <w:r>
              <w:rPr>
                <w:rFonts w:hint="eastAsia" w:cs="Times New Roman"/>
                <w:color w:val="auto"/>
                <w:sz w:val="24"/>
                <w:lang w:val="en-US" w:eastAsia="zh-CN"/>
              </w:rPr>
              <w:t>已无原有生产线生产迹象，</w:t>
            </w:r>
            <w:r>
              <w:rPr>
                <w:rFonts w:hint="default" w:ascii="Times New Roman" w:hAnsi="Times New Roman" w:eastAsia="宋体" w:cs="Times New Roman"/>
                <w:color w:val="auto"/>
                <w:sz w:val="24"/>
                <w:lang w:eastAsia="zh-CN"/>
              </w:rPr>
              <w:t>厂房</w:t>
            </w:r>
            <w:r>
              <w:rPr>
                <w:rFonts w:hint="eastAsia" w:cs="Times New Roman"/>
                <w:color w:val="auto"/>
                <w:sz w:val="24"/>
                <w:lang w:val="en-US" w:eastAsia="zh-CN"/>
              </w:rPr>
              <w:t>完全</w:t>
            </w:r>
            <w:r>
              <w:rPr>
                <w:rFonts w:hint="default" w:ascii="Times New Roman" w:hAnsi="Times New Roman" w:eastAsia="宋体" w:cs="Times New Roman"/>
                <w:color w:val="auto"/>
                <w:sz w:val="24"/>
                <w:lang w:eastAsia="zh-CN"/>
              </w:rPr>
              <w:t>处于空置状态。根据建设单位提供的资料，项目总投资2500万元，拟</w:t>
            </w:r>
            <w:r>
              <w:rPr>
                <w:rFonts w:hint="eastAsia" w:cs="Times New Roman"/>
                <w:color w:val="auto"/>
                <w:sz w:val="24"/>
                <w:lang w:eastAsia="zh-CN"/>
              </w:rPr>
              <w:t>建设</w:t>
            </w:r>
            <w:r>
              <w:rPr>
                <w:rFonts w:hint="default" w:ascii="Times New Roman" w:hAnsi="Times New Roman" w:eastAsia="宋体" w:cs="Times New Roman"/>
                <w:color w:val="auto"/>
                <w:sz w:val="24"/>
                <w:lang w:eastAsia="zh-CN"/>
              </w:rPr>
              <w:t>8条塑料框生产线，建成后年产塑料框460万个。项目于2026年8月11日取得寻甸回族彝族自治县发展和改革局出具的云南省固定资产投资项目备案证，项目代码为：2608-530129-04-01-108178。</w:t>
            </w:r>
          </w:p>
          <w:p w14:paraId="2E45B9E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lang w:eastAsia="zh-CN"/>
              </w:rPr>
              <w:t>云南鹏达冠得有限公司已建厂房原有环保手续办理情况：云南鹏达冠得有限公司已建厂房</w:t>
            </w:r>
            <w:r>
              <w:rPr>
                <w:rFonts w:hint="default"/>
                <w:color w:val="auto"/>
                <w:kern w:val="0"/>
                <w:sz w:val="24"/>
                <w:lang w:bidi="ar"/>
              </w:rPr>
              <w:t>于20</w:t>
            </w:r>
            <w:r>
              <w:rPr>
                <w:rFonts w:hint="eastAsia"/>
                <w:color w:val="auto"/>
                <w:kern w:val="0"/>
                <w:sz w:val="24"/>
                <w:lang w:val="en-US" w:eastAsia="zh-CN" w:bidi="ar"/>
              </w:rPr>
              <w:t>20</w:t>
            </w:r>
            <w:r>
              <w:rPr>
                <w:rFonts w:hint="default"/>
                <w:color w:val="auto"/>
                <w:kern w:val="0"/>
                <w:sz w:val="24"/>
                <w:lang w:bidi="ar"/>
              </w:rPr>
              <w:t>年</w:t>
            </w:r>
            <w:r>
              <w:rPr>
                <w:rFonts w:hint="eastAsia"/>
                <w:color w:val="auto"/>
                <w:kern w:val="0"/>
                <w:sz w:val="24"/>
                <w:lang w:val="en-US" w:eastAsia="zh-CN" w:bidi="ar"/>
              </w:rPr>
              <w:t>8</w:t>
            </w:r>
            <w:r>
              <w:rPr>
                <w:rFonts w:hint="default"/>
                <w:color w:val="auto"/>
                <w:kern w:val="0"/>
                <w:sz w:val="24"/>
                <w:lang w:bidi="ar"/>
              </w:rPr>
              <w:t>月26日取得</w:t>
            </w:r>
            <w:r>
              <w:rPr>
                <w:rFonts w:hint="eastAsia"/>
                <w:color w:val="auto"/>
                <w:kern w:val="0"/>
                <w:sz w:val="24"/>
                <w:lang w:val="en-US" w:eastAsia="zh-CN" w:bidi="ar"/>
              </w:rPr>
              <w:t>昆明市生态环境局寻甸分局关于对《云南鹏达冠得家具有限公司家具生产项目环境影响报告表》的批复（</w:t>
            </w:r>
            <w:r>
              <w:rPr>
                <w:rFonts w:hint="eastAsia"/>
                <w:color w:val="auto"/>
                <w:kern w:val="0"/>
                <w:sz w:val="24"/>
                <w:lang w:bidi="ar"/>
              </w:rPr>
              <w:t>昆生环</w:t>
            </w:r>
            <w:r>
              <w:rPr>
                <w:rFonts w:hint="default"/>
                <w:color w:val="auto"/>
                <w:kern w:val="0"/>
                <w:sz w:val="24"/>
                <w:lang w:bidi="ar"/>
              </w:rPr>
              <w:t>〔20</w:t>
            </w:r>
            <w:r>
              <w:rPr>
                <w:rFonts w:hint="eastAsia"/>
                <w:color w:val="auto"/>
                <w:kern w:val="0"/>
                <w:sz w:val="24"/>
                <w:lang w:val="en-US" w:eastAsia="zh-CN" w:bidi="ar"/>
              </w:rPr>
              <w:t>20</w:t>
            </w:r>
            <w:r>
              <w:rPr>
                <w:rFonts w:hint="default"/>
                <w:color w:val="auto"/>
                <w:kern w:val="0"/>
                <w:sz w:val="24"/>
                <w:lang w:bidi="ar"/>
              </w:rPr>
              <w:t>〕</w:t>
            </w:r>
            <w:r>
              <w:rPr>
                <w:rFonts w:hint="eastAsia"/>
                <w:color w:val="auto"/>
                <w:kern w:val="0"/>
                <w:sz w:val="24"/>
                <w:lang w:bidi="ar"/>
              </w:rPr>
              <w:t>119号</w:t>
            </w:r>
            <w:r>
              <w:rPr>
                <w:rFonts w:hint="eastAsia"/>
                <w:color w:val="auto"/>
                <w:kern w:val="0"/>
                <w:sz w:val="24"/>
                <w:lang w:val="en-US" w:eastAsia="zh-CN" w:bidi="ar"/>
              </w:rPr>
              <w:t>）</w:t>
            </w:r>
            <w:r>
              <w:rPr>
                <w:rFonts w:hint="eastAsia"/>
                <w:color w:val="auto"/>
                <w:kern w:val="0"/>
                <w:sz w:val="24"/>
                <w:lang w:bidi="ar"/>
              </w:rPr>
              <w:t>，</w:t>
            </w:r>
            <w:r>
              <w:rPr>
                <w:rFonts w:hint="default"/>
                <w:color w:val="auto"/>
                <w:kern w:val="0"/>
                <w:sz w:val="24"/>
                <w:lang w:bidi="ar"/>
              </w:rPr>
              <w:t>并于20</w:t>
            </w:r>
            <w:r>
              <w:rPr>
                <w:rFonts w:hint="eastAsia"/>
                <w:color w:val="auto"/>
                <w:kern w:val="0"/>
                <w:sz w:val="24"/>
                <w:lang w:val="en-US" w:eastAsia="zh-CN" w:bidi="ar"/>
              </w:rPr>
              <w:t>22</w:t>
            </w:r>
            <w:r>
              <w:rPr>
                <w:rFonts w:hint="default"/>
                <w:color w:val="auto"/>
                <w:kern w:val="0"/>
                <w:sz w:val="24"/>
                <w:lang w:bidi="ar"/>
              </w:rPr>
              <w:t>年</w:t>
            </w:r>
            <w:r>
              <w:rPr>
                <w:rFonts w:hint="eastAsia"/>
                <w:color w:val="auto"/>
                <w:kern w:val="0"/>
                <w:sz w:val="24"/>
                <w:lang w:val="en-US" w:eastAsia="zh-CN" w:bidi="ar"/>
              </w:rPr>
              <w:t>11</w:t>
            </w:r>
            <w:r>
              <w:rPr>
                <w:rFonts w:hint="default"/>
                <w:color w:val="auto"/>
                <w:kern w:val="0"/>
                <w:sz w:val="24"/>
                <w:lang w:bidi="ar"/>
              </w:rPr>
              <w:t>月</w:t>
            </w:r>
            <w:r>
              <w:rPr>
                <w:rFonts w:hint="eastAsia"/>
                <w:color w:val="auto"/>
                <w:kern w:val="0"/>
                <w:sz w:val="24"/>
                <w:lang w:val="en-US" w:eastAsia="zh-CN" w:bidi="ar"/>
              </w:rPr>
              <w:t>25日组织</w:t>
            </w:r>
            <w:r>
              <w:rPr>
                <w:rFonts w:hint="eastAsia"/>
                <w:color w:val="auto"/>
                <w:kern w:val="0"/>
                <w:sz w:val="24"/>
                <w:lang w:bidi="ar"/>
              </w:rPr>
              <w:t>验收组对云南鹏达冠得家具有限公司家具生产项目竣工环境保护“三同时”情况进行检查验收</w:t>
            </w:r>
            <w:r>
              <w:rPr>
                <w:rFonts w:hint="eastAsia"/>
                <w:color w:val="auto"/>
                <w:kern w:val="0"/>
                <w:sz w:val="24"/>
                <w:lang w:val="en-US" w:eastAsia="zh-CN" w:bidi="ar"/>
              </w:rPr>
              <w:t>并通过环保验收</w:t>
            </w:r>
            <w:r>
              <w:rPr>
                <w:rFonts w:hint="default"/>
                <w:color w:val="auto"/>
                <w:kern w:val="0"/>
                <w:sz w:val="24"/>
                <w:lang w:bidi="ar"/>
              </w:rPr>
              <w:t>。</w:t>
            </w:r>
          </w:p>
          <w:p w14:paraId="424687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本次拟建的“</w:t>
            </w:r>
            <w:r>
              <w:rPr>
                <w:rFonts w:hint="default" w:ascii="Times New Roman" w:hAnsi="Times New Roman" w:eastAsia="宋体" w:cs="Times New Roman"/>
                <w:color w:val="auto"/>
                <w:sz w:val="24"/>
                <w:lang w:eastAsia="zh-CN"/>
              </w:rPr>
              <w:t>寻甸亿源塑料</w:t>
            </w:r>
            <w:r>
              <w:rPr>
                <w:rFonts w:hint="default" w:ascii="Times New Roman" w:hAnsi="Times New Roman" w:eastAsia="宋体" w:cs="Times New Roman"/>
                <w:color w:val="auto"/>
                <w:sz w:val="24"/>
                <w:szCs w:val="24"/>
                <w:lang w:eastAsia="zh-CN"/>
              </w:rPr>
              <w:t>制品有限公司果蔬专用框生产项目（金所片区）</w:t>
            </w:r>
            <w:r>
              <w:rPr>
                <w:rFonts w:hint="default" w:ascii="Times New Roman" w:hAnsi="Times New Roman" w:eastAsia="宋体" w:cs="Times New Roman"/>
                <w:color w:val="auto"/>
                <w:sz w:val="24"/>
                <w:szCs w:val="24"/>
              </w:rPr>
              <w:t>”主要生产</w:t>
            </w:r>
            <w:r>
              <w:rPr>
                <w:rFonts w:hint="default" w:ascii="Times New Roman" w:hAnsi="Times New Roman" w:eastAsia="宋体" w:cs="Times New Roman"/>
                <w:color w:val="auto"/>
                <w:sz w:val="24"/>
                <w:szCs w:val="24"/>
                <w:lang w:val="en-US" w:eastAsia="zh-CN"/>
              </w:rPr>
              <w:t>塑料框</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highlight w:val="none"/>
                <w:lang w:val="en-US" w:eastAsia="zh-CN"/>
              </w:rPr>
              <w:t>使用全新的聚丙烯树脂颗粒作为生产原料</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rPr>
              <w:t>根据《国民经济行业分类》（GB/T4754-2017），项目属于塑料包装箱及容器制造（C2926）。根据《建设项目环境影响评价分类管理名录》（生态环境部令第16号</w:t>
            </w:r>
            <w:r>
              <w:rPr>
                <w:rFonts w:hint="default" w:ascii="Times New Roman" w:hAnsi="Times New Roman" w:eastAsia="宋体" w:cs="Times New Roman"/>
                <w:color w:val="auto"/>
                <w:sz w:val="24"/>
              </w:rPr>
              <w:t>，2021年1</w:t>
            </w:r>
            <w:r>
              <w:rPr>
                <w:rFonts w:hint="eastAsia" w:cs="Times New Roman"/>
                <w:color w:val="auto"/>
                <w:sz w:val="24"/>
                <w:lang w:eastAsia="zh-CN"/>
              </w:rPr>
              <w:t>月1日起实施</w:t>
            </w:r>
            <w:r>
              <w:rPr>
                <w:rFonts w:hint="default" w:ascii="Times New Roman" w:hAnsi="Times New Roman" w:eastAsia="宋体" w:cs="Times New Roman"/>
                <w:color w:val="auto"/>
                <w:sz w:val="24"/>
              </w:rPr>
              <w:t>），二十六、橡胶和塑料制品业29中“塑料制品业292-其他（年用非溶剂型低VOCs含量涂料10吨以下的除外）”需要编制</w:t>
            </w:r>
            <w:r>
              <w:rPr>
                <w:rFonts w:hint="eastAsia" w:cs="Times New Roman"/>
                <w:color w:val="auto"/>
                <w:sz w:val="24"/>
                <w:lang w:val="en-US" w:eastAsia="zh-CN"/>
              </w:rPr>
              <w:t>生态</w:t>
            </w:r>
            <w:r>
              <w:rPr>
                <w:rFonts w:hint="default" w:ascii="Times New Roman" w:hAnsi="Times New Roman" w:eastAsia="宋体" w:cs="Times New Roman"/>
                <w:color w:val="auto"/>
                <w:sz w:val="24"/>
              </w:rPr>
              <w:t>环境影响报告表。因此，建设单位委托我单位编制《</w:t>
            </w:r>
            <w:r>
              <w:rPr>
                <w:rFonts w:hint="default" w:ascii="Times New Roman" w:hAnsi="Times New Roman" w:eastAsia="宋体" w:cs="Times New Roman"/>
                <w:color w:val="auto"/>
                <w:sz w:val="24"/>
                <w:lang w:eastAsia="zh-CN"/>
              </w:rPr>
              <w:t>寻甸亿源塑料制品有限公司果蔬专用框生产项目（金所片区）</w:t>
            </w:r>
            <w:r>
              <w:rPr>
                <w:rFonts w:hint="eastAsia" w:cs="Times New Roman"/>
                <w:color w:val="auto"/>
                <w:sz w:val="24"/>
                <w:lang w:val="en-US" w:eastAsia="zh-CN"/>
              </w:rPr>
              <w:t>生态</w:t>
            </w:r>
            <w:r>
              <w:rPr>
                <w:rFonts w:hint="default" w:ascii="Times New Roman" w:hAnsi="Times New Roman" w:eastAsia="宋体" w:cs="Times New Roman"/>
                <w:color w:val="auto"/>
                <w:sz w:val="24"/>
              </w:rPr>
              <w:t>环境影响报告表》。我单位接受委托后，通过现场踏勘、资料收集，在工程分析的基础</w:t>
            </w:r>
            <w:r>
              <w:rPr>
                <w:rFonts w:hint="default" w:ascii="Times New Roman" w:hAnsi="Times New Roman" w:eastAsia="宋体" w:cs="Times New Roman"/>
                <w:color w:val="auto"/>
                <w:sz w:val="24"/>
                <w:lang w:val="en-US" w:eastAsia="zh-CN"/>
              </w:rPr>
              <w:t>上</w:t>
            </w:r>
            <w:r>
              <w:rPr>
                <w:rFonts w:hint="default" w:ascii="Times New Roman" w:hAnsi="Times New Roman" w:eastAsia="宋体" w:cs="Times New Roman"/>
                <w:color w:val="auto"/>
                <w:sz w:val="24"/>
              </w:rPr>
              <w:t>，对项目可能造成的环境影响进行分析评价后，按照指南、相关法律法规及环境影响评价技术导则的要求，编制完成了本</w:t>
            </w:r>
            <w:r>
              <w:rPr>
                <w:rFonts w:hint="eastAsia" w:cs="Times New Roman"/>
                <w:color w:val="auto"/>
                <w:sz w:val="24"/>
                <w:lang w:val="en-US" w:eastAsia="zh-CN"/>
              </w:rPr>
              <w:t>生态</w:t>
            </w:r>
            <w:r>
              <w:rPr>
                <w:rFonts w:hint="default" w:ascii="Times New Roman" w:hAnsi="Times New Roman" w:eastAsia="宋体" w:cs="Times New Roman"/>
                <w:color w:val="auto"/>
                <w:sz w:val="24"/>
              </w:rPr>
              <w:t>环境影响报告表，供建设单位上报审批。</w:t>
            </w:r>
          </w:p>
          <w:p w14:paraId="13731294">
            <w:pPr>
              <w:pStyle w:val="60"/>
              <w:keepNext w:val="0"/>
              <w:keepLines w:val="0"/>
              <w:suppressLineNumbers w:val="0"/>
              <w:spacing w:before="0" w:beforeAutospacing="0" w:after="0" w:afterAutospacing="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二、项目概况</w:t>
            </w:r>
          </w:p>
          <w:p w14:paraId="1CEB655E">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b/>
                <w:color w:val="auto"/>
                <w:sz w:val="24"/>
              </w:rPr>
              <w:t>1、项目名称：</w:t>
            </w:r>
            <w:r>
              <w:rPr>
                <w:rFonts w:hint="default" w:ascii="Times New Roman" w:hAnsi="Times New Roman" w:eastAsia="宋体" w:cs="Times New Roman"/>
                <w:color w:val="auto"/>
                <w:sz w:val="24"/>
                <w:lang w:eastAsia="zh-CN"/>
              </w:rPr>
              <w:t>寻甸亿源塑料制品有限公司果蔬专用框生产项目（金所片区）</w:t>
            </w:r>
          </w:p>
          <w:p w14:paraId="3AFBAD5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b/>
                <w:color w:val="auto"/>
                <w:sz w:val="24"/>
              </w:rPr>
              <w:t>2、建设单位：</w:t>
            </w:r>
            <w:r>
              <w:rPr>
                <w:rFonts w:hint="default" w:ascii="Times New Roman" w:hAnsi="Times New Roman" w:eastAsia="宋体" w:cs="Times New Roman"/>
                <w:color w:val="auto"/>
                <w:sz w:val="24"/>
                <w:lang w:eastAsia="zh-CN"/>
              </w:rPr>
              <w:t>寻甸亿源塑料制品有限公司</w:t>
            </w:r>
          </w:p>
          <w:p w14:paraId="0E10C4D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b/>
                <w:color w:val="auto"/>
                <w:sz w:val="24"/>
              </w:rPr>
              <w:t>3、建设地点：</w:t>
            </w:r>
            <w:r>
              <w:rPr>
                <w:rFonts w:hint="default" w:ascii="Times New Roman" w:hAnsi="Times New Roman" w:eastAsia="宋体" w:cs="Times New Roman"/>
                <w:color w:val="auto"/>
                <w:kern w:val="0"/>
                <w:sz w:val="24"/>
                <w:highlight w:val="none"/>
              </w:rPr>
              <w:t>金所街道办事处竹沟社区居委会魏所工业园区01号</w:t>
            </w:r>
          </w:p>
          <w:p w14:paraId="4A93435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4、建设性质：</w:t>
            </w:r>
            <w:r>
              <w:rPr>
                <w:rFonts w:hint="default" w:ascii="Times New Roman" w:hAnsi="Times New Roman" w:eastAsia="宋体" w:cs="Times New Roman"/>
                <w:bCs/>
                <w:color w:val="auto"/>
                <w:sz w:val="24"/>
              </w:rPr>
              <w:t>新建</w:t>
            </w:r>
          </w:p>
          <w:p w14:paraId="53667672">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sz w:val="24"/>
              </w:rPr>
            </w:pPr>
            <w:r>
              <w:rPr>
                <w:rFonts w:hint="default" w:ascii="Times New Roman" w:hAnsi="Times New Roman" w:eastAsia="宋体" w:cs="Times New Roman"/>
                <w:b/>
                <w:color w:val="auto"/>
                <w:sz w:val="24"/>
              </w:rPr>
              <w:t>5、投资金额：</w:t>
            </w:r>
            <w:r>
              <w:rPr>
                <w:rFonts w:hint="default" w:ascii="Times New Roman" w:hAnsi="Times New Roman" w:eastAsia="宋体" w:cs="Times New Roman"/>
                <w:bCs/>
                <w:color w:val="auto"/>
                <w:sz w:val="24"/>
              </w:rPr>
              <w:t>项目总投资</w:t>
            </w:r>
            <w:r>
              <w:rPr>
                <w:rFonts w:hint="default" w:ascii="Times New Roman" w:hAnsi="Times New Roman" w:eastAsia="宋体" w:cs="Times New Roman"/>
                <w:bCs/>
                <w:color w:val="auto"/>
                <w:sz w:val="24"/>
                <w:lang w:val="en-US" w:eastAsia="zh-CN"/>
              </w:rPr>
              <w:t>2500</w:t>
            </w:r>
            <w:r>
              <w:rPr>
                <w:rFonts w:hint="default" w:ascii="Times New Roman" w:hAnsi="Times New Roman" w:eastAsia="宋体" w:cs="Times New Roman"/>
                <w:bCs/>
                <w:color w:val="auto"/>
                <w:sz w:val="24"/>
              </w:rPr>
              <w:t>万元</w:t>
            </w:r>
          </w:p>
          <w:p w14:paraId="27693F8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6、建设内容及规模：</w:t>
            </w:r>
          </w:p>
          <w:p w14:paraId="2B4B2B2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color w:val="auto"/>
                <w:sz w:val="24"/>
                <w:szCs w:val="24"/>
              </w:rPr>
            </w:pPr>
            <w:r>
              <w:rPr>
                <w:rFonts w:hint="default" w:ascii="Times New Roman" w:hAnsi="Times New Roman" w:eastAsia="宋体" w:cs="Times New Roman"/>
                <w:b w:val="0"/>
                <w:bCs w:val="0"/>
                <w:color w:val="auto"/>
                <w:kern w:val="0"/>
                <w:sz w:val="24"/>
              </w:rPr>
              <w:t>项目选址位于</w:t>
            </w:r>
            <w:r>
              <w:rPr>
                <w:rFonts w:hint="eastAsia" w:cs="Times New Roman"/>
                <w:b w:val="0"/>
                <w:bCs w:val="0"/>
                <w:color w:val="auto"/>
                <w:kern w:val="0"/>
                <w:sz w:val="24"/>
                <w:lang w:val="en-US" w:eastAsia="zh-CN"/>
              </w:rPr>
              <w:t>云南省昆明市寻甸县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b w:val="0"/>
                <w:bCs w:val="0"/>
                <w:color w:val="auto"/>
                <w:kern w:val="0"/>
                <w:sz w:val="24"/>
              </w:rPr>
              <w:t>，</w:t>
            </w:r>
            <w:r>
              <w:rPr>
                <w:rFonts w:hint="default" w:ascii="Times New Roman" w:hAnsi="Times New Roman" w:eastAsia="宋体" w:cs="Times New Roman"/>
                <w:color w:val="auto"/>
                <w:sz w:val="24"/>
              </w:rPr>
              <w:t>项目总投资2500万元，建成</w:t>
            </w:r>
            <w:r>
              <w:rPr>
                <w:rFonts w:hint="eastAsia" w:cs="Times New Roman"/>
                <w:color w:val="auto"/>
                <w:sz w:val="24"/>
                <w:lang w:eastAsia="zh-CN"/>
              </w:rPr>
              <w:t>后将</w:t>
            </w:r>
            <w:r>
              <w:rPr>
                <w:rFonts w:hint="default" w:ascii="Times New Roman" w:hAnsi="Times New Roman" w:eastAsia="宋体" w:cs="Times New Roman"/>
                <w:color w:val="auto"/>
                <w:sz w:val="24"/>
              </w:rPr>
              <w:t>进行标准化果蔬专用包装筐的生产与运营，产品主要为标准化塑料折叠周转筐及高端防震保鲜筐</w:t>
            </w:r>
            <w:r>
              <w:rPr>
                <w:rFonts w:hint="eastAsia" w:cs="Times New Roman"/>
                <w:color w:val="auto"/>
                <w:sz w:val="24"/>
                <w:lang w:eastAsia="zh-CN"/>
              </w:rPr>
              <w:t>（</w:t>
            </w:r>
            <w:r>
              <w:rPr>
                <w:rFonts w:hint="default" w:ascii="Times New Roman" w:hAnsi="Times New Roman" w:eastAsia="宋体" w:cs="Times New Roman"/>
                <w:color w:val="auto"/>
                <w:sz w:val="24"/>
              </w:rPr>
              <w:t>针对蓝莓、番茄等易损果蔬</w:t>
            </w:r>
            <w:r>
              <w:rPr>
                <w:rFonts w:hint="eastAsia" w:cs="Times New Roman"/>
                <w:color w:val="auto"/>
                <w:sz w:val="24"/>
                <w:lang w:eastAsia="zh-CN"/>
              </w:rPr>
              <w:t>）</w:t>
            </w:r>
            <w:r>
              <w:rPr>
                <w:rFonts w:hint="default" w:ascii="Times New Roman" w:hAnsi="Times New Roman" w:eastAsia="宋体" w:cs="Times New Roman"/>
                <w:color w:val="auto"/>
                <w:sz w:val="24"/>
              </w:rPr>
              <w:t>，年产塑料</w:t>
            </w:r>
            <w:r>
              <w:rPr>
                <w:rFonts w:hint="eastAsia" w:cs="Times New Roman"/>
                <w:color w:val="auto"/>
                <w:sz w:val="24"/>
                <w:lang w:val="en-US" w:eastAsia="zh-CN"/>
              </w:rPr>
              <w:t>框</w:t>
            </w:r>
            <w:r>
              <w:rPr>
                <w:rFonts w:hint="default" w:ascii="Times New Roman" w:hAnsi="Times New Roman" w:eastAsia="宋体" w:cs="Times New Roman"/>
                <w:color w:val="auto"/>
                <w:sz w:val="24"/>
              </w:rPr>
              <w:t>460万只。项目工程建设总占地面积2300平方米</w:t>
            </w:r>
            <w:r>
              <w:rPr>
                <w:rFonts w:hint="eastAsia" w:ascii="Times New Roman" w:hAnsi="Times New Roman" w:eastAsia="宋体" w:cs="Times New Roman"/>
                <w:color w:val="auto"/>
                <w:sz w:val="24"/>
                <w:lang w:eastAsia="zh-CN"/>
              </w:rPr>
              <w:t>（</w:t>
            </w:r>
            <w:r>
              <w:rPr>
                <w:rFonts w:hint="eastAsia" w:cs="Times New Roman"/>
                <w:color w:val="auto"/>
                <w:sz w:val="24"/>
                <w:lang w:val="en-US" w:eastAsia="zh-CN"/>
              </w:rPr>
              <w:t>租用</w:t>
            </w:r>
            <w:r>
              <w:rPr>
                <w:rFonts w:hint="eastAsia" w:ascii="Times New Roman" w:hAnsi="Times New Roman" w:eastAsia="宋体" w:cs="Times New Roman"/>
                <w:color w:val="auto"/>
                <w:sz w:val="24"/>
                <w:lang w:val="en-US" w:eastAsia="zh-CN"/>
              </w:rPr>
              <w:t>厂房占用面积</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，为租赁寻甸产业园区金所片区标准化厂房建设。</w:t>
            </w:r>
            <w:r>
              <w:rPr>
                <w:rFonts w:hint="eastAsia" w:ascii="Times New Roman" w:hAnsi="Times New Roman" w:eastAsia="宋体" w:cs="Times New Roman"/>
                <w:color w:val="auto"/>
                <w:sz w:val="24"/>
                <w:lang w:val="en-US" w:eastAsia="zh-CN"/>
              </w:rPr>
              <w:t>项目</w:t>
            </w:r>
            <w:r>
              <w:rPr>
                <w:rFonts w:hint="default" w:ascii="Times New Roman" w:hAnsi="Times New Roman" w:eastAsia="宋体" w:cs="Times New Roman"/>
                <w:b w:val="0"/>
                <w:bCs w:val="0"/>
                <w:color w:val="auto"/>
                <w:kern w:val="0"/>
                <w:sz w:val="24"/>
              </w:rPr>
              <w:t>租用</w:t>
            </w:r>
            <w:r>
              <w:rPr>
                <w:rFonts w:hint="default" w:ascii="Times New Roman" w:hAnsi="Times New Roman" w:eastAsia="宋体" w:cs="Times New Roman"/>
                <w:color w:val="auto"/>
                <w:sz w:val="24"/>
                <w:lang w:eastAsia="zh-CN"/>
              </w:rPr>
              <w:t>云南鹏达冠得有限公司</w:t>
            </w:r>
            <w:r>
              <w:rPr>
                <w:rFonts w:hint="default" w:ascii="Times New Roman" w:hAnsi="Times New Roman" w:eastAsia="宋体" w:cs="Times New Roman"/>
                <w:b w:val="0"/>
                <w:bCs w:val="0"/>
                <w:color w:val="auto"/>
                <w:kern w:val="0"/>
                <w:sz w:val="24"/>
              </w:rPr>
              <w:t>已建闲置厂房</w:t>
            </w:r>
            <w:r>
              <w:rPr>
                <w:rFonts w:hint="default" w:ascii="Times New Roman" w:hAnsi="Times New Roman" w:eastAsia="宋体" w:cs="Times New Roman"/>
                <w:b w:val="0"/>
                <w:bCs w:val="0"/>
                <w:color w:val="auto"/>
                <w:kern w:val="0"/>
                <w:sz w:val="24"/>
                <w:lang w:val="en-US" w:eastAsia="zh-CN"/>
              </w:rPr>
              <w:t>和办公区</w:t>
            </w:r>
            <w:r>
              <w:rPr>
                <w:rFonts w:hint="default" w:ascii="Times New Roman" w:hAnsi="Times New Roman" w:eastAsia="宋体" w:cs="Times New Roman"/>
                <w:b w:val="0"/>
                <w:bCs w:val="0"/>
                <w:color w:val="auto"/>
                <w:kern w:val="0"/>
                <w:sz w:val="24"/>
              </w:rPr>
              <w:t>进行建</w:t>
            </w:r>
            <w:r>
              <w:rPr>
                <w:rFonts w:hint="default" w:ascii="Times New Roman" w:hAnsi="Times New Roman" w:eastAsia="宋体" w:cs="Times New Roman"/>
                <w:b w:val="0"/>
                <w:bCs w:val="0"/>
                <w:color w:val="auto"/>
                <w:kern w:val="0"/>
                <w:sz w:val="24"/>
                <w:szCs w:val="24"/>
              </w:rPr>
              <w:t>设</w:t>
            </w:r>
            <w:r>
              <w:rPr>
                <w:rFonts w:hint="default" w:ascii="Times New Roman" w:hAnsi="Times New Roman" w:eastAsia="宋体" w:cs="Times New Roman"/>
                <w:b w:val="0"/>
                <w:bCs w:val="0"/>
                <w:color w:val="auto"/>
                <w:kern w:val="0"/>
                <w:sz w:val="24"/>
                <w:szCs w:val="24"/>
                <w:lang w:eastAsia="zh-CN"/>
              </w:rPr>
              <w:t>，</w:t>
            </w:r>
            <w:r>
              <w:rPr>
                <w:rFonts w:hint="eastAsia"/>
                <w:color w:val="auto"/>
                <w:sz w:val="24"/>
                <w:szCs w:val="24"/>
                <w:lang w:val="en-US" w:eastAsia="zh-CN"/>
              </w:rPr>
              <w:t>主要在现有厂房内安装设备，布置生产线及配套建设环保设施</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建</w:t>
            </w:r>
            <w:r>
              <w:rPr>
                <w:rFonts w:hint="eastAsia" w:cs="Times New Roman"/>
                <w:color w:val="auto"/>
                <w:sz w:val="24"/>
                <w:szCs w:val="24"/>
                <w:lang w:val="en-US" w:eastAsia="zh-CN"/>
              </w:rPr>
              <w:t>成后共</w:t>
            </w:r>
            <w:r>
              <w:rPr>
                <w:rFonts w:hint="default" w:ascii="Times New Roman" w:hAnsi="Times New Roman" w:eastAsia="宋体" w:cs="Times New Roman"/>
                <w:color w:val="auto"/>
                <w:sz w:val="24"/>
                <w:szCs w:val="24"/>
                <w:lang w:val="en-US" w:eastAsia="zh-CN"/>
              </w:rPr>
              <w:t>8条塑料框生产线，</w:t>
            </w:r>
            <w:r>
              <w:rPr>
                <w:rFonts w:hint="default" w:ascii="Times New Roman" w:hAnsi="Times New Roman" w:eastAsia="宋体" w:cs="Times New Roman"/>
                <w:color w:val="auto"/>
                <w:sz w:val="24"/>
                <w:szCs w:val="24"/>
              </w:rPr>
              <w:t>年产</w:t>
            </w:r>
            <w:r>
              <w:rPr>
                <w:rFonts w:hint="default" w:ascii="Times New Roman" w:hAnsi="Times New Roman" w:eastAsia="宋体" w:cs="Times New Roman"/>
                <w:color w:val="auto"/>
                <w:sz w:val="24"/>
                <w:szCs w:val="24"/>
                <w:lang w:val="en-US" w:eastAsia="zh-CN"/>
              </w:rPr>
              <w:t>塑料框460</w:t>
            </w:r>
            <w:r>
              <w:rPr>
                <w:rFonts w:hint="default" w:ascii="Times New Roman" w:hAnsi="Times New Roman" w:eastAsia="宋体" w:cs="Times New Roman"/>
                <w:color w:val="auto"/>
                <w:sz w:val="24"/>
                <w:szCs w:val="24"/>
              </w:rPr>
              <w:t>万个。项目具体建设内容见表2-1。</w:t>
            </w:r>
          </w:p>
          <w:p w14:paraId="28DE8F24">
            <w:pPr>
              <w:keepNext w:val="0"/>
              <w:keepLines w:val="0"/>
              <w:suppressLineNumbers w:val="0"/>
              <w:tabs>
                <w:tab w:val="left" w:pos="2758"/>
              </w:tabs>
              <w:snapToGrid w:val="0"/>
              <w:spacing w:before="0" w:beforeAutospacing="0" w:after="0" w:afterAutospacing="0" w:line="36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表2-1  项目工程建设内容一览表</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2"/>
              <w:gridCol w:w="1106"/>
              <w:gridCol w:w="1367"/>
              <w:gridCol w:w="4782"/>
              <w:gridCol w:w="791"/>
            </w:tblGrid>
            <w:tr w14:paraId="0831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blHeader/>
                <w:jc w:val="center"/>
              </w:trPr>
              <w:tc>
                <w:tcPr>
                  <w:tcW w:w="572" w:type="dxa"/>
                  <w:noWrap w:val="0"/>
                  <w:vAlign w:val="center"/>
                </w:tcPr>
                <w:p w14:paraId="13F18B5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工程类别</w:t>
                  </w:r>
                </w:p>
              </w:tc>
              <w:tc>
                <w:tcPr>
                  <w:tcW w:w="2473" w:type="dxa"/>
                  <w:gridSpan w:val="2"/>
                  <w:noWrap w:val="0"/>
                  <w:vAlign w:val="center"/>
                </w:tcPr>
                <w:p w14:paraId="2DCB345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工程名称</w:t>
                  </w:r>
                </w:p>
              </w:tc>
              <w:tc>
                <w:tcPr>
                  <w:tcW w:w="4782" w:type="dxa"/>
                  <w:noWrap w:val="0"/>
                  <w:vAlign w:val="center"/>
                </w:tcPr>
                <w:p w14:paraId="276DF03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主要建设内容或功能</w:t>
                  </w:r>
                </w:p>
              </w:tc>
              <w:tc>
                <w:tcPr>
                  <w:tcW w:w="791" w:type="dxa"/>
                  <w:noWrap w:val="0"/>
                  <w:vAlign w:val="center"/>
                </w:tcPr>
                <w:p w14:paraId="1CAEDA3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备注</w:t>
                  </w:r>
                </w:p>
              </w:tc>
            </w:tr>
            <w:tr w14:paraId="5E0B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572" w:type="dxa"/>
                  <w:vMerge w:val="restart"/>
                  <w:noWrap w:val="0"/>
                  <w:vAlign w:val="center"/>
                </w:tcPr>
                <w:p w14:paraId="79B9FB7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主体工程</w:t>
                  </w:r>
                </w:p>
              </w:tc>
              <w:tc>
                <w:tcPr>
                  <w:tcW w:w="1106" w:type="dxa"/>
                  <w:vMerge w:val="restart"/>
                  <w:noWrap w:val="0"/>
                  <w:vAlign w:val="center"/>
                </w:tcPr>
                <w:p w14:paraId="1AD8F8C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cs="Times New Roman"/>
                      <w:color w:val="auto"/>
                      <w:kern w:val="2"/>
                      <w:sz w:val="21"/>
                      <w:szCs w:val="21"/>
                      <w:lang w:val="en-US" w:eastAsia="zh-CN" w:bidi="ar-SA"/>
                    </w:rPr>
                    <w:t>塑料筐生产线</w:t>
                  </w:r>
                </w:p>
              </w:tc>
              <w:tc>
                <w:tcPr>
                  <w:tcW w:w="1367" w:type="dxa"/>
                  <w:noWrap w:val="0"/>
                  <w:vAlign w:val="center"/>
                </w:tcPr>
                <w:p w14:paraId="705AAF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生产厂房</w:t>
                  </w:r>
                </w:p>
              </w:tc>
              <w:tc>
                <w:tcPr>
                  <w:tcW w:w="4782" w:type="dxa"/>
                  <w:noWrap w:val="0"/>
                  <w:vAlign w:val="center"/>
                </w:tcPr>
                <w:p w14:paraId="55770DAE">
                  <w:pPr>
                    <w:keepNext w:val="0"/>
                    <w:keepLines w:val="0"/>
                    <w:suppressLineNumbers w:val="0"/>
                    <w:spacing w:before="0" w:beforeAutospacing="0" w:after="0" w:afterAutospacing="0"/>
                    <w:ind w:left="0" w:right="0"/>
                    <w:rPr>
                      <w:rFonts w:hint="eastAsia" w:ascii="Times New Roman" w:hAnsi="Times New Roman" w:eastAsia="宋体" w:cs="Times New Roman"/>
                      <w:caps w:val="0"/>
                      <w:smallCaps w:val="0"/>
                      <w:color w:val="auto"/>
                      <w:lang w:val="en-US" w:eastAsia="zh-CN"/>
                    </w:rPr>
                  </w:pPr>
                  <w:r>
                    <w:rPr>
                      <w:rFonts w:hint="eastAsia" w:cs="Times New Roman"/>
                      <w:color w:val="auto"/>
                      <w:sz w:val="21"/>
                      <w:szCs w:val="21"/>
                      <w:lang w:val="en-US" w:eastAsia="zh-CN"/>
                    </w:rPr>
                    <w:t>占地</w:t>
                  </w:r>
                  <w:r>
                    <w:rPr>
                      <w:rFonts w:hint="eastAsia" w:ascii="Times New Roman" w:hAnsi="Times New Roman" w:eastAsia="宋体" w:cs="Times New Roman"/>
                      <w:color w:val="auto"/>
                      <w:sz w:val="21"/>
                      <w:szCs w:val="21"/>
                      <w:lang w:val="en-US" w:eastAsia="zh-CN"/>
                    </w:rPr>
                    <w:t>面积为2300</w:t>
                  </w:r>
                  <w:r>
                    <w:rPr>
                      <w:rFonts w:hint="default" w:ascii="Times New Roman" w:hAnsi="Times New Roman" w:eastAsia="宋体" w:cs="Times New Roman"/>
                      <w:caps w:val="0"/>
                      <w:smallCaps w:val="0"/>
                      <w:color w:val="auto"/>
                    </w:rPr>
                    <w:t>m</w:t>
                  </w:r>
                  <w:r>
                    <w:rPr>
                      <w:rFonts w:hint="default" w:ascii="Times New Roman" w:hAnsi="Times New Roman" w:eastAsia="宋体" w:cs="Times New Roman"/>
                      <w:caps w:val="0"/>
                      <w:smallCaps w:val="0"/>
                      <w:color w:val="auto"/>
                      <w:vertAlign w:val="superscript"/>
                    </w:rPr>
                    <w:t>2</w:t>
                  </w:r>
                  <w:r>
                    <w:rPr>
                      <w:rFonts w:hint="default" w:ascii="Times New Roman" w:hAnsi="Times New Roman" w:eastAsia="宋体" w:cs="Times New Roman"/>
                      <w:caps w:val="0"/>
                      <w:smallCaps w:val="0"/>
                      <w:color w:val="auto"/>
                    </w:rPr>
                    <w:t>，</w:t>
                  </w:r>
                  <w:r>
                    <w:rPr>
                      <w:rFonts w:hint="eastAsia" w:ascii="Times New Roman" w:hAnsi="Times New Roman" w:eastAsia="宋体" w:cs="Times New Roman"/>
                      <w:caps w:val="0"/>
                      <w:smallCaps w:val="0"/>
                      <w:color w:val="auto"/>
                      <w:lang w:val="en-US" w:eastAsia="zh-CN"/>
                    </w:rPr>
                    <w:t>层高</w:t>
                  </w:r>
                  <w:r>
                    <w:rPr>
                      <w:rFonts w:hint="eastAsia" w:cs="Times New Roman"/>
                      <w:caps w:val="0"/>
                      <w:smallCaps w:val="0"/>
                      <w:color w:val="auto"/>
                      <w:lang w:val="en-US" w:eastAsia="zh-CN"/>
                    </w:rPr>
                    <w:t>12</w:t>
                  </w:r>
                  <w:r>
                    <w:rPr>
                      <w:rFonts w:hint="eastAsia" w:ascii="Times New Roman" w:hAnsi="Times New Roman" w:eastAsia="宋体" w:cs="Times New Roman"/>
                      <w:caps w:val="0"/>
                      <w:smallCaps w:val="0"/>
                      <w:color w:val="auto"/>
                      <w:lang w:val="en-US" w:eastAsia="zh-CN"/>
                    </w:rPr>
                    <w:t>m，一层</w:t>
                  </w:r>
                  <w:r>
                    <w:rPr>
                      <w:rFonts w:hint="eastAsia"/>
                      <w:color w:val="auto"/>
                      <w:lang w:eastAsia="zh-CN"/>
                    </w:rPr>
                    <w:t>，</w:t>
                  </w:r>
                  <w:r>
                    <w:rPr>
                      <w:rFonts w:hint="default" w:ascii="Times New Roman" w:hAnsi="Times New Roman" w:eastAsia="宋体" w:cs="Times New Roman"/>
                      <w:color w:val="auto"/>
                      <w:sz w:val="21"/>
                      <w:szCs w:val="21"/>
                      <w:lang w:val="en-US" w:eastAsia="zh-CN"/>
                    </w:rPr>
                    <w:t>生产厂房</w:t>
                  </w:r>
                  <w:r>
                    <w:rPr>
                      <w:rFonts w:hint="eastAsia" w:ascii="Times New Roman" w:cs="Times New Roman"/>
                      <w:color w:val="auto"/>
                      <w:kern w:val="2"/>
                      <w:sz w:val="21"/>
                      <w:szCs w:val="21"/>
                      <w:lang w:val="en-US" w:eastAsia="zh-CN" w:bidi="ar-SA"/>
                    </w:rPr>
                    <w:t>现状已安装3条生产线，后续生产线待取得环评批复后进行安装</w:t>
                  </w:r>
                  <w:r>
                    <w:rPr>
                      <w:rFonts w:hint="eastAsia" w:cs="Times New Roman"/>
                      <w:color w:val="auto"/>
                      <w:kern w:val="2"/>
                      <w:sz w:val="21"/>
                      <w:szCs w:val="21"/>
                      <w:lang w:val="en-US" w:eastAsia="zh-CN" w:bidi="ar-SA"/>
                    </w:rPr>
                    <w:t>。</w:t>
                  </w:r>
                </w:p>
              </w:tc>
              <w:tc>
                <w:tcPr>
                  <w:tcW w:w="791" w:type="dxa"/>
                  <w:noWrap w:val="0"/>
                  <w:vAlign w:val="center"/>
                </w:tcPr>
                <w:p w14:paraId="77A3A6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eastAsia="Times New Roman" w:cs="宋体"/>
                      <w:color w:val="auto"/>
                      <w:spacing w:val="4"/>
                      <w:sz w:val="21"/>
                      <w:szCs w:val="21"/>
                      <w:lang w:val="en-US" w:eastAsia="zh-CN" w:bidi="ar-SA"/>
                    </w:rPr>
                    <w:t>依托</w:t>
                  </w:r>
                </w:p>
              </w:tc>
            </w:tr>
            <w:tr w14:paraId="5CE5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6" w:hRule="atLeast"/>
                <w:jc w:val="center"/>
              </w:trPr>
              <w:tc>
                <w:tcPr>
                  <w:tcW w:w="572" w:type="dxa"/>
                  <w:vMerge w:val="continue"/>
                  <w:noWrap w:val="0"/>
                  <w:vAlign w:val="center"/>
                </w:tcPr>
                <w:p w14:paraId="0E6DF9F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eastAsia" w:ascii="Times New Roman" w:cs="Times New Roman"/>
                      <w:color w:val="auto"/>
                      <w:sz w:val="21"/>
                      <w:szCs w:val="21"/>
                      <w:lang w:val="en-US" w:eastAsia="zh-CN"/>
                    </w:rPr>
                  </w:pPr>
                </w:p>
              </w:tc>
              <w:tc>
                <w:tcPr>
                  <w:tcW w:w="1106" w:type="dxa"/>
                  <w:vMerge w:val="continue"/>
                  <w:noWrap w:val="0"/>
                  <w:vAlign w:val="center"/>
                </w:tcPr>
                <w:p w14:paraId="022D109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cs="Times New Roman"/>
                      <w:color w:val="auto"/>
                      <w:kern w:val="2"/>
                      <w:sz w:val="21"/>
                      <w:szCs w:val="21"/>
                      <w:lang w:val="en-US" w:eastAsia="zh-CN" w:bidi="ar-SA"/>
                    </w:rPr>
                  </w:pPr>
                </w:p>
              </w:tc>
              <w:tc>
                <w:tcPr>
                  <w:tcW w:w="1367" w:type="dxa"/>
                  <w:noWrap w:val="0"/>
                  <w:vAlign w:val="center"/>
                </w:tcPr>
                <w:p w14:paraId="3F1E839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生产区</w:t>
                  </w:r>
                </w:p>
              </w:tc>
              <w:tc>
                <w:tcPr>
                  <w:tcW w:w="4782" w:type="dxa"/>
                  <w:noWrap w:val="0"/>
                  <w:vAlign w:val="center"/>
                </w:tcPr>
                <w:p w14:paraId="1CCF0BAA">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aps w:val="0"/>
                      <w:smallCaps w:val="0"/>
                      <w:color w:val="auto"/>
                    </w:rPr>
                  </w:pPr>
                  <w:r>
                    <w:rPr>
                      <w:rFonts w:hint="default" w:ascii="Times New Roman" w:hAnsi="Times New Roman" w:eastAsia="宋体" w:cs="Times New Roman"/>
                      <w:caps w:val="0"/>
                      <w:smallCaps w:val="0"/>
                      <w:color w:val="auto"/>
                    </w:rPr>
                    <w:t>位于</w:t>
                  </w:r>
                  <w:r>
                    <w:rPr>
                      <w:rFonts w:hint="default" w:ascii="Times New Roman" w:hAnsi="Times New Roman" w:eastAsia="宋体" w:cs="Times New Roman"/>
                      <w:caps w:val="0"/>
                      <w:smallCaps w:val="0"/>
                      <w:color w:val="auto"/>
                      <w:lang w:val="en-US" w:eastAsia="zh-CN"/>
                    </w:rPr>
                    <w:t>生产厂房</w:t>
                  </w:r>
                  <w:r>
                    <w:rPr>
                      <w:rFonts w:hint="default" w:ascii="Times New Roman" w:hAnsi="Times New Roman" w:eastAsia="宋体" w:cs="Times New Roman"/>
                      <w:caps w:val="0"/>
                      <w:smallCaps w:val="0"/>
                      <w:color w:val="auto"/>
                    </w:rPr>
                    <w:t>南侧，</w:t>
                  </w:r>
                  <w:r>
                    <w:rPr>
                      <w:rFonts w:hint="eastAsia" w:cs="Times New Roman"/>
                      <w:caps w:val="0"/>
                      <w:smallCaps w:val="0"/>
                      <w:color w:val="auto"/>
                      <w:lang w:val="en-US" w:eastAsia="zh-CN"/>
                    </w:rPr>
                    <w:t>占地</w:t>
                  </w:r>
                  <w:r>
                    <w:rPr>
                      <w:rFonts w:hint="default" w:ascii="Times New Roman" w:hAnsi="Times New Roman" w:eastAsia="宋体" w:cs="Times New Roman"/>
                      <w:caps w:val="0"/>
                      <w:smallCaps w:val="0"/>
                      <w:color w:val="auto"/>
                    </w:rPr>
                    <w:t>面积</w:t>
                  </w:r>
                  <w:r>
                    <w:rPr>
                      <w:rFonts w:hint="default" w:ascii="Times New Roman" w:hAnsi="Times New Roman" w:eastAsia="宋体" w:cs="Times New Roman"/>
                      <w:caps w:val="0"/>
                      <w:smallCaps w:val="0"/>
                      <w:color w:val="auto"/>
                      <w:lang w:val="en-US" w:eastAsia="zh-CN"/>
                    </w:rPr>
                    <w:t>3</w:t>
                  </w:r>
                  <w:r>
                    <w:rPr>
                      <w:rFonts w:hint="default" w:ascii="Times New Roman" w:hAnsi="Times New Roman" w:eastAsia="宋体" w:cs="Times New Roman"/>
                      <w:caps w:val="0"/>
                      <w:smallCaps w:val="0"/>
                      <w:color w:val="auto"/>
                    </w:rPr>
                    <w:t>00m</w:t>
                  </w:r>
                  <w:r>
                    <w:rPr>
                      <w:rFonts w:hint="default" w:ascii="Times New Roman" w:hAnsi="Times New Roman" w:eastAsia="宋体" w:cs="Times New Roman"/>
                      <w:caps w:val="0"/>
                      <w:smallCaps w:val="0"/>
                      <w:color w:val="auto"/>
                      <w:vertAlign w:val="superscript"/>
                    </w:rPr>
                    <w:t>2</w:t>
                  </w:r>
                  <w:r>
                    <w:rPr>
                      <w:rFonts w:hint="default" w:ascii="Times New Roman" w:hAnsi="Times New Roman" w:eastAsia="宋体" w:cs="Times New Roman"/>
                      <w:caps w:val="0"/>
                      <w:smallCaps w:val="0"/>
                      <w:color w:val="auto"/>
                    </w:rPr>
                    <w:t>，内设拌料、</w:t>
                  </w:r>
                  <w:r>
                    <w:rPr>
                      <w:rFonts w:hint="default" w:ascii="Times New Roman" w:hAnsi="Times New Roman" w:eastAsia="宋体" w:cs="Times New Roman"/>
                      <w:caps w:val="0"/>
                      <w:smallCaps w:val="0"/>
                      <w:color w:val="auto"/>
                      <w:lang w:val="en-US" w:eastAsia="zh-CN"/>
                    </w:rPr>
                    <w:t>上料、</w:t>
                  </w:r>
                  <w:r>
                    <w:rPr>
                      <w:rFonts w:hint="default" w:ascii="Times New Roman" w:hAnsi="Times New Roman" w:eastAsia="宋体" w:cs="Times New Roman"/>
                      <w:caps w:val="0"/>
                      <w:smallCaps w:val="0"/>
                      <w:color w:val="auto"/>
                    </w:rPr>
                    <w:t>注塑、检验、破碎等工段，</w:t>
                  </w:r>
                  <w:r>
                    <w:rPr>
                      <w:rFonts w:hint="eastAsia" w:cs="Times New Roman"/>
                      <w:caps w:val="0"/>
                      <w:smallCaps w:val="0"/>
                      <w:color w:val="auto"/>
                      <w:lang w:val="en-US" w:eastAsia="zh-CN"/>
                    </w:rPr>
                    <w:t>共</w:t>
                  </w:r>
                  <w:r>
                    <w:rPr>
                      <w:rFonts w:hint="default" w:ascii="Times New Roman" w:hAnsi="Times New Roman" w:eastAsia="宋体" w:cs="Times New Roman"/>
                      <w:caps w:val="0"/>
                      <w:smallCaps w:val="0"/>
                      <w:color w:val="auto"/>
                    </w:rPr>
                    <w:t>设有</w:t>
                  </w:r>
                  <w:r>
                    <w:rPr>
                      <w:rFonts w:hint="default" w:ascii="Times New Roman" w:hAnsi="Times New Roman" w:eastAsia="宋体" w:cs="Times New Roman"/>
                      <w:caps w:val="0"/>
                      <w:smallCaps w:val="0"/>
                      <w:color w:val="auto"/>
                      <w:lang w:val="en-US" w:eastAsia="zh-CN"/>
                    </w:rPr>
                    <w:t>8</w:t>
                  </w:r>
                  <w:r>
                    <w:rPr>
                      <w:rFonts w:hint="default" w:ascii="Times New Roman" w:hAnsi="Times New Roman" w:eastAsia="宋体" w:cs="Times New Roman"/>
                      <w:caps w:val="0"/>
                      <w:smallCaps w:val="0"/>
                      <w:color w:val="auto"/>
                    </w:rPr>
                    <w:t>条塑料框生产线，</w:t>
                  </w:r>
                  <w:r>
                    <w:rPr>
                      <w:rFonts w:hint="eastAsia" w:ascii="Times New Roman" w:hAnsi="Times New Roman" w:eastAsia="宋体" w:cs="Times New Roman"/>
                      <w:caps w:val="0"/>
                      <w:smallCaps w:val="0"/>
                      <w:color w:val="auto"/>
                      <w:lang w:val="en-US" w:eastAsia="zh-CN"/>
                    </w:rPr>
                    <w:t>配套</w:t>
                  </w:r>
                  <w:r>
                    <w:rPr>
                      <w:rFonts w:hint="default" w:ascii="Times New Roman" w:hAnsi="Times New Roman" w:eastAsia="宋体" w:cs="Times New Roman"/>
                      <w:caps w:val="0"/>
                      <w:smallCaps w:val="0"/>
                      <w:color w:val="auto"/>
                      <w:lang w:val="en-US" w:eastAsia="zh-CN"/>
                    </w:rPr>
                    <w:t>设置注塑机、上料机、搅拌机、破碎机等设备，</w:t>
                  </w:r>
                  <w:r>
                    <w:rPr>
                      <w:rFonts w:hint="default" w:ascii="Times New Roman" w:hAnsi="Times New Roman" w:eastAsia="宋体" w:cs="Times New Roman"/>
                      <w:caps w:val="0"/>
                      <w:smallCaps w:val="0"/>
                      <w:color w:val="auto"/>
                    </w:rPr>
                    <w:t>其中搅拌、破碎、检验工段为共用。</w:t>
                  </w:r>
                </w:p>
              </w:tc>
              <w:tc>
                <w:tcPr>
                  <w:tcW w:w="791" w:type="dxa"/>
                  <w:vMerge w:val="restart"/>
                  <w:noWrap w:val="0"/>
                  <w:vAlign w:val="center"/>
                </w:tcPr>
                <w:p w14:paraId="5616E4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cs="Times New Roman"/>
                      <w:color w:val="auto"/>
                      <w:kern w:val="2"/>
                      <w:sz w:val="21"/>
                      <w:szCs w:val="21"/>
                      <w:lang w:val="en-US" w:eastAsia="zh-CN" w:bidi="ar-SA"/>
                    </w:rPr>
                    <w:t>新建，在现有厂房内安装设备，布置生产线及配套建设环保设施</w:t>
                  </w:r>
                </w:p>
              </w:tc>
            </w:tr>
            <w:tr w14:paraId="2B5E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6" w:hRule="atLeast"/>
                <w:jc w:val="center"/>
              </w:trPr>
              <w:tc>
                <w:tcPr>
                  <w:tcW w:w="572" w:type="dxa"/>
                  <w:vMerge w:val="continue"/>
                  <w:noWrap w:val="0"/>
                  <w:vAlign w:val="center"/>
                </w:tcPr>
                <w:p w14:paraId="347F37F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eastAsia" w:ascii="Times New Roman" w:cs="Times New Roman"/>
                      <w:color w:val="auto"/>
                      <w:sz w:val="21"/>
                      <w:szCs w:val="21"/>
                      <w:lang w:val="en-US" w:eastAsia="zh-CN"/>
                    </w:rPr>
                  </w:pPr>
                </w:p>
              </w:tc>
              <w:tc>
                <w:tcPr>
                  <w:tcW w:w="1106" w:type="dxa"/>
                  <w:vMerge w:val="continue"/>
                  <w:noWrap w:val="0"/>
                  <w:vAlign w:val="center"/>
                </w:tcPr>
                <w:p w14:paraId="1ED945D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cs="Times New Roman"/>
                      <w:color w:val="auto"/>
                      <w:kern w:val="2"/>
                      <w:sz w:val="21"/>
                      <w:szCs w:val="21"/>
                      <w:lang w:val="en-US" w:eastAsia="zh-CN" w:bidi="ar-SA"/>
                    </w:rPr>
                  </w:pPr>
                </w:p>
              </w:tc>
              <w:tc>
                <w:tcPr>
                  <w:tcW w:w="1367" w:type="dxa"/>
                  <w:noWrap w:val="0"/>
                  <w:vAlign w:val="center"/>
                </w:tcPr>
                <w:p w14:paraId="3A06ACC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原料区</w:t>
                  </w:r>
                </w:p>
              </w:tc>
              <w:tc>
                <w:tcPr>
                  <w:tcW w:w="4782" w:type="dxa"/>
                  <w:noWrap w:val="0"/>
                  <w:vAlign w:val="center"/>
                </w:tcPr>
                <w:p w14:paraId="504B418D">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caps w:val="0"/>
                      <w:smallCaps w:val="0"/>
                      <w:color w:val="auto"/>
                    </w:rPr>
                  </w:pPr>
                  <w:r>
                    <w:rPr>
                      <w:rFonts w:hint="default" w:ascii="Times New Roman" w:hAnsi="Times New Roman" w:eastAsia="宋体" w:cs="Times New Roman"/>
                      <w:caps w:val="0"/>
                      <w:smallCaps w:val="0"/>
                      <w:color w:val="auto"/>
                    </w:rPr>
                    <w:t>位于</w:t>
                  </w:r>
                  <w:r>
                    <w:rPr>
                      <w:rFonts w:hint="default" w:ascii="Times New Roman" w:hAnsi="Times New Roman" w:eastAsia="宋体" w:cs="Times New Roman"/>
                      <w:caps w:val="0"/>
                      <w:smallCaps w:val="0"/>
                      <w:color w:val="auto"/>
                      <w:lang w:val="en-US" w:eastAsia="zh-CN"/>
                    </w:rPr>
                    <w:t>生产</w:t>
                  </w:r>
                  <w:r>
                    <w:rPr>
                      <w:rFonts w:hint="default" w:ascii="Times New Roman" w:hAnsi="Times New Roman" w:eastAsia="宋体" w:cs="Times New Roman"/>
                      <w:caps w:val="0"/>
                      <w:smallCaps w:val="0"/>
                      <w:color w:val="auto"/>
                      <w:szCs w:val="21"/>
                      <w:lang w:val="en-US" w:eastAsia="zh-CN"/>
                    </w:rPr>
                    <w:t>厂房</w:t>
                  </w:r>
                  <w:r>
                    <w:rPr>
                      <w:rFonts w:hint="eastAsia" w:ascii="Times New Roman" w:hAnsi="Times New Roman" w:eastAsia="宋体" w:cs="Times New Roman"/>
                      <w:caps w:val="0"/>
                      <w:smallCaps w:val="0"/>
                      <w:color w:val="auto"/>
                      <w:szCs w:val="21"/>
                      <w:lang w:val="en-US" w:eastAsia="zh-CN"/>
                    </w:rPr>
                    <w:t>南</w:t>
                  </w:r>
                  <w:r>
                    <w:rPr>
                      <w:rFonts w:hint="default" w:ascii="Times New Roman" w:hAnsi="Times New Roman" w:eastAsia="宋体" w:cs="Times New Roman"/>
                      <w:caps w:val="0"/>
                      <w:smallCaps w:val="0"/>
                      <w:color w:val="auto"/>
                      <w:szCs w:val="21"/>
                      <w:lang w:val="en-US" w:eastAsia="zh-CN"/>
                    </w:rPr>
                    <w:t>侧</w:t>
                  </w:r>
                  <w:r>
                    <w:rPr>
                      <w:rFonts w:hint="eastAsia" w:ascii="Times New Roman" w:hAnsi="Times New Roman" w:eastAsia="宋体" w:cs="Times New Roman"/>
                      <w:caps w:val="0"/>
                      <w:smallCaps w:val="0"/>
                      <w:color w:val="auto"/>
                      <w:szCs w:val="21"/>
                      <w:lang w:val="en-US" w:eastAsia="zh-CN"/>
                    </w:rPr>
                    <w:t>（生产区东侧）</w:t>
                  </w:r>
                  <w:r>
                    <w:rPr>
                      <w:rFonts w:hint="default" w:ascii="Times New Roman" w:hAnsi="Times New Roman" w:eastAsia="宋体" w:cs="Times New Roman"/>
                      <w:caps w:val="0"/>
                      <w:smallCaps w:val="0"/>
                      <w:color w:val="auto"/>
                    </w:rPr>
                    <w:t>，</w:t>
                  </w:r>
                  <w:r>
                    <w:rPr>
                      <w:rFonts w:hint="eastAsia" w:cs="Times New Roman"/>
                      <w:caps w:val="0"/>
                      <w:smallCaps w:val="0"/>
                      <w:color w:val="auto"/>
                      <w:lang w:val="en-US" w:eastAsia="zh-CN"/>
                    </w:rPr>
                    <w:t>占地</w:t>
                  </w:r>
                  <w:r>
                    <w:rPr>
                      <w:rFonts w:hint="default" w:ascii="Times New Roman" w:hAnsi="Times New Roman" w:eastAsia="宋体" w:cs="Times New Roman"/>
                      <w:caps w:val="0"/>
                      <w:smallCaps w:val="0"/>
                      <w:color w:val="auto"/>
                    </w:rPr>
                    <w:t>面积</w:t>
                  </w:r>
                  <w:r>
                    <w:rPr>
                      <w:rFonts w:hint="default" w:ascii="Times New Roman" w:hAnsi="Times New Roman" w:eastAsia="宋体" w:cs="Times New Roman"/>
                      <w:caps w:val="0"/>
                      <w:smallCaps w:val="0"/>
                      <w:color w:val="auto"/>
                      <w:lang w:val="en-US" w:eastAsia="zh-CN"/>
                    </w:rPr>
                    <w:t>3</w:t>
                  </w:r>
                  <w:r>
                    <w:rPr>
                      <w:rFonts w:hint="default" w:ascii="Times New Roman" w:hAnsi="Times New Roman" w:eastAsia="宋体" w:cs="Times New Roman"/>
                      <w:caps w:val="0"/>
                      <w:smallCaps w:val="0"/>
                      <w:color w:val="auto"/>
                    </w:rPr>
                    <w:t>00m</w:t>
                  </w:r>
                  <w:r>
                    <w:rPr>
                      <w:rFonts w:hint="default" w:ascii="Times New Roman" w:hAnsi="Times New Roman" w:eastAsia="宋体" w:cs="Times New Roman"/>
                      <w:caps w:val="0"/>
                      <w:smallCaps w:val="0"/>
                      <w:color w:val="auto"/>
                      <w:vertAlign w:val="superscript"/>
                    </w:rPr>
                    <w:t>2</w:t>
                  </w:r>
                  <w:r>
                    <w:rPr>
                      <w:rFonts w:hint="default" w:ascii="Times New Roman" w:hAnsi="Times New Roman" w:eastAsia="宋体" w:cs="Times New Roman"/>
                      <w:caps w:val="0"/>
                      <w:smallCaps w:val="0"/>
                      <w:color w:val="auto"/>
                    </w:rPr>
                    <w:t>，</w:t>
                  </w:r>
                  <w:r>
                    <w:rPr>
                      <w:rFonts w:hint="default" w:ascii="Times New Roman" w:hAnsi="Times New Roman" w:eastAsia="宋体" w:cs="Times New Roman"/>
                      <w:caps w:val="0"/>
                      <w:smallCaps w:val="0"/>
                      <w:color w:val="auto"/>
                      <w:szCs w:val="21"/>
                    </w:rPr>
                    <w:t>主要</w:t>
                  </w:r>
                  <w:r>
                    <w:rPr>
                      <w:rFonts w:hint="default" w:ascii="Times New Roman" w:hAnsi="Times New Roman" w:eastAsia="宋体" w:cs="Times New Roman"/>
                      <w:caps w:val="0"/>
                      <w:smallCaps w:val="0"/>
                      <w:color w:val="auto"/>
                      <w:szCs w:val="21"/>
                      <w:lang w:val="en-US" w:eastAsia="zh-CN"/>
                    </w:rPr>
                    <w:t>设置有原辅料堆放区（</w:t>
                  </w:r>
                  <w:r>
                    <w:rPr>
                      <w:rFonts w:hint="default" w:ascii="Times New Roman" w:hAnsi="Times New Roman" w:eastAsia="宋体" w:cs="Times New Roman"/>
                      <w:caps w:val="0"/>
                      <w:smallCaps w:val="0"/>
                      <w:color w:val="auto"/>
                      <w:szCs w:val="21"/>
                    </w:rPr>
                    <w:t>用于堆放</w:t>
                  </w:r>
                  <w:r>
                    <w:rPr>
                      <w:rFonts w:hint="eastAsia" w:ascii="Times New Roman" w:hAnsi="Times New Roman" w:eastAsia="宋体" w:cs="Times New Roman"/>
                      <w:caps w:val="0"/>
                      <w:smallCaps w:val="0"/>
                      <w:color w:val="auto"/>
                      <w:szCs w:val="21"/>
                      <w:lang w:val="en-US" w:eastAsia="zh-CN"/>
                    </w:rPr>
                    <w:t>购入的</w:t>
                  </w:r>
                  <w:r>
                    <w:rPr>
                      <w:rFonts w:hint="default" w:ascii="Times New Roman" w:hAnsi="Times New Roman" w:eastAsia="宋体" w:cs="Times New Roman"/>
                      <w:caps w:val="0"/>
                      <w:smallCaps w:val="0"/>
                      <w:color w:val="auto"/>
                      <w:szCs w:val="21"/>
                      <w:lang w:val="en-US" w:eastAsia="zh-CN"/>
                    </w:rPr>
                    <w:t>全新</w:t>
                  </w:r>
                  <w:r>
                    <w:rPr>
                      <w:rFonts w:hint="default" w:ascii="Times New Roman" w:hAnsi="Times New Roman" w:eastAsia="宋体" w:cs="Times New Roman"/>
                      <w:caps w:val="0"/>
                      <w:smallCaps w:val="0"/>
                      <w:color w:val="auto"/>
                      <w:szCs w:val="21"/>
                    </w:rPr>
                    <w:t>聚丙烯树脂颗粒等原辅料</w:t>
                  </w:r>
                  <w:r>
                    <w:rPr>
                      <w:rFonts w:hint="default" w:ascii="Times New Roman" w:hAnsi="Times New Roman" w:eastAsia="宋体" w:cs="Times New Roman"/>
                      <w:caps w:val="0"/>
                      <w:smallCaps w:val="0"/>
                      <w:color w:val="auto"/>
                      <w:szCs w:val="21"/>
                      <w:lang w:val="en-US" w:eastAsia="zh-CN"/>
                    </w:rPr>
                    <w:t>）、不合格产品堆放区（用于堆放生产过程中产生的不合格品）</w:t>
                  </w:r>
                  <w:r>
                    <w:rPr>
                      <w:rFonts w:hint="default" w:ascii="Times New Roman" w:hAnsi="Times New Roman" w:eastAsia="宋体" w:cs="Times New Roman"/>
                      <w:caps w:val="0"/>
                      <w:smallCaps w:val="0"/>
                      <w:color w:val="auto"/>
                      <w:szCs w:val="21"/>
                    </w:rPr>
                    <w:t>。</w:t>
                  </w:r>
                </w:p>
              </w:tc>
              <w:tc>
                <w:tcPr>
                  <w:tcW w:w="791" w:type="dxa"/>
                  <w:vMerge w:val="continue"/>
                  <w:noWrap w:val="0"/>
                  <w:vAlign w:val="center"/>
                </w:tcPr>
                <w:p w14:paraId="6263AC0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p>
              </w:tc>
            </w:tr>
            <w:tr w14:paraId="794C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6" w:hRule="atLeast"/>
                <w:jc w:val="center"/>
              </w:trPr>
              <w:tc>
                <w:tcPr>
                  <w:tcW w:w="572" w:type="dxa"/>
                  <w:vMerge w:val="continue"/>
                  <w:noWrap w:val="0"/>
                  <w:vAlign w:val="center"/>
                </w:tcPr>
                <w:p w14:paraId="7B41B5F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eastAsia" w:ascii="Times New Roman" w:cs="Times New Roman"/>
                      <w:color w:val="auto"/>
                      <w:sz w:val="21"/>
                      <w:szCs w:val="21"/>
                      <w:lang w:val="en-US" w:eastAsia="zh-CN"/>
                    </w:rPr>
                  </w:pPr>
                </w:p>
              </w:tc>
              <w:tc>
                <w:tcPr>
                  <w:tcW w:w="1106" w:type="dxa"/>
                  <w:vMerge w:val="continue"/>
                  <w:noWrap w:val="0"/>
                  <w:vAlign w:val="center"/>
                </w:tcPr>
                <w:p w14:paraId="3A9672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eastAsia" w:ascii="Times New Roman" w:cs="Times New Roman"/>
                      <w:color w:val="auto"/>
                      <w:kern w:val="2"/>
                      <w:sz w:val="21"/>
                      <w:szCs w:val="21"/>
                      <w:lang w:val="en-US" w:eastAsia="zh-CN" w:bidi="ar-SA"/>
                    </w:rPr>
                  </w:pPr>
                </w:p>
              </w:tc>
              <w:tc>
                <w:tcPr>
                  <w:tcW w:w="1367" w:type="dxa"/>
                  <w:noWrap w:val="0"/>
                  <w:vAlign w:val="center"/>
                </w:tcPr>
                <w:p w14:paraId="51C48FE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成品区</w:t>
                  </w:r>
                </w:p>
              </w:tc>
              <w:tc>
                <w:tcPr>
                  <w:tcW w:w="4782" w:type="dxa"/>
                  <w:noWrap w:val="0"/>
                  <w:vAlign w:val="center"/>
                </w:tcPr>
                <w:p w14:paraId="023D22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aps w:val="0"/>
                      <w:smallCaps w:val="0"/>
                      <w:color w:val="auto"/>
                    </w:rPr>
                  </w:pPr>
                  <w:r>
                    <w:rPr>
                      <w:rFonts w:hint="default" w:ascii="Times New Roman" w:hAnsi="Times New Roman" w:eastAsia="宋体" w:cs="Times New Roman"/>
                      <w:caps w:val="0"/>
                      <w:smallCaps w:val="0"/>
                      <w:color w:val="auto"/>
                    </w:rPr>
                    <w:t>位于</w:t>
                  </w:r>
                  <w:r>
                    <w:rPr>
                      <w:rFonts w:hint="default" w:ascii="Times New Roman" w:hAnsi="Times New Roman" w:eastAsia="宋体" w:cs="Times New Roman"/>
                      <w:caps w:val="0"/>
                      <w:smallCaps w:val="0"/>
                      <w:color w:val="auto"/>
                      <w:lang w:val="en-US" w:eastAsia="zh-CN"/>
                    </w:rPr>
                    <w:t>生产厂房北</w:t>
                  </w:r>
                  <w:r>
                    <w:rPr>
                      <w:rFonts w:hint="default" w:ascii="Times New Roman" w:hAnsi="Times New Roman" w:eastAsia="宋体" w:cs="Times New Roman"/>
                      <w:caps w:val="0"/>
                      <w:smallCaps w:val="0"/>
                      <w:color w:val="auto"/>
                    </w:rPr>
                    <w:t>侧，</w:t>
                  </w:r>
                  <w:r>
                    <w:rPr>
                      <w:rFonts w:hint="eastAsia" w:cs="Times New Roman"/>
                      <w:caps w:val="0"/>
                      <w:smallCaps w:val="0"/>
                      <w:color w:val="auto"/>
                      <w:lang w:val="en-US" w:eastAsia="zh-CN"/>
                    </w:rPr>
                    <w:t>占地</w:t>
                  </w:r>
                  <w:r>
                    <w:rPr>
                      <w:rFonts w:hint="default" w:ascii="Times New Roman" w:hAnsi="Times New Roman" w:eastAsia="宋体" w:cs="Times New Roman"/>
                      <w:caps w:val="0"/>
                      <w:smallCaps w:val="0"/>
                      <w:color w:val="auto"/>
                    </w:rPr>
                    <w:t>面积</w:t>
                  </w:r>
                  <w:r>
                    <w:rPr>
                      <w:rFonts w:hint="eastAsia" w:ascii="Times New Roman" w:hAnsi="Times New Roman" w:eastAsia="宋体" w:cs="Times New Roman"/>
                      <w:caps w:val="0"/>
                      <w:smallCaps w:val="0"/>
                      <w:color w:val="auto"/>
                      <w:lang w:val="en-US" w:eastAsia="zh-CN"/>
                    </w:rPr>
                    <w:t>10</w:t>
                  </w:r>
                  <w:r>
                    <w:rPr>
                      <w:rFonts w:hint="default" w:ascii="Times New Roman" w:hAnsi="Times New Roman" w:eastAsia="宋体" w:cs="Times New Roman"/>
                      <w:caps w:val="0"/>
                      <w:smallCaps w:val="0"/>
                      <w:color w:val="auto"/>
                    </w:rPr>
                    <w:t>00m</w:t>
                  </w:r>
                  <w:r>
                    <w:rPr>
                      <w:rFonts w:hint="default" w:ascii="Times New Roman" w:hAnsi="Times New Roman" w:eastAsia="宋体" w:cs="Times New Roman"/>
                      <w:caps w:val="0"/>
                      <w:smallCaps w:val="0"/>
                      <w:color w:val="auto"/>
                      <w:vertAlign w:val="superscript"/>
                    </w:rPr>
                    <w:t>2</w:t>
                  </w:r>
                  <w:r>
                    <w:rPr>
                      <w:rFonts w:hint="default" w:ascii="Times New Roman" w:hAnsi="Times New Roman" w:eastAsia="宋体" w:cs="Times New Roman"/>
                      <w:caps w:val="0"/>
                      <w:smallCaps w:val="0"/>
                      <w:color w:val="auto"/>
                    </w:rPr>
                    <w:t>，</w:t>
                  </w:r>
                  <w:r>
                    <w:rPr>
                      <w:rFonts w:hint="default" w:ascii="Times New Roman" w:hAnsi="Times New Roman" w:eastAsia="宋体" w:cs="Times New Roman"/>
                      <w:caps w:val="0"/>
                      <w:smallCaps w:val="0"/>
                      <w:color w:val="auto"/>
                      <w:szCs w:val="21"/>
                    </w:rPr>
                    <w:t>主要用于堆放</w:t>
                  </w:r>
                  <w:r>
                    <w:rPr>
                      <w:rFonts w:hint="default" w:ascii="Times New Roman" w:hAnsi="Times New Roman" w:eastAsia="宋体" w:cs="Times New Roman"/>
                      <w:caps w:val="0"/>
                      <w:smallCaps w:val="0"/>
                      <w:color w:val="auto"/>
                      <w:szCs w:val="21"/>
                      <w:lang w:eastAsia="zh-CN"/>
                    </w:rPr>
                    <w:t>塑料框</w:t>
                  </w:r>
                  <w:r>
                    <w:rPr>
                      <w:rFonts w:hint="default" w:ascii="Times New Roman" w:hAnsi="Times New Roman" w:eastAsia="宋体" w:cs="Times New Roman"/>
                      <w:caps w:val="0"/>
                      <w:smallCaps w:val="0"/>
                      <w:color w:val="auto"/>
                      <w:szCs w:val="21"/>
                    </w:rPr>
                    <w:t>成品。</w:t>
                  </w:r>
                </w:p>
              </w:tc>
              <w:tc>
                <w:tcPr>
                  <w:tcW w:w="791" w:type="dxa"/>
                  <w:vMerge w:val="continue"/>
                  <w:noWrap w:val="0"/>
                  <w:vAlign w:val="center"/>
                </w:tcPr>
                <w:p w14:paraId="2BE4144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p>
              </w:tc>
            </w:tr>
            <w:tr w14:paraId="5637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restart"/>
                  <w:noWrap w:val="0"/>
                  <w:vAlign w:val="center"/>
                </w:tcPr>
                <w:p w14:paraId="07FE612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辅助工程</w:t>
                  </w:r>
                </w:p>
              </w:tc>
              <w:tc>
                <w:tcPr>
                  <w:tcW w:w="2473" w:type="dxa"/>
                  <w:gridSpan w:val="2"/>
                  <w:noWrap w:val="0"/>
                  <w:vAlign w:val="center"/>
                </w:tcPr>
                <w:p w14:paraId="73142A6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办公区</w:t>
                  </w:r>
                  <w:r>
                    <w:rPr>
                      <w:rFonts w:hint="default" w:ascii="Times New Roman" w:hAnsi="Times New Roman" w:eastAsia="宋体" w:cs="Times New Roman"/>
                      <w:caps w:val="0"/>
                      <w:smallCaps w:val="0"/>
                      <w:color w:val="auto"/>
                      <w:kern w:val="2"/>
                      <w:sz w:val="21"/>
                      <w:szCs w:val="24"/>
                      <w:lang w:val="en-US" w:eastAsia="zh-CN" w:bidi="ar-SA"/>
                    </w:rPr>
                    <w:t>（</w:t>
                  </w:r>
                  <w:r>
                    <w:rPr>
                      <w:rFonts w:hint="eastAsia" w:ascii="Times New Roman" w:hAnsi="Times New Roman" w:eastAsia="宋体" w:cs="Times New Roman"/>
                      <w:caps w:val="0"/>
                      <w:smallCaps w:val="0"/>
                      <w:color w:val="auto"/>
                      <w:kern w:val="2"/>
                      <w:sz w:val="21"/>
                      <w:szCs w:val="24"/>
                      <w:lang w:val="en-US" w:eastAsia="zh-CN" w:bidi="ar-SA"/>
                    </w:rPr>
                    <w:t>建筑面积</w:t>
                  </w:r>
                  <w:r>
                    <w:rPr>
                      <w:rFonts w:hint="default" w:ascii="Times New Roman" w:hAnsi="Times New Roman" w:eastAsia="宋体" w:cs="Times New Roman"/>
                      <w:caps w:val="0"/>
                      <w:smallCaps w:val="0"/>
                      <w:color w:val="auto"/>
                      <w:kern w:val="2"/>
                      <w:sz w:val="21"/>
                      <w:szCs w:val="24"/>
                      <w:lang w:val="en-US" w:eastAsia="zh-CN" w:bidi="ar-SA"/>
                    </w:rPr>
                    <w:t>为</w:t>
                  </w:r>
                  <w:r>
                    <w:rPr>
                      <w:rFonts w:hint="eastAsia" w:ascii="Times New Roman" w:cs="Times New Roman"/>
                      <w:caps w:val="0"/>
                      <w:smallCaps w:val="0"/>
                      <w:color w:val="auto"/>
                      <w:kern w:val="2"/>
                      <w:sz w:val="21"/>
                      <w:szCs w:val="24"/>
                      <w:lang w:val="en-US" w:eastAsia="zh-CN" w:bidi="ar-SA"/>
                    </w:rPr>
                    <w:t>6</w:t>
                  </w:r>
                  <w:r>
                    <w:rPr>
                      <w:rFonts w:hint="default" w:ascii="Times New Roman" w:hAnsi="Times New Roman" w:eastAsia="宋体" w:cs="Times New Roman"/>
                      <w:caps w:val="0"/>
                      <w:smallCaps w:val="0"/>
                      <w:color w:val="auto"/>
                      <w:kern w:val="2"/>
                      <w:sz w:val="21"/>
                      <w:szCs w:val="24"/>
                      <w:lang w:val="en-US" w:eastAsia="zh-CN" w:bidi="ar-SA"/>
                    </w:rPr>
                    <w:t>00m</w:t>
                  </w:r>
                  <w:r>
                    <w:rPr>
                      <w:rFonts w:hint="default" w:ascii="Times New Roman" w:hAnsi="Times New Roman" w:eastAsia="宋体" w:cs="Times New Roman"/>
                      <w:caps w:val="0"/>
                      <w:smallCaps w:val="0"/>
                      <w:color w:val="auto"/>
                      <w:kern w:val="2"/>
                      <w:sz w:val="21"/>
                      <w:szCs w:val="24"/>
                      <w:vertAlign w:val="superscript"/>
                      <w:lang w:val="en-US" w:eastAsia="zh-CN" w:bidi="ar-SA"/>
                    </w:rPr>
                    <w:t>2</w:t>
                  </w:r>
                  <w:r>
                    <w:rPr>
                      <w:rFonts w:hint="default" w:ascii="Times New Roman" w:hAnsi="Times New Roman" w:eastAsia="宋体" w:cs="Times New Roman"/>
                      <w:caps w:val="0"/>
                      <w:smallCaps w:val="0"/>
                      <w:color w:val="auto"/>
                      <w:kern w:val="2"/>
                      <w:sz w:val="21"/>
                      <w:szCs w:val="24"/>
                      <w:lang w:val="en-US" w:eastAsia="zh-CN" w:bidi="ar-SA"/>
                    </w:rPr>
                    <w:t>）</w:t>
                  </w:r>
                </w:p>
              </w:tc>
              <w:tc>
                <w:tcPr>
                  <w:tcW w:w="4782" w:type="dxa"/>
                  <w:noWrap w:val="0"/>
                  <w:vAlign w:val="center"/>
                </w:tcPr>
                <w:p w14:paraId="1964584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aps w:val="0"/>
                      <w:smallCaps w:val="0"/>
                      <w:color w:val="auto"/>
                      <w:kern w:val="2"/>
                      <w:sz w:val="21"/>
                      <w:szCs w:val="24"/>
                      <w:lang w:val="en-US" w:eastAsia="zh-CN" w:bidi="ar-SA"/>
                    </w:rPr>
                  </w:pPr>
                  <w:r>
                    <w:rPr>
                      <w:rFonts w:hint="default" w:ascii="Times New Roman" w:hAnsi="Times New Roman" w:eastAsia="宋体" w:cs="Times New Roman"/>
                      <w:caps w:val="0"/>
                      <w:smallCaps w:val="0"/>
                      <w:color w:val="auto"/>
                      <w:kern w:val="2"/>
                      <w:sz w:val="21"/>
                      <w:szCs w:val="24"/>
                      <w:lang w:val="en-US" w:eastAsia="zh-CN" w:bidi="ar-SA"/>
                    </w:rPr>
                    <w:t>租用云南鹏达冠得有限公司已建</w:t>
                  </w:r>
                  <w:r>
                    <w:rPr>
                      <w:rFonts w:hint="eastAsia" w:ascii="Times New Roman" w:cs="Times New Roman"/>
                      <w:caps w:val="0"/>
                      <w:smallCaps w:val="0"/>
                      <w:color w:val="auto"/>
                      <w:kern w:val="2"/>
                      <w:sz w:val="21"/>
                      <w:szCs w:val="24"/>
                      <w:lang w:val="en-US" w:eastAsia="zh-CN" w:bidi="ar-SA"/>
                    </w:rPr>
                    <w:t>综合楼（综合楼占地600m</w:t>
                  </w:r>
                  <w:r>
                    <w:rPr>
                      <w:rFonts w:hint="eastAsia" w:ascii="Times New Roman" w:cs="Times New Roman"/>
                      <w:caps w:val="0"/>
                      <w:smallCaps w:val="0"/>
                      <w:color w:val="auto"/>
                      <w:kern w:val="2"/>
                      <w:sz w:val="21"/>
                      <w:szCs w:val="24"/>
                      <w:vertAlign w:val="superscript"/>
                      <w:lang w:val="en-US" w:eastAsia="zh-CN" w:bidi="ar-SA"/>
                    </w:rPr>
                    <w:t>2</w:t>
                  </w:r>
                  <w:r>
                    <w:rPr>
                      <w:rFonts w:hint="eastAsia" w:ascii="Times New Roman" w:cs="Times New Roman"/>
                      <w:caps w:val="0"/>
                      <w:smallCaps w:val="0"/>
                      <w:color w:val="auto"/>
                      <w:kern w:val="2"/>
                      <w:sz w:val="21"/>
                      <w:szCs w:val="24"/>
                      <w:lang w:val="en-US" w:eastAsia="zh-CN" w:bidi="ar-SA"/>
                    </w:rPr>
                    <w:t>，共四层）第三层供本</w:t>
                  </w:r>
                  <w:r>
                    <w:rPr>
                      <w:rFonts w:hint="default" w:ascii="Times New Roman" w:hAnsi="Times New Roman" w:eastAsia="宋体" w:cs="Times New Roman"/>
                      <w:caps w:val="0"/>
                      <w:smallCaps w:val="0"/>
                      <w:color w:val="auto"/>
                      <w:kern w:val="2"/>
                      <w:sz w:val="21"/>
                      <w:szCs w:val="24"/>
                      <w:lang w:val="en-US" w:eastAsia="zh-CN" w:bidi="ar-SA"/>
                    </w:rPr>
                    <w:t>项目办公、客户接待使用。</w:t>
                  </w:r>
                </w:p>
              </w:tc>
              <w:tc>
                <w:tcPr>
                  <w:tcW w:w="791" w:type="dxa"/>
                  <w:noWrap w:val="0"/>
                  <w:vAlign w:val="center"/>
                </w:tcPr>
                <w:p w14:paraId="7D87F2F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aps w:val="0"/>
                      <w:smallCaps w:val="0"/>
                      <w:color w:val="auto"/>
                      <w:kern w:val="2"/>
                      <w:sz w:val="21"/>
                      <w:szCs w:val="24"/>
                      <w:lang w:val="en-US" w:eastAsia="zh-CN" w:bidi="ar-SA"/>
                    </w:rPr>
                  </w:pPr>
                  <w:r>
                    <w:rPr>
                      <w:rFonts w:hint="eastAsia" w:ascii="Times New Roman" w:cs="Times New Roman"/>
                      <w:caps w:val="0"/>
                      <w:smallCaps w:val="0"/>
                      <w:color w:val="auto"/>
                      <w:kern w:val="2"/>
                      <w:sz w:val="21"/>
                      <w:szCs w:val="24"/>
                      <w:lang w:val="en-US" w:eastAsia="zh-CN" w:bidi="ar-SA"/>
                    </w:rPr>
                    <w:t>依托</w:t>
                  </w:r>
                </w:p>
              </w:tc>
            </w:tr>
            <w:tr w14:paraId="4F91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31A4FB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2473" w:type="dxa"/>
                  <w:gridSpan w:val="2"/>
                  <w:noWrap w:val="0"/>
                  <w:vAlign w:val="center"/>
                </w:tcPr>
                <w:p w14:paraId="762B451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食堂</w:t>
                  </w:r>
                </w:p>
              </w:tc>
              <w:tc>
                <w:tcPr>
                  <w:tcW w:w="4782" w:type="dxa"/>
                  <w:noWrap w:val="0"/>
                  <w:vAlign w:val="center"/>
                </w:tcPr>
                <w:p w14:paraId="1CEDC5E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aps w:val="0"/>
                      <w:smallCaps w:val="0"/>
                      <w:color w:val="auto"/>
                      <w:kern w:val="2"/>
                      <w:sz w:val="21"/>
                      <w:szCs w:val="24"/>
                      <w:lang w:val="en-US" w:eastAsia="zh-CN" w:bidi="ar-SA"/>
                    </w:rPr>
                  </w:pPr>
                  <w:r>
                    <w:rPr>
                      <w:rFonts w:hint="eastAsia" w:ascii="Times New Roman" w:hAnsi="Times New Roman" w:eastAsia="宋体" w:cs="Times New Roman"/>
                      <w:caps w:val="0"/>
                      <w:smallCaps w:val="0"/>
                      <w:color w:val="auto"/>
                      <w:kern w:val="2"/>
                      <w:sz w:val="21"/>
                      <w:szCs w:val="24"/>
                      <w:lang w:val="en-US" w:eastAsia="zh-CN" w:bidi="ar-SA"/>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eastAsia" w:ascii="Times New Roman" w:hAnsi="Times New Roman" w:eastAsia="宋体" w:cs="Times New Roman"/>
                      <w:caps w:val="0"/>
                      <w:smallCaps w:val="0"/>
                      <w:color w:val="auto"/>
                      <w:kern w:val="2"/>
                      <w:sz w:val="21"/>
                      <w:szCs w:val="24"/>
                      <w:lang w:val="en-US" w:eastAsia="zh-CN" w:bidi="ar-SA"/>
                    </w:rPr>
                    <w:t>配套的食堂，位于</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eastAsia" w:ascii="Times New Roman" w:hAnsi="Times New Roman" w:eastAsia="宋体" w:cs="Times New Roman"/>
                      <w:caps w:val="0"/>
                      <w:smallCaps w:val="0"/>
                      <w:color w:val="auto"/>
                      <w:kern w:val="2"/>
                      <w:sz w:val="21"/>
                      <w:szCs w:val="24"/>
                      <w:lang w:val="en-US" w:eastAsia="zh-CN" w:bidi="ar-SA"/>
                    </w:rPr>
                    <w:t>综合楼</w:t>
                  </w:r>
                  <w:r>
                    <w:rPr>
                      <w:rFonts w:hint="eastAsia" w:ascii="Times New Roman" w:cs="Times New Roman"/>
                      <w:caps w:val="0"/>
                      <w:smallCaps w:val="0"/>
                      <w:color w:val="auto"/>
                      <w:kern w:val="2"/>
                      <w:sz w:val="21"/>
                      <w:szCs w:val="24"/>
                      <w:lang w:val="en-US" w:eastAsia="zh-CN" w:bidi="ar-SA"/>
                    </w:rPr>
                    <w:t>四楼</w:t>
                  </w:r>
                  <w:r>
                    <w:rPr>
                      <w:rFonts w:hint="eastAsia" w:ascii="Times New Roman" w:hAnsi="Times New Roman" w:eastAsia="宋体" w:cs="Times New Roman"/>
                      <w:caps w:val="0"/>
                      <w:smallCaps w:val="0"/>
                      <w:color w:val="auto"/>
                      <w:kern w:val="2"/>
                      <w:sz w:val="21"/>
                      <w:szCs w:val="24"/>
                      <w:lang w:val="en-US" w:eastAsia="zh-CN" w:bidi="ar-SA"/>
                    </w:rPr>
                    <w:t>。</w:t>
                  </w:r>
                </w:p>
              </w:tc>
              <w:tc>
                <w:tcPr>
                  <w:tcW w:w="791" w:type="dxa"/>
                  <w:noWrap w:val="0"/>
                  <w:vAlign w:val="center"/>
                </w:tcPr>
                <w:p w14:paraId="3D24B3D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aps w:val="0"/>
                      <w:smallCaps w:val="0"/>
                      <w:color w:val="auto"/>
                      <w:kern w:val="2"/>
                      <w:sz w:val="21"/>
                      <w:szCs w:val="24"/>
                      <w:lang w:val="en-US" w:eastAsia="zh-CN" w:bidi="ar-SA"/>
                    </w:rPr>
                  </w:pPr>
                  <w:r>
                    <w:rPr>
                      <w:rFonts w:hint="eastAsia" w:ascii="Times New Roman" w:hAnsi="Times New Roman" w:eastAsia="宋体" w:cs="Times New Roman"/>
                      <w:caps w:val="0"/>
                      <w:smallCaps w:val="0"/>
                      <w:color w:val="auto"/>
                      <w:kern w:val="2"/>
                      <w:sz w:val="21"/>
                      <w:szCs w:val="24"/>
                      <w:lang w:val="en-US" w:eastAsia="zh-CN" w:bidi="ar-SA"/>
                    </w:rPr>
                    <w:t>依托</w:t>
                  </w:r>
                </w:p>
              </w:tc>
            </w:tr>
            <w:tr w14:paraId="3568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restart"/>
                  <w:noWrap w:val="0"/>
                  <w:vAlign w:val="center"/>
                </w:tcPr>
                <w:p w14:paraId="6EB9F14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公用工程</w:t>
                  </w:r>
                </w:p>
              </w:tc>
              <w:tc>
                <w:tcPr>
                  <w:tcW w:w="2473" w:type="dxa"/>
                  <w:gridSpan w:val="2"/>
                  <w:noWrap w:val="0"/>
                  <w:vAlign w:val="center"/>
                </w:tcPr>
                <w:p w14:paraId="3466B94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供水系统</w:t>
                  </w:r>
                </w:p>
              </w:tc>
              <w:tc>
                <w:tcPr>
                  <w:tcW w:w="4782" w:type="dxa"/>
                  <w:noWrap w:val="0"/>
                  <w:vAlign w:val="center"/>
                </w:tcPr>
                <w:p w14:paraId="29C2442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kern w:val="0"/>
                      <w:sz w:val="21"/>
                      <w:szCs w:val="21"/>
                      <w:lang w:val="en-US" w:eastAsia="zh-CN"/>
                    </w:rPr>
                    <w:t>依托云南鹏达冠得有限公司已建的供水系统，由</w:t>
                  </w:r>
                  <w:r>
                    <w:rPr>
                      <w:rFonts w:hint="eastAsia" w:ascii="Times New Roman" w:cs="Times New Roman"/>
                      <w:color w:val="auto"/>
                      <w:kern w:val="0"/>
                      <w:sz w:val="21"/>
                      <w:szCs w:val="21"/>
                      <w:lang w:val="en-US" w:eastAsia="zh-CN"/>
                    </w:rPr>
                    <w:t>市政给</w:t>
                  </w:r>
                  <w:r>
                    <w:rPr>
                      <w:rFonts w:hint="default" w:ascii="Times New Roman" w:hAnsi="Times New Roman" w:eastAsia="宋体" w:cs="Times New Roman"/>
                      <w:color w:val="auto"/>
                      <w:kern w:val="0"/>
                      <w:sz w:val="21"/>
                      <w:szCs w:val="21"/>
                      <w:lang w:val="en-US" w:eastAsia="zh-CN"/>
                    </w:rPr>
                    <w:t>水管网供给。</w:t>
                  </w:r>
                </w:p>
              </w:tc>
              <w:tc>
                <w:tcPr>
                  <w:tcW w:w="791" w:type="dxa"/>
                  <w:noWrap w:val="0"/>
                  <w:vAlign w:val="center"/>
                </w:tcPr>
                <w:p w14:paraId="4F02726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w:t>
                  </w:r>
                </w:p>
              </w:tc>
            </w:tr>
            <w:tr w14:paraId="5A93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77163C9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2473" w:type="dxa"/>
                  <w:gridSpan w:val="2"/>
                  <w:noWrap w:val="0"/>
                  <w:vAlign w:val="center"/>
                </w:tcPr>
                <w:p w14:paraId="38DE49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供电系统</w:t>
                  </w:r>
                </w:p>
              </w:tc>
              <w:tc>
                <w:tcPr>
                  <w:tcW w:w="4782" w:type="dxa"/>
                  <w:noWrap w:val="0"/>
                  <w:vAlign w:val="center"/>
                </w:tcPr>
                <w:p w14:paraId="04C8294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kern w:val="0"/>
                      <w:sz w:val="21"/>
                      <w:szCs w:val="21"/>
                      <w:lang w:val="en-US" w:eastAsia="zh-CN"/>
                    </w:rPr>
                    <w:t>依托云南鹏达冠得有限公司已建的供电系统，由市政供电电网供给。</w:t>
                  </w:r>
                </w:p>
              </w:tc>
              <w:tc>
                <w:tcPr>
                  <w:tcW w:w="791" w:type="dxa"/>
                  <w:noWrap w:val="0"/>
                  <w:vAlign w:val="center"/>
                </w:tcPr>
                <w:p w14:paraId="237C276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w:t>
                  </w:r>
                </w:p>
              </w:tc>
            </w:tr>
            <w:tr w14:paraId="29F3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1C32817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2473" w:type="dxa"/>
                  <w:gridSpan w:val="2"/>
                  <w:noWrap w:val="0"/>
                  <w:vAlign w:val="center"/>
                </w:tcPr>
                <w:p w14:paraId="4472220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排水系统</w:t>
                  </w:r>
                </w:p>
              </w:tc>
              <w:tc>
                <w:tcPr>
                  <w:tcW w:w="4782" w:type="dxa"/>
                  <w:noWrap w:val="0"/>
                  <w:vAlign w:val="center"/>
                </w:tcPr>
                <w:p w14:paraId="31F7CBBA">
                  <w:pPr>
                    <w:keepNext w:val="0"/>
                    <w:keepLines w:val="0"/>
                    <w:widowControl/>
                    <w:suppressLineNumbers w:val="0"/>
                    <w:spacing w:before="0" w:beforeAutospacing="0" w:after="0" w:afterAutospacing="0"/>
                    <w:ind w:left="0" w:right="0"/>
                    <w:jc w:val="left"/>
                    <w:rPr>
                      <w:rFonts w:hint="eastAsia" w:cs="Times New Roman"/>
                      <w:color w:val="auto"/>
                      <w:sz w:val="21"/>
                      <w:szCs w:val="21"/>
                      <w:lang w:eastAsia="zh-CN"/>
                    </w:rPr>
                  </w:pPr>
                  <w:r>
                    <w:rPr>
                      <w:rFonts w:hint="default" w:ascii="Times New Roman" w:hAnsi="Times New Roman" w:eastAsia="宋体" w:cs="Times New Roman"/>
                      <w:color w:val="auto"/>
                      <w:sz w:val="21"/>
                      <w:szCs w:val="21"/>
                    </w:rPr>
                    <w:t>项目实行雨污分流</w:t>
                  </w:r>
                  <w:r>
                    <w:rPr>
                      <w:rFonts w:hint="eastAsia" w:cs="Times New Roman"/>
                      <w:color w:val="auto"/>
                      <w:sz w:val="21"/>
                      <w:szCs w:val="21"/>
                      <w:lang w:val="en-US" w:eastAsia="zh-CN"/>
                    </w:rPr>
                    <w:t>制</w:t>
                  </w:r>
                  <w:r>
                    <w:rPr>
                      <w:rFonts w:hint="eastAsia" w:cs="Times New Roman"/>
                      <w:color w:val="auto"/>
                      <w:sz w:val="21"/>
                      <w:szCs w:val="21"/>
                      <w:lang w:eastAsia="zh-CN"/>
                    </w:rPr>
                    <w:t>。</w:t>
                  </w:r>
                </w:p>
                <w:p w14:paraId="5F888D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雨水：</w:t>
                  </w:r>
                  <w:r>
                    <w:rPr>
                      <w:rFonts w:hint="default" w:ascii="Times New Roman" w:hAnsi="Times New Roman" w:eastAsia="宋体" w:cs="Times New Roman"/>
                      <w:b w:val="0"/>
                      <w:bCs w:val="0"/>
                      <w:color w:val="auto"/>
                      <w:sz w:val="21"/>
                      <w:szCs w:val="21"/>
                      <w:highlight w:val="none"/>
                      <w:lang w:val="en-US" w:eastAsia="zh-CN"/>
                    </w:rPr>
                    <w:t>雨水经租用厂区雨水管收集后</w:t>
                  </w:r>
                  <w:r>
                    <w:rPr>
                      <w:rFonts w:hint="eastAsia"/>
                      <w:color w:val="auto"/>
                      <w:lang w:val="en-US" w:eastAsia="zh-CN"/>
                    </w:rPr>
                    <w:t>从项目区西北侧</w:t>
                  </w:r>
                  <w:r>
                    <w:rPr>
                      <w:rFonts w:hint="default" w:ascii="Times New Roman" w:hAnsi="Times New Roman" w:eastAsia="宋体" w:cs="Times New Roman"/>
                      <w:b w:val="0"/>
                      <w:bCs w:val="0"/>
                      <w:color w:val="auto"/>
                      <w:sz w:val="21"/>
                      <w:szCs w:val="21"/>
                      <w:highlight w:val="none"/>
                      <w:lang w:val="en-US" w:eastAsia="zh-CN"/>
                    </w:rPr>
                    <w:t>排入</w:t>
                  </w:r>
                  <w:r>
                    <w:rPr>
                      <w:rFonts w:hint="eastAsia" w:cs="Times New Roman"/>
                      <w:b w:val="0"/>
                      <w:bCs w:val="0"/>
                      <w:color w:val="auto"/>
                      <w:sz w:val="21"/>
                      <w:szCs w:val="21"/>
                      <w:highlight w:val="none"/>
                      <w:lang w:val="en-US" w:eastAsia="zh-CN"/>
                    </w:rPr>
                    <w:t>金海路</w:t>
                  </w:r>
                  <w:r>
                    <w:rPr>
                      <w:rFonts w:hint="default" w:ascii="Times New Roman" w:hAnsi="Times New Roman" w:eastAsia="宋体" w:cs="Times New Roman"/>
                      <w:b w:val="0"/>
                      <w:bCs w:val="0"/>
                      <w:color w:val="auto"/>
                      <w:sz w:val="21"/>
                      <w:szCs w:val="21"/>
                      <w:highlight w:val="none"/>
                      <w:lang w:val="en-US" w:eastAsia="zh-CN"/>
                    </w:rPr>
                    <w:t>市政雨水管网</w:t>
                  </w:r>
                  <w:r>
                    <w:rPr>
                      <w:rFonts w:hint="default" w:ascii="Times New Roman" w:hAnsi="Times New Roman" w:eastAsia="宋体" w:cs="Times New Roman"/>
                      <w:color w:val="auto"/>
                      <w:sz w:val="21"/>
                      <w:szCs w:val="21"/>
                    </w:rPr>
                    <w:t>。</w:t>
                  </w:r>
                </w:p>
                <w:p w14:paraId="45357DC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废水：</w:t>
                  </w:r>
                  <w:r>
                    <w:rPr>
                      <w:rFonts w:hint="default" w:ascii="Times New Roman" w:hAnsi="Times New Roman" w:eastAsia="宋体" w:cs="Times New Roman"/>
                      <w:color w:val="auto"/>
                      <w:sz w:val="21"/>
                      <w:szCs w:val="21"/>
                    </w:rPr>
                    <w:t>项目</w:t>
                  </w:r>
                  <w:r>
                    <w:rPr>
                      <w:rFonts w:hint="eastAsia" w:cs="Times New Roman"/>
                      <w:color w:val="auto"/>
                      <w:kern w:val="0"/>
                      <w:sz w:val="21"/>
                      <w:szCs w:val="21"/>
                      <w:highlight w:val="none"/>
                      <w:lang w:val="en-US" w:eastAsia="zh-CN" w:bidi="ar"/>
                    </w:rPr>
                    <w:t>间接</w:t>
                  </w:r>
                  <w:r>
                    <w:rPr>
                      <w:rFonts w:hint="default" w:ascii="Times New Roman" w:hAnsi="Times New Roman" w:eastAsia="宋体" w:cs="Times New Roman"/>
                      <w:color w:val="auto"/>
                      <w:kern w:val="0"/>
                      <w:sz w:val="21"/>
                      <w:szCs w:val="21"/>
                      <w:highlight w:val="none"/>
                      <w:lang w:val="en-US" w:eastAsia="zh-CN" w:bidi="ar"/>
                    </w:rPr>
                    <w:t>冷却循环</w:t>
                  </w:r>
                  <w:r>
                    <w:rPr>
                      <w:rFonts w:hint="eastAsia" w:cs="Times New Roman"/>
                      <w:color w:val="auto"/>
                      <w:kern w:val="0"/>
                      <w:sz w:val="21"/>
                      <w:szCs w:val="21"/>
                      <w:highlight w:val="none"/>
                      <w:lang w:val="en-US" w:eastAsia="zh-CN" w:bidi="ar"/>
                    </w:rPr>
                    <w:t>废水经</w:t>
                  </w:r>
                  <w:r>
                    <w:rPr>
                      <w:rFonts w:hint="default" w:ascii="Times New Roman" w:hAnsi="Times New Roman" w:eastAsia="宋体" w:cs="Times New Roman"/>
                      <w:color w:val="auto"/>
                      <w:kern w:val="0"/>
                      <w:sz w:val="21"/>
                      <w:szCs w:val="21"/>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kern w:val="0"/>
                      <w:sz w:val="21"/>
                      <w:szCs w:val="21"/>
                      <w:highlight w:val="none"/>
                      <w:lang w:val="en-US" w:eastAsia="zh-CN" w:bidi="ar"/>
                    </w:rPr>
                    <w:t>绿化浇灌及道路洒水</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sz w:val="21"/>
                      <w:szCs w:val="21"/>
                    </w:rPr>
                    <w:t>生活污水</w:t>
                  </w: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w:t>
                  </w:r>
                  <w:r>
                    <w:rPr>
                      <w:rFonts w:hint="default" w:ascii="Times New Roman" w:hAnsi="Times New Roman" w:eastAsia="宋体" w:cs="Times New Roman"/>
                      <w:caps w:val="0"/>
                      <w:smallCaps w:val="0"/>
                      <w:color w:val="auto"/>
                      <w:kern w:val="2"/>
                      <w:sz w:val="21"/>
                      <w:szCs w:val="21"/>
                      <w:lang w:val="en-US" w:eastAsia="zh-CN" w:bidi="ar-SA"/>
                    </w:rPr>
                    <w:t>司</w:t>
                  </w:r>
                  <w:r>
                    <w:rPr>
                      <w:rFonts w:hint="default" w:ascii="Times New Roman" w:hAnsi="Times New Roman" w:eastAsia="宋体" w:cs="Times New Roman"/>
                      <w:color w:val="auto"/>
                      <w:sz w:val="21"/>
                      <w:szCs w:val="21"/>
                      <w:lang w:val="en-US" w:eastAsia="zh-CN"/>
                    </w:rPr>
                    <w:t>已建污水处理系统（化粪池+</w:t>
                  </w:r>
                  <w:r>
                    <w:rPr>
                      <w:rFonts w:hint="default" w:ascii="Times New Roman" w:hAnsi="Times New Roman" w:eastAsia="宋体" w:cs="Times New Roman"/>
                      <w:color w:val="auto"/>
                      <w:kern w:val="0"/>
                      <w:sz w:val="21"/>
                      <w:szCs w:val="21"/>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bidi="ar"/>
                    </w:rPr>
                    <w:t>处理后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auto"/>
                      <w:kern w:val="0"/>
                      <w:sz w:val="21"/>
                      <w:szCs w:val="21"/>
                      <w:lang w:val="en-US" w:eastAsia="zh-CN" w:bidi="ar"/>
                    </w:rPr>
                    <w:t>绿化浇灌及道路洒水</w:t>
                  </w:r>
                  <w:r>
                    <w:rPr>
                      <w:rFonts w:hint="default" w:ascii="Times New Roman" w:hAnsi="Times New Roman" w:eastAsia="宋体" w:cs="Times New Roman"/>
                      <w:color w:val="auto"/>
                      <w:sz w:val="21"/>
                      <w:szCs w:val="21"/>
                    </w:rPr>
                    <w:t>，项目废水不外排。</w:t>
                  </w:r>
                </w:p>
              </w:tc>
              <w:tc>
                <w:tcPr>
                  <w:tcW w:w="791" w:type="dxa"/>
                  <w:noWrap w:val="0"/>
                  <w:vAlign w:val="center"/>
                </w:tcPr>
                <w:p w14:paraId="343227C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w:t>
                  </w:r>
                </w:p>
              </w:tc>
            </w:tr>
            <w:tr w14:paraId="3FF8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restart"/>
                  <w:noWrap w:val="0"/>
                  <w:vAlign w:val="center"/>
                </w:tcPr>
                <w:p w14:paraId="364612D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环保工程</w:t>
                  </w:r>
                </w:p>
              </w:tc>
              <w:tc>
                <w:tcPr>
                  <w:tcW w:w="1106" w:type="dxa"/>
                  <w:vMerge w:val="restart"/>
                  <w:noWrap w:val="0"/>
                  <w:vAlign w:val="center"/>
                </w:tcPr>
                <w:p w14:paraId="529854B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废水治理措施</w:t>
                  </w:r>
                </w:p>
              </w:tc>
              <w:tc>
                <w:tcPr>
                  <w:tcW w:w="1367" w:type="dxa"/>
                  <w:noWrap w:val="0"/>
                  <w:vAlign w:val="center"/>
                </w:tcPr>
                <w:p w14:paraId="57D66BD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注塑</w:t>
                  </w:r>
                  <w:r>
                    <w:rPr>
                      <w:rFonts w:hint="default" w:ascii="Times New Roman" w:hAnsi="Times New Roman" w:eastAsia="宋体" w:cs="Times New Roman"/>
                      <w:color w:val="auto"/>
                      <w:sz w:val="21"/>
                      <w:szCs w:val="21"/>
                      <w:lang w:val="en-US" w:eastAsia="zh-CN"/>
                    </w:rPr>
                    <w:t>冷却水循环系统</w:t>
                  </w:r>
                </w:p>
              </w:tc>
              <w:tc>
                <w:tcPr>
                  <w:tcW w:w="4782" w:type="dxa"/>
                  <w:noWrap w:val="0"/>
                  <w:vAlign w:val="center"/>
                </w:tcPr>
                <w:p w14:paraId="74B155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新建</w:t>
                  </w:r>
                  <w:r>
                    <w:rPr>
                      <w:rFonts w:hint="default" w:ascii="Times New Roman" w:hAnsi="Times New Roman" w:eastAsia="宋体" w:cs="Times New Roman"/>
                      <w:color w:val="auto"/>
                      <w:sz w:val="21"/>
                      <w:szCs w:val="21"/>
                      <w:lang w:val="en-US" w:eastAsia="zh-CN"/>
                    </w:rPr>
                    <w:t>一个10m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的</w:t>
                  </w:r>
                  <w:r>
                    <w:rPr>
                      <w:rFonts w:hint="eastAsia" w:ascii="Times New Roman" w:cs="Times New Roman"/>
                      <w:color w:val="auto"/>
                      <w:sz w:val="21"/>
                      <w:szCs w:val="21"/>
                      <w:lang w:val="en-US" w:eastAsia="zh-CN"/>
                    </w:rPr>
                    <w:t>注塑</w:t>
                  </w:r>
                  <w:r>
                    <w:rPr>
                      <w:rFonts w:hint="default" w:ascii="Times New Roman" w:hAnsi="Times New Roman" w:eastAsia="宋体" w:cs="Times New Roman"/>
                      <w:color w:val="auto"/>
                      <w:sz w:val="21"/>
                      <w:szCs w:val="21"/>
                      <w:lang w:val="en-US" w:eastAsia="zh-CN"/>
                    </w:rPr>
                    <w:t>冷却水循环水池，配套相应循环水管道，</w:t>
                  </w:r>
                  <w:r>
                    <w:rPr>
                      <w:rFonts w:hint="eastAsia" w:ascii="Times New Roman" w:cs="Times New Roman"/>
                      <w:color w:val="auto"/>
                      <w:sz w:val="21"/>
                      <w:szCs w:val="21"/>
                      <w:lang w:val="en-US" w:eastAsia="zh-CN"/>
                    </w:rPr>
                    <w:t>注塑</w:t>
                  </w:r>
                  <w:r>
                    <w:rPr>
                      <w:rFonts w:hint="default" w:ascii="Times New Roman" w:hAnsi="Times New Roman" w:eastAsia="宋体" w:cs="Times New Roman"/>
                      <w:color w:val="auto"/>
                      <w:sz w:val="21"/>
                      <w:szCs w:val="21"/>
                      <w:lang w:val="en-US" w:eastAsia="zh-CN"/>
                    </w:rPr>
                    <w:t>冷却水冷却后循环使用。</w:t>
                  </w:r>
                </w:p>
              </w:tc>
              <w:tc>
                <w:tcPr>
                  <w:tcW w:w="791" w:type="dxa"/>
                  <w:noWrap w:val="0"/>
                  <w:vAlign w:val="center"/>
                </w:tcPr>
                <w:p w14:paraId="5E64B8E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1E9E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288BA86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2CFCC0D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p>
              </w:tc>
              <w:tc>
                <w:tcPr>
                  <w:tcW w:w="1367" w:type="dxa"/>
                  <w:noWrap w:val="0"/>
                  <w:vAlign w:val="center"/>
                </w:tcPr>
                <w:p w14:paraId="14B0CDD3">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油水分离器</w:t>
                  </w:r>
                </w:p>
              </w:tc>
              <w:tc>
                <w:tcPr>
                  <w:tcW w:w="4782" w:type="dxa"/>
                  <w:noWrap w:val="0"/>
                  <w:vAlign w:val="center"/>
                </w:tcPr>
                <w:p w14:paraId="08974C8C">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容积为0.5m</w:t>
                  </w:r>
                  <w:r>
                    <w:rPr>
                      <w:rFonts w:hint="default" w:ascii="Times New Roman" w:hAnsi="Times New Roman" w:eastAsia="宋体" w:cs="Times New Roman"/>
                      <w:color w:val="auto"/>
                      <w:kern w:val="0"/>
                      <w:sz w:val="21"/>
                      <w:szCs w:val="21"/>
                      <w:vertAlign w:val="superscript"/>
                      <w:lang w:val="en-US" w:eastAsia="zh-CN" w:bidi="ar"/>
                    </w:rPr>
                    <w:t>3</w:t>
                  </w:r>
                  <w:r>
                    <w:rPr>
                      <w:rFonts w:hint="default" w:ascii="Times New Roman" w:hAnsi="Times New Roman" w:eastAsia="宋体" w:cs="Times New Roman"/>
                      <w:color w:val="auto"/>
                      <w:kern w:val="0"/>
                      <w:sz w:val="21"/>
                      <w:szCs w:val="21"/>
                      <w:lang w:val="en-US" w:eastAsia="zh-CN" w:bidi="ar"/>
                    </w:rPr>
                    <w:t>的油水分离器，对厨房内产生的餐饮废水进行预处理。</w:t>
                  </w:r>
                </w:p>
              </w:tc>
              <w:tc>
                <w:tcPr>
                  <w:tcW w:w="791" w:type="dxa"/>
                  <w:vMerge w:val="restart"/>
                  <w:noWrap w:val="0"/>
                  <w:vAlign w:val="center"/>
                </w:tcPr>
                <w:p w14:paraId="59DA326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w:t>
                  </w:r>
                  <w:r>
                    <w:rPr>
                      <w:rFonts w:hint="default" w:ascii="Times New Roman" w:hAnsi="Times New Roman" w:eastAsia="宋体" w:cs="Times New Roman"/>
                      <w:color w:val="auto"/>
                      <w:sz w:val="21"/>
                      <w:szCs w:val="21"/>
                      <w:lang w:val="en-US" w:eastAsia="zh-CN"/>
                    </w:rPr>
                    <w:t>已建</w:t>
                  </w:r>
                </w:p>
              </w:tc>
            </w:tr>
            <w:tr w14:paraId="3CF26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77D917D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2664D43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p>
              </w:tc>
              <w:tc>
                <w:tcPr>
                  <w:tcW w:w="1367" w:type="dxa"/>
                  <w:noWrap w:val="0"/>
                  <w:vAlign w:val="center"/>
                </w:tcPr>
                <w:p w14:paraId="50DCD21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化粪池</w:t>
                  </w:r>
                </w:p>
              </w:tc>
              <w:tc>
                <w:tcPr>
                  <w:tcW w:w="4782" w:type="dxa"/>
                  <w:noWrap w:val="0"/>
                  <w:vAlign w:val="center"/>
                </w:tcPr>
                <w:p w14:paraId="730DB2D6">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项目租用</w:t>
                  </w:r>
                  <w:r>
                    <w:rPr>
                      <w:rFonts w:hint="eastAsia" w:ascii="Times New Roman" w:hAnsi="Times New Roman" w:eastAsia="宋体" w:cs="Times New Roman"/>
                      <w:color w:val="auto"/>
                      <w:sz w:val="21"/>
                      <w:szCs w:val="21"/>
                      <w:lang w:val="en-US" w:eastAsia="zh-CN"/>
                    </w:rPr>
                    <w:t>办公区（综合楼）</w:t>
                  </w:r>
                  <w:r>
                    <w:rPr>
                      <w:rFonts w:hint="default" w:ascii="Times New Roman" w:hAnsi="Times New Roman" w:eastAsia="宋体" w:cs="Times New Roman"/>
                      <w:color w:val="auto"/>
                      <w:sz w:val="21"/>
                      <w:szCs w:val="21"/>
                      <w:lang w:val="en-US" w:eastAsia="zh-CN"/>
                    </w:rPr>
                    <w:t>已配套建设了1个化粪池，位于</w:t>
                  </w:r>
                  <w:r>
                    <w:rPr>
                      <w:rFonts w:hint="eastAsia" w:ascii="Times New Roman" w:hAnsi="Times New Roman" w:eastAsia="宋体" w:cs="Times New Roman"/>
                      <w:color w:val="auto"/>
                      <w:kern w:val="0"/>
                      <w:sz w:val="21"/>
                      <w:szCs w:val="21"/>
                      <w:lang w:val="en-US" w:eastAsia="zh-CN" w:bidi="ar"/>
                    </w:rPr>
                    <w:t>综合楼</w:t>
                  </w:r>
                  <w:r>
                    <w:rPr>
                      <w:rFonts w:hint="default" w:ascii="Times New Roman" w:hAnsi="Times New Roman" w:eastAsia="宋体" w:cs="Times New Roman"/>
                      <w:color w:val="auto"/>
                      <w:kern w:val="0"/>
                      <w:sz w:val="21"/>
                      <w:szCs w:val="21"/>
                      <w:lang w:val="en-US" w:eastAsia="zh-CN" w:bidi="ar"/>
                    </w:rPr>
                    <w:t>旁空地下</w:t>
                  </w:r>
                  <w:r>
                    <w:rPr>
                      <w:rFonts w:hint="default" w:ascii="Times New Roman" w:hAnsi="Times New Roman" w:eastAsia="宋体" w:cs="Times New Roman"/>
                      <w:color w:val="auto"/>
                      <w:sz w:val="21"/>
                      <w:szCs w:val="21"/>
                      <w:lang w:val="en-US" w:eastAsia="zh-CN"/>
                    </w:rPr>
                    <w:t>，容积为5m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w:t>
                  </w:r>
                </w:p>
              </w:tc>
              <w:tc>
                <w:tcPr>
                  <w:tcW w:w="791" w:type="dxa"/>
                  <w:vMerge w:val="continue"/>
                  <w:noWrap w:val="0"/>
                  <w:vAlign w:val="center"/>
                </w:tcPr>
                <w:p w14:paraId="7A94657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p>
              </w:tc>
            </w:tr>
            <w:tr w14:paraId="4D17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4D4DA0B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71E559F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p>
              </w:tc>
              <w:tc>
                <w:tcPr>
                  <w:tcW w:w="1367" w:type="dxa"/>
                  <w:noWrap w:val="0"/>
                  <w:vAlign w:val="center"/>
                </w:tcPr>
                <w:p w14:paraId="0111CE06">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一体化污水处理设施</w:t>
                  </w:r>
                </w:p>
              </w:tc>
              <w:tc>
                <w:tcPr>
                  <w:tcW w:w="4782" w:type="dxa"/>
                  <w:noWrap w:val="0"/>
                  <w:vAlign w:val="center"/>
                </w:tcPr>
                <w:p w14:paraId="15959F8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处理规模</w:t>
                  </w:r>
                  <w:r>
                    <w:rPr>
                      <w:rFonts w:hint="eastAsia" w:ascii="Times New Roman" w:hAnsi="Times New Roman" w:eastAsia="宋体" w:cs="Times New Roman"/>
                      <w:color w:val="auto"/>
                      <w:kern w:val="0"/>
                      <w:sz w:val="21"/>
                      <w:szCs w:val="21"/>
                      <w:lang w:val="en-US" w:eastAsia="zh-CN" w:bidi="ar"/>
                    </w:rPr>
                    <w:t>8</w:t>
                  </w:r>
                  <w:r>
                    <w:rPr>
                      <w:rFonts w:hint="default" w:ascii="Times New Roman" w:hAnsi="Times New Roman" w:eastAsia="宋体" w:cs="Times New Roman"/>
                      <w:color w:val="auto"/>
                      <w:kern w:val="0"/>
                      <w:sz w:val="21"/>
                      <w:szCs w:val="21"/>
                      <w:lang w:val="en-US" w:eastAsia="zh-CN" w:bidi="ar"/>
                    </w:rPr>
                    <w:t>m</w:t>
                  </w:r>
                  <w:r>
                    <w:rPr>
                      <w:rFonts w:hint="default" w:ascii="Times New Roman" w:hAnsi="Times New Roman" w:eastAsia="宋体" w:cs="Times New Roman"/>
                      <w:color w:val="auto"/>
                      <w:kern w:val="0"/>
                      <w:sz w:val="21"/>
                      <w:szCs w:val="21"/>
                      <w:vertAlign w:val="superscript"/>
                      <w:lang w:val="en-US" w:eastAsia="zh-CN" w:bidi="ar"/>
                    </w:rPr>
                    <w:t>3</w:t>
                  </w:r>
                  <w:r>
                    <w:rPr>
                      <w:rFonts w:hint="default" w:ascii="Times New Roman" w:hAnsi="Times New Roman" w:eastAsia="宋体" w:cs="Times New Roman"/>
                      <w:color w:val="auto"/>
                      <w:kern w:val="0"/>
                      <w:sz w:val="21"/>
                      <w:szCs w:val="21"/>
                      <w:lang w:val="en-US" w:eastAsia="zh-CN" w:bidi="ar"/>
                    </w:rPr>
                    <w:t>/d的一体化污水处理设施（MBR中水处理工艺），对化粪池预处理后的生活污水进一步处理达到《城市污水再生利用 城市杂用水水质》（GB/T18920-2020）标准后晴天回用作为绿化浇灌、道路洒水，雨天暂存于项目内设置的蓄水池。</w:t>
                  </w:r>
                </w:p>
              </w:tc>
              <w:tc>
                <w:tcPr>
                  <w:tcW w:w="791" w:type="dxa"/>
                  <w:vMerge w:val="continue"/>
                  <w:noWrap w:val="0"/>
                  <w:vAlign w:val="center"/>
                </w:tcPr>
                <w:p w14:paraId="39437D9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p>
              </w:tc>
            </w:tr>
            <w:tr w14:paraId="5A45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3315A6C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2ACFEF5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p>
              </w:tc>
              <w:tc>
                <w:tcPr>
                  <w:tcW w:w="1367" w:type="dxa"/>
                  <w:noWrap w:val="0"/>
                  <w:vAlign w:val="center"/>
                </w:tcPr>
                <w:p w14:paraId="302A22C9">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蓄水池</w:t>
                  </w:r>
                </w:p>
              </w:tc>
              <w:tc>
                <w:tcPr>
                  <w:tcW w:w="4782" w:type="dxa"/>
                  <w:noWrap w:val="0"/>
                  <w:vAlign w:val="center"/>
                </w:tcPr>
                <w:p w14:paraId="20B516E4">
                  <w:pPr>
                    <w:keepNext w:val="0"/>
                    <w:keepLines w:val="0"/>
                    <w:pageBreakBefore w:val="0"/>
                    <w:widowControl/>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容积为30m</w:t>
                  </w:r>
                  <w:r>
                    <w:rPr>
                      <w:rFonts w:hint="default" w:ascii="Times New Roman" w:hAnsi="Times New Roman" w:eastAsia="宋体" w:cs="Times New Roman"/>
                      <w:color w:val="auto"/>
                      <w:kern w:val="0"/>
                      <w:sz w:val="21"/>
                      <w:szCs w:val="21"/>
                      <w:vertAlign w:val="superscript"/>
                      <w:lang w:val="en-US" w:eastAsia="zh-CN" w:bidi="ar"/>
                    </w:rPr>
                    <w:t>3</w:t>
                  </w:r>
                  <w:r>
                    <w:rPr>
                      <w:rFonts w:hint="default" w:ascii="Times New Roman" w:hAnsi="Times New Roman" w:eastAsia="宋体" w:cs="Times New Roman"/>
                      <w:color w:val="auto"/>
                      <w:kern w:val="0"/>
                      <w:sz w:val="21"/>
                      <w:szCs w:val="21"/>
                      <w:lang w:val="en-US" w:eastAsia="zh-CN" w:bidi="ar"/>
                    </w:rPr>
                    <w:t>。</w:t>
                  </w:r>
                </w:p>
              </w:tc>
              <w:tc>
                <w:tcPr>
                  <w:tcW w:w="791" w:type="dxa"/>
                  <w:vMerge w:val="continue"/>
                  <w:noWrap w:val="0"/>
                  <w:vAlign w:val="center"/>
                </w:tcPr>
                <w:p w14:paraId="4DACD98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p>
              </w:tc>
            </w:tr>
            <w:tr w14:paraId="455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3E20B73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restart"/>
                  <w:noWrap w:val="0"/>
                  <w:vAlign w:val="center"/>
                </w:tcPr>
                <w:p w14:paraId="2AA7080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废气治理措施</w:t>
                  </w:r>
                </w:p>
              </w:tc>
              <w:tc>
                <w:tcPr>
                  <w:tcW w:w="1367" w:type="dxa"/>
                  <w:noWrap w:val="0"/>
                  <w:vAlign w:val="center"/>
                </w:tcPr>
                <w:p w14:paraId="483A3C8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集气罩+三级活性炭吸附装置</w:t>
                  </w:r>
                </w:p>
              </w:tc>
              <w:tc>
                <w:tcPr>
                  <w:tcW w:w="4782" w:type="dxa"/>
                  <w:noWrap w:val="0"/>
                  <w:vAlign w:val="center"/>
                </w:tcPr>
                <w:p w14:paraId="4CDF5A8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项目注塑工序产生的有机废气（以非甲烷总烃计）经注塑机上方设置的集气罩（共</w:t>
                  </w:r>
                  <w:r>
                    <w:rPr>
                      <w:rFonts w:hint="eastAsia" w:ascii="Times New Roman" w:cs="Times New Roman"/>
                      <w:color w:val="auto"/>
                      <w:kern w:val="2"/>
                      <w:sz w:val="21"/>
                      <w:szCs w:val="21"/>
                      <w:lang w:val="en-US" w:eastAsia="zh-CN" w:bidi="ar-SA"/>
                    </w:rPr>
                    <w:t>8</w:t>
                  </w:r>
                  <w:r>
                    <w:rPr>
                      <w:rFonts w:hint="default" w:ascii="Times New Roman" w:hAnsi="Times New Roman" w:eastAsia="宋体" w:cs="Times New Roman"/>
                      <w:color w:val="auto"/>
                      <w:kern w:val="2"/>
                      <w:sz w:val="21"/>
                      <w:szCs w:val="21"/>
                      <w:lang w:val="en-US" w:eastAsia="zh-CN" w:bidi="ar-SA"/>
                    </w:rPr>
                    <w:t>个）收集进入1套三级活性炭吸附装置处理后通过1根15m高的排气筒（DA001）排放。</w:t>
                  </w:r>
                </w:p>
              </w:tc>
              <w:tc>
                <w:tcPr>
                  <w:tcW w:w="791" w:type="dxa"/>
                  <w:noWrap w:val="0"/>
                  <w:vAlign w:val="center"/>
                </w:tcPr>
                <w:p w14:paraId="369D9F4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新建</w:t>
                  </w:r>
                </w:p>
              </w:tc>
            </w:tr>
            <w:tr w14:paraId="64CE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20E9151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369239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367" w:type="dxa"/>
                  <w:noWrap w:val="0"/>
                  <w:vAlign w:val="center"/>
                </w:tcPr>
                <w:p w14:paraId="78B4C67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油烟净化器</w:t>
                  </w:r>
                </w:p>
              </w:tc>
              <w:tc>
                <w:tcPr>
                  <w:tcW w:w="4782" w:type="dxa"/>
                  <w:noWrap w:val="0"/>
                  <w:vAlign w:val="center"/>
                </w:tcPr>
                <w:p w14:paraId="4F6A4B4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4"/>
                      <w:lang w:val="en-US" w:eastAsia="zh-CN" w:bidi="ar-SA"/>
                    </w:rPr>
                    <w:t>云南鹏达冠得有限公司配套</w:t>
                  </w:r>
                  <w:r>
                    <w:rPr>
                      <w:rFonts w:hint="eastAsia" w:ascii="Times New Roman" w:hAnsi="Times New Roman" w:eastAsia="宋体" w:cs="Times New Roman"/>
                      <w:caps w:val="0"/>
                      <w:smallCaps w:val="0"/>
                      <w:color w:val="auto"/>
                      <w:kern w:val="2"/>
                      <w:sz w:val="21"/>
                      <w:szCs w:val="24"/>
                      <w:lang w:val="en-US" w:eastAsia="zh-CN" w:bidi="ar-SA"/>
                    </w:rPr>
                    <w:t>（一套，处理效率60%）</w:t>
                  </w:r>
                </w:p>
              </w:tc>
              <w:tc>
                <w:tcPr>
                  <w:tcW w:w="791" w:type="dxa"/>
                  <w:noWrap w:val="0"/>
                  <w:vAlign w:val="center"/>
                </w:tcPr>
                <w:p w14:paraId="7E5B6D2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已建</w:t>
                  </w:r>
                </w:p>
              </w:tc>
            </w:tr>
            <w:tr w14:paraId="15A3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7B500AC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78D477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367" w:type="dxa"/>
                  <w:noWrap w:val="0"/>
                  <w:vAlign w:val="center"/>
                </w:tcPr>
                <w:p w14:paraId="05257F5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无组织控制措施</w:t>
                  </w:r>
                </w:p>
              </w:tc>
              <w:tc>
                <w:tcPr>
                  <w:tcW w:w="4782" w:type="dxa"/>
                  <w:noWrap w:val="0"/>
                  <w:vAlign w:val="center"/>
                </w:tcPr>
                <w:p w14:paraId="784215F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拌料、上料以及不合格产品破碎等工序为密闭设置，厂房密闭沉降、绿化消减</w:t>
                  </w:r>
                </w:p>
              </w:tc>
              <w:tc>
                <w:tcPr>
                  <w:tcW w:w="791" w:type="dxa"/>
                  <w:noWrap w:val="0"/>
                  <w:vAlign w:val="center"/>
                </w:tcPr>
                <w:p w14:paraId="554DA68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已建</w:t>
                  </w:r>
                </w:p>
              </w:tc>
            </w:tr>
            <w:tr w14:paraId="10BF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79B4981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noWrap w:val="0"/>
                  <w:vAlign w:val="center"/>
                </w:tcPr>
                <w:p w14:paraId="417CDF9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噪声治理措施</w:t>
                  </w:r>
                </w:p>
              </w:tc>
              <w:tc>
                <w:tcPr>
                  <w:tcW w:w="1367" w:type="dxa"/>
                  <w:noWrap w:val="0"/>
                  <w:vAlign w:val="center"/>
                </w:tcPr>
                <w:p w14:paraId="6BE2020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设备减震设施</w:t>
                  </w:r>
                </w:p>
              </w:tc>
              <w:tc>
                <w:tcPr>
                  <w:tcW w:w="4782" w:type="dxa"/>
                  <w:noWrap w:val="0"/>
                  <w:vAlign w:val="center"/>
                </w:tcPr>
                <w:p w14:paraId="44D08C7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rPr>
                    <w:t>项目</w:t>
                  </w:r>
                  <w:r>
                    <w:rPr>
                      <w:rFonts w:hint="default" w:ascii="Times New Roman" w:hAnsi="Times New Roman" w:eastAsia="宋体" w:cs="Times New Roman"/>
                      <w:color w:val="auto"/>
                      <w:kern w:val="0"/>
                      <w:sz w:val="21"/>
                      <w:szCs w:val="21"/>
                      <w:lang w:val="en-US" w:eastAsia="zh-CN"/>
                    </w:rPr>
                    <w:t>产噪</w:t>
                  </w:r>
                  <w:r>
                    <w:rPr>
                      <w:rFonts w:hint="default" w:ascii="Times New Roman" w:hAnsi="Times New Roman" w:eastAsia="宋体" w:cs="Times New Roman"/>
                      <w:color w:val="auto"/>
                      <w:kern w:val="0"/>
                      <w:sz w:val="21"/>
                      <w:szCs w:val="21"/>
                    </w:rPr>
                    <w:t>设备安装减震垫；厂房隔声</w:t>
                  </w:r>
                  <w:r>
                    <w:rPr>
                      <w:rFonts w:hint="default" w:ascii="Times New Roman" w:hAnsi="Times New Roman" w:eastAsia="宋体" w:cs="Times New Roman"/>
                      <w:color w:val="auto"/>
                      <w:kern w:val="0"/>
                      <w:sz w:val="21"/>
                      <w:szCs w:val="21"/>
                      <w:lang w:eastAsia="zh-CN"/>
                    </w:rPr>
                    <w:t>。</w:t>
                  </w:r>
                </w:p>
              </w:tc>
              <w:tc>
                <w:tcPr>
                  <w:tcW w:w="791" w:type="dxa"/>
                  <w:noWrap w:val="0"/>
                  <w:vAlign w:val="center"/>
                </w:tcPr>
                <w:p w14:paraId="6C21F5F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7D9F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13295CF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restart"/>
                  <w:noWrap w:val="0"/>
                  <w:vAlign w:val="center"/>
                </w:tcPr>
                <w:p w14:paraId="0CB3073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固废处理设施</w:t>
                  </w:r>
                </w:p>
              </w:tc>
              <w:tc>
                <w:tcPr>
                  <w:tcW w:w="1367" w:type="dxa"/>
                  <w:noWrap w:val="0"/>
                  <w:vAlign w:val="center"/>
                </w:tcPr>
                <w:p w14:paraId="0081A3F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生活垃圾收集桶</w:t>
                  </w:r>
                </w:p>
              </w:tc>
              <w:tc>
                <w:tcPr>
                  <w:tcW w:w="4782" w:type="dxa"/>
                  <w:noWrap w:val="0"/>
                  <w:vAlign w:val="center"/>
                </w:tcPr>
                <w:p w14:paraId="32C3546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厂区内设置多个生活垃圾收集桶，生活垃圾分类收集，定期交由环卫部门清运处置。</w:t>
                  </w:r>
                </w:p>
              </w:tc>
              <w:tc>
                <w:tcPr>
                  <w:tcW w:w="791" w:type="dxa"/>
                  <w:noWrap w:val="0"/>
                  <w:vAlign w:val="center"/>
                </w:tcPr>
                <w:p w14:paraId="1DDFC9F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55B3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4F09EBF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vMerge w:val="continue"/>
                  <w:noWrap w:val="0"/>
                  <w:vAlign w:val="center"/>
                </w:tcPr>
                <w:p w14:paraId="7DE3855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1367" w:type="dxa"/>
                  <w:noWrap w:val="0"/>
                  <w:vAlign w:val="center"/>
                </w:tcPr>
                <w:p w14:paraId="6195B64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危废贮存库</w:t>
                  </w:r>
                </w:p>
              </w:tc>
              <w:tc>
                <w:tcPr>
                  <w:tcW w:w="4782" w:type="dxa"/>
                  <w:noWrap w:val="0"/>
                  <w:vAlign w:val="center"/>
                </w:tcPr>
                <w:p w14:paraId="4163D65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建设1间</w:t>
                  </w:r>
                  <w:r>
                    <w:rPr>
                      <w:rFonts w:hint="eastAsia" w:ascii="Times New Roman" w:cs="Times New Roman"/>
                      <w:color w:val="auto"/>
                      <w:sz w:val="21"/>
                      <w:szCs w:val="21"/>
                      <w:lang w:val="en-US" w:eastAsia="zh-CN"/>
                    </w:rPr>
                    <w:t>危废贮存库</w:t>
                  </w:r>
                  <w:r>
                    <w:rPr>
                      <w:rFonts w:hint="default" w:ascii="Times New Roman" w:hAnsi="Times New Roman" w:eastAsia="宋体" w:cs="Times New Roman"/>
                      <w:color w:val="auto"/>
                      <w:sz w:val="21"/>
                      <w:szCs w:val="21"/>
                      <w:lang w:val="en-US" w:eastAsia="zh-CN"/>
                    </w:rPr>
                    <w:t>，位于生产厂房东南侧，占地面积为1</w:t>
                  </w:r>
                  <w:r>
                    <w:rPr>
                      <w:rFonts w:hint="eastAsia" w:ascii="Times New Roman"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，用于暂存项目生产过程中产生的</w:t>
                  </w: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废柴油桶、废脱模剂瓶、废活性炭</w:t>
                  </w:r>
                  <w:r>
                    <w:rPr>
                      <w:rFonts w:hint="default" w:ascii="Times New Roman" w:hAnsi="Times New Roman" w:eastAsia="宋体" w:cs="Times New Roman"/>
                      <w:color w:val="auto"/>
                      <w:sz w:val="21"/>
                      <w:szCs w:val="21"/>
                      <w:lang w:val="en-US" w:eastAsia="zh-CN"/>
                    </w:rPr>
                    <w:t>等污染物</w:t>
                  </w:r>
                  <w:r>
                    <w:rPr>
                      <w:rFonts w:hint="default" w:ascii="Times New Roman" w:hAnsi="Times New Roman" w:eastAsia="宋体" w:cs="Times New Roman"/>
                      <w:color w:val="auto"/>
                      <w:sz w:val="21"/>
                      <w:szCs w:val="21"/>
                      <w:lang w:eastAsia="zh-CN"/>
                    </w:rPr>
                    <w:t>。</w:t>
                  </w:r>
                </w:p>
                <w:p w14:paraId="26841EB6">
                  <w:pPr>
                    <w:keepNext w:val="0"/>
                    <w:keepLines w:val="0"/>
                    <w:widowControl/>
                    <w:suppressLineNumbers w:val="0"/>
                    <w:spacing w:before="0" w:beforeAutospacing="0" w:after="0" w:afterAutospacing="0"/>
                    <w:ind w:left="0" w:right="0"/>
                    <w:jc w:val="both"/>
                    <w:rPr>
                      <w:rFonts w:hint="default"/>
                      <w:color w:val="auto"/>
                      <w:lang w:eastAsia="zh-CN"/>
                    </w:rPr>
                  </w:pPr>
                  <w:r>
                    <w:rPr>
                      <w:rFonts w:hint="eastAsia" w:ascii="宋体" w:hAnsi="宋体" w:cs="宋体"/>
                      <w:color w:val="auto"/>
                      <w:kern w:val="0"/>
                      <w:sz w:val="21"/>
                      <w:szCs w:val="21"/>
                      <w:lang w:val="en-US" w:eastAsia="zh-CN" w:bidi="ar"/>
                    </w:rPr>
                    <w:t>危废贮存库</w:t>
                  </w:r>
                  <w:r>
                    <w:rPr>
                      <w:rFonts w:hint="eastAsia" w:ascii="宋体" w:hAnsi="宋体" w:eastAsia="宋体" w:cs="宋体"/>
                      <w:color w:val="auto"/>
                      <w:kern w:val="0"/>
                      <w:sz w:val="21"/>
                      <w:szCs w:val="21"/>
                      <w:lang w:val="en-US" w:eastAsia="zh-CN" w:bidi="ar"/>
                    </w:rPr>
                    <w:t>贮存危险废物，必须按照危险废物特性分类进行。禁止混合收集、贮存、运输、处置性质不相容而未经安全性处置的危险废物。设计满足</w:t>
                  </w:r>
                  <w:r>
                    <w:rPr>
                      <w:rFonts w:hint="default" w:ascii="Times New Roman" w:hAnsi="Times New Roman" w:eastAsia="宋体" w:cs="Times New Roman"/>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防风、防雨、防晒、防渗漏</w:t>
                  </w:r>
                  <w:r>
                    <w:rPr>
                      <w:rFonts w:hint="default" w:ascii="Times New Roman" w:hAnsi="Times New Roman" w:eastAsia="宋体" w:cs="Times New Roman"/>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要求，防渗层渗透系数</w:t>
                  </w:r>
                  <w:r>
                    <w:rPr>
                      <w:rFonts w:hint="default"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1×</w:t>
                  </w:r>
                  <w:r>
                    <w:rPr>
                      <w:rFonts w:hint="default" w:ascii="Times New Roman" w:hAnsi="Times New Roman" w:eastAsia="宋体" w:cs="Times New Roman"/>
                      <w:color w:val="auto"/>
                      <w:kern w:val="0"/>
                      <w:sz w:val="21"/>
                      <w:szCs w:val="21"/>
                      <w:lang w:val="en-US" w:eastAsia="zh-CN" w:bidi="ar"/>
                    </w:rPr>
                    <w:t>10</w:t>
                  </w:r>
                  <w:r>
                    <w:rPr>
                      <w:rFonts w:hint="default" w:ascii="Times New Roman" w:hAnsi="Times New Roman" w:eastAsia="宋体" w:cs="Times New Roman"/>
                      <w:color w:val="auto"/>
                      <w:kern w:val="0"/>
                      <w:sz w:val="21"/>
                      <w:szCs w:val="21"/>
                      <w:vertAlign w:val="superscript"/>
                      <w:lang w:val="en-US" w:eastAsia="zh-CN" w:bidi="ar"/>
                    </w:rPr>
                    <w:t>-10</w:t>
                  </w:r>
                  <w:r>
                    <w:rPr>
                      <w:rFonts w:hint="default" w:ascii="Times New Roman" w:hAnsi="Times New Roman" w:eastAsia="宋体" w:cs="Times New Roman"/>
                      <w:color w:val="auto"/>
                      <w:kern w:val="0"/>
                      <w:sz w:val="21"/>
                      <w:szCs w:val="21"/>
                      <w:lang w:val="en-US" w:eastAsia="zh-CN" w:bidi="ar"/>
                    </w:rPr>
                    <w:t>cm/s</w:t>
                  </w:r>
                  <w:r>
                    <w:rPr>
                      <w:rFonts w:hint="eastAsia" w:ascii="宋体" w:hAnsi="宋体" w:eastAsia="宋体" w:cs="宋体"/>
                      <w:color w:val="auto"/>
                      <w:kern w:val="0"/>
                      <w:sz w:val="21"/>
                      <w:szCs w:val="21"/>
                      <w:lang w:val="en-US" w:eastAsia="zh-CN" w:bidi="ar"/>
                    </w:rPr>
                    <w:t>）。存放危废为液体的危废间需要在危废间内设置不同区域做围堰，围堰高度不低于</w:t>
                  </w:r>
                  <w:r>
                    <w:rPr>
                      <w:rFonts w:hint="default" w:ascii="Times New Roman" w:hAnsi="Times New Roman" w:eastAsia="宋体" w:cs="Times New Roman"/>
                      <w:color w:val="auto"/>
                      <w:kern w:val="0"/>
                      <w:sz w:val="21"/>
                      <w:szCs w:val="21"/>
                      <w:lang w:val="en-US" w:eastAsia="zh-CN" w:bidi="ar"/>
                    </w:rPr>
                    <w:t>0.5m</w:t>
                  </w:r>
                  <w:r>
                    <w:rPr>
                      <w:rFonts w:hint="eastAsia" w:ascii="宋体" w:hAnsi="宋体" w:eastAsia="宋体" w:cs="宋体"/>
                      <w:color w:val="auto"/>
                      <w:kern w:val="0"/>
                      <w:sz w:val="21"/>
                      <w:szCs w:val="21"/>
                      <w:lang w:val="en-US" w:eastAsia="zh-CN" w:bidi="ar"/>
                    </w:rPr>
                    <w:t>，如发生泄漏，</w:t>
                  </w:r>
                  <w:r>
                    <w:rPr>
                      <w:rFonts w:hint="eastAsia" w:ascii="宋体" w:hAnsi="宋体" w:cs="宋体"/>
                      <w:color w:val="auto"/>
                      <w:kern w:val="0"/>
                      <w:sz w:val="21"/>
                      <w:szCs w:val="21"/>
                      <w:lang w:val="en-US" w:eastAsia="zh-CN" w:bidi="ar"/>
                    </w:rPr>
                    <w:t>油品</w:t>
                  </w:r>
                  <w:r>
                    <w:rPr>
                      <w:rFonts w:hint="eastAsia" w:ascii="宋体" w:hAnsi="宋体" w:eastAsia="宋体" w:cs="宋体"/>
                      <w:color w:val="auto"/>
                      <w:kern w:val="0"/>
                      <w:sz w:val="21"/>
                      <w:szCs w:val="21"/>
                      <w:lang w:val="en-US" w:eastAsia="zh-CN" w:bidi="ar"/>
                    </w:rPr>
                    <w:t>泄漏出来的液体受到围堰的阻隔在围堰内暂存。</w:t>
                  </w:r>
                </w:p>
              </w:tc>
              <w:tc>
                <w:tcPr>
                  <w:tcW w:w="791" w:type="dxa"/>
                  <w:noWrap w:val="0"/>
                  <w:vAlign w:val="center"/>
                </w:tcPr>
                <w:p w14:paraId="77CF17F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r w14:paraId="4F06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72" w:type="dxa"/>
                  <w:vMerge w:val="continue"/>
                  <w:noWrap w:val="0"/>
                  <w:vAlign w:val="center"/>
                </w:tcPr>
                <w:p w14:paraId="05855EB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06" w:type="dxa"/>
                  <w:noWrap w:val="0"/>
                  <w:vAlign w:val="center"/>
                </w:tcPr>
                <w:p w14:paraId="34D7C9C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土壤、地下水治理措施</w:t>
                  </w:r>
                </w:p>
              </w:tc>
              <w:tc>
                <w:tcPr>
                  <w:tcW w:w="1367" w:type="dxa"/>
                  <w:noWrap w:val="0"/>
                  <w:vAlign w:val="center"/>
                </w:tcPr>
                <w:p w14:paraId="3982ABC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分区防渗</w:t>
                  </w:r>
                </w:p>
              </w:tc>
              <w:tc>
                <w:tcPr>
                  <w:tcW w:w="4782" w:type="dxa"/>
                  <w:noWrap w:val="0"/>
                  <w:vAlign w:val="center"/>
                </w:tcPr>
                <w:p w14:paraId="696F0EE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（1）重点防渗区：危废间划为重点防渗区。</w:t>
                  </w:r>
                  <w:r>
                    <w:rPr>
                      <w:rFonts w:hint="default" w:ascii="Times New Roman" w:hAnsi="Times New Roman" w:eastAsia="宋体" w:cs="Times New Roman"/>
                      <w:color w:val="auto"/>
                      <w:kern w:val="0"/>
                      <w:sz w:val="21"/>
                      <w:szCs w:val="21"/>
                      <w:lang w:val="en-US" w:eastAsia="zh-CN" w:bidi="ar"/>
                    </w:rPr>
                    <w:t>在现有</w:t>
                  </w:r>
                  <w:r>
                    <w:rPr>
                      <w:rFonts w:hint="eastAsia" w:ascii="Times New Roman" w:hAnsi="Times New Roman" w:eastAsia="宋体" w:cs="Times New Roman"/>
                      <w:color w:val="auto"/>
                      <w:kern w:val="0"/>
                      <w:sz w:val="21"/>
                      <w:szCs w:val="21"/>
                      <w:lang w:val="en-US" w:eastAsia="zh-CN" w:bidi="ar"/>
                    </w:rPr>
                    <w:t>混凝土浇筑</w:t>
                  </w:r>
                  <w:r>
                    <w:rPr>
                      <w:rFonts w:hint="default" w:ascii="Times New Roman" w:hAnsi="Times New Roman" w:eastAsia="宋体" w:cs="Times New Roman"/>
                      <w:color w:val="auto"/>
                      <w:kern w:val="0"/>
                      <w:sz w:val="21"/>
                      <w:szCs w:val="21"/>
                      <w:lang w:val="en-US" w:eastAsia="zh-CN" w:bidi="ar"/>
                    </w:rPr>
                    <w:t>、水泥硬化的基础上增加</w:t>
                  </w:r>
                  <w:r>
                    <w:rPr>
                      <w:rFonts w:hint="default" w:ascii="Times New Roman" w:hAnsi="Times New Roman" w:eastAsia="宋体" w:cs="Times New Roman"/>
                      <w:b w:val="0"/>
                      <w:bCs w:val="0"/>
                      <w:color w:val="auto"/>
                      <w:sz w:val="21"/>
                      <w:szCs w:val="21"/>
                      <w:lang w:val="en-US" w:eastAsia="zh-CN"/>
                    </w:rPr>
                    <w:t>2.0mmHDPE</w:t>
                  </w:r>
                  <w:r>
                    <w:rPr>
                      <w:rFonts w:hint="eastAsia" w:ascii="Times New Roman" w:hAnsi="Times New Roman" w:eastAsia="宋体" w:cs="Times New Roman"/>
                      <w:b w:val="0"/>
                      <w:bCs w:val="0"/>
                      <w:color w:val="auto"/>
                      <w:sz w:val="21"/>
                      <w:szCs w:val="21"/>
                      <w:lang w:val="en-US" w:eastAsia="zh-CN"/>
                    </w:rPr>
                    <w:t>防渗</w:t>
                  </w:r>
                  <w:r>
                    <w:rPr>
                      <w:rFonts w:hint="default" w:ascii="Times New Roman" w:hAnsi="Times New Roman" w:eastAsia="宋体" w:cs="Times New Roman"/>
                      <w:b w:val="0"/>
                      <w:bCs w:val="0"/>
                      <w:color w:val="auto"/>
                      <w:sz w:val="21"/>
                      <w:szCs w:val="21"/>
                      <w:lang w:val="en-US" w:eastAsia="zh-CN"/>
                    </w:rPr>
                    <w:t>膜+环氧树脂</w:t>
                  </w:r>
                  <w:r>
                    <w:rPr>
                      <w:rFonts w:hint="eastAsia" w:ascii="Times New Roman" w:hAnsi="Times New Roman" w:eastAsia="宋体" w:cs="Times New Roman"/>
                      <w:b w:val="0"/>
                      <w:bCs w:val="0"/>
                      <w:color w:val="auto"/>
                      <w:sz w:val="21"/>
                      <w:szCs w:val="21"/>
                      <w:lang w:val="en-US" w:eastAsia="zh-CN"/>
                    </w:rPr>
                    <w:t>防渗面层</w:t>
                  </w:r>
                  <w:r>
                    <w:rPr>
                      <w:rFonts w:hint="default" w:ascii="Times New Roman" w:hAnsi="Times New Roman" w:eastAsia="宋体" w:cs="Times New Roman"/>
                      <w:color w:val="auto"/>
                      <w:kern w:val="0"/>
                      <w:sz w:val="21"/>
                      <w:szCs w:val="21"/>
                      <w:lang w:val="en-US" w:eastAsia="zh-CN" w:bidi="ar"/>
                    </w:rPr>
                    <w:t>，使其达到渗透系数≤1×10</w:t>
                  </w:r>
                  <w:r>
                    <w:rPr>
                      <w:rFonts w:hint="default" w:ascii="Times New Roman" w:hAnsi="Times New Roman" w:eastAsia="宋体" w:cs="Times New Roman"/>
                      <w:color w:val="auto"/>
                      <w:kern w:val="0"/>
                      <w:sz w:val="21"/>
                      <w:szCs w:val="21"/>
                      <w:vertAlign w:val="superscript"/>
                      <w:lang w:val="en-US" w:eastAsia="zh-CN" w:bidi="ar"/>
                    </w:rPr>
                    <w:t xml:space="preserve"> -10</w:t>
                  </w:r>
                  <w:r>
                    <w:rPr>
                      <w:rFonts w:hint="default" w:ascii="Times New Roman" w:hAnsi="Times New Roman" w:eastAsia="宋体" w:cs="Times New Roman"/>
                      <w:color w:val="auto"/>
                      <w:kern w:val="0"/>
                      <w:sz w:val="21"/>
                      <w:szCs w:val="21"/>
                      <w:lang w:val="en-US" w:eastAsia="zh-CN" w:bidi="ar"/>
                    </w:rPr>
                    <w:t>cm/s的防渗</w:t>
                  </w:r>
                  <w:r>
                    <w:rPr>
                      <w:rFonts w:hint="eastAsia" w:ascii="Times New Roman" w:cs="Times New Roman"/>
                      <w:color w:val="auto"/>
                      <w:kern w:val="0"/>
                      <w:sz w:val="21"/>
                      <w:szCs w:val="21"/>
                      <w:lang w:val="en-US" w:eastAsia="zh-CN" w:bidi="ar"/>
                    </w:rPr>
                    <w:t>要求</w:t>
                  </w:r>
                  <w:r>
                    <w:rPr>
                      <w:rFonts w:hint="default" w:ascii="Times New Roman" w:hAnsi="Times New Roman" w:eastAsia="宋体" w:cs="Times New Roman"/>
                      <w:b w:val="0"/>
                      <w:bCs w:val="0"/>
                      <w:color w:val="auto"/>
                      <w:sz w:val="21"/>
                      <w:szCs w:val="21"/>
                      <w:lang w:val="en-US" w:eastAsia="zh-CN"/>
                    </w:rPr>
                    <w:t>。</w:t>
                  </w:r>
                </w:p>
                <w:p w14:paraId="5C58B8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（2）一般防渗区：循环水池划为一般防渗区。</w:t>
                  </w:r>
                  <w:r>
                    <w:rPr>
                      <w:rFonts w:hint="default" w:ascii="Times New Roman" w:hAnsi="Times New Roman" w:eastAsia="宋体" w:cs="Times New Roman"/>
                      <w:color w:val="auto"/>
                      <w:kern w:val="0"/>
                      <w:sz w:val="21"/>
                      <w:szCs w:val="21"/>
                      <w:lang w:val="en-US" w:eastAsia="zh-CN" w:bidi="ar"/>
                    </w:rPr>
                    <w:t>在现有</w:t>
                  </w:r>
                  <w:r>
                    <w:rPr>
                      <w:rFonts w:hint="eastAsia" w:ascii="Times New Roman" w:hAnsi="Times New Roman" w:eastAsia="宋体" w:cs="Times New Roman"/>
                      <w:color w:val="auto"/>
                      <w:kern w:val="0"/>
                      <w:sz w:val="21"/>
                      <w:szCs w:val="21"/>
                      <w:lang w:val="en-US" w:eastAsia="zh-CN" w:bidi="ar"/>
                    </w:rPr>
                    <w:t>混凝土浇筑</w:t>
                  </w:r>
                  <w:r>
                    <w:rPr>
                      <w:rFonts w:hint="default" w:ascii="Times New Roman" w:hAnsi="Times New Roman" w:eastAsia="宋体" w:cs="Times New Roman"/>
                      <w:color w:val="auto"/>
                      <w:kern w:val="0"/>
                      <w:sz w:val="21"/>
                      <w:szCs w:val="21"/>
                      <w:lang w:val="en-US" w:eastAsia="zh-CN" w:bidi="ar"/>
                    </w:rPr>
                    <w:t>、水泥硬化的基础上增加</w:t>
                  </w:r>
                  <w:r>
                    <w:rPr>
                      <w:rFonts w:hint="default" w:ascii="Times New Roman" w:hAnsi="Times New Roman" w:eastAsia="宋体" w:cs="Times New Roman"/>
                      <w:b w:val="0"/>
                      <w:bCs w:val="0"/>
                      <w:color w:val="auto"/>
                      <w:sz w:val="21"/>
                      <w:szCs w:val="21"/>
                      <w:lang w:val="en-US" w:eastAsia="zh-CN"/>
                    </w:rPr>
                    <w:t>2.0mmHDPE</w:t>
                  </w:r>
                  <w:r>
                    <w:rPr>
                      <w:rFonts w:hint="eastAsia" w:ascii="Times New Roman" w:hAnsi="Times New Roman" w:eastAsia="宋体" w:cs="Times New Roman"/>
                      <w:b w:val="0"/>
                      <w:bCs w:val="0"/>
                      <w:color w:val="auto"/>
                      <w:sz w:val="21"/>
                      <w:szCs w:val="21"/>
                      <w:lang w:val="en-US" w:eastAsia="zh-CN"/>
                    </w:rPr>
                    <w:t>防渗</w:t>
                  </w:r>
                  <w:r>
                    <w:rPr>
                      <w:rFonts w:hint="default" w:ascii="Times New Roman" w:hAnsi="Times New Roman" w:eastAsia="宋体" w:cs="Times New Roman"/>
                      <w:b w:val="0"/>
                      <w:bCs w:val="0"/>
                      <w:color w:val="auto"/>
                      <w:sz w:val="21"/>
                      <w:szCs w:val="21"/>
                      <w:lang w:val="en-US" w:eastAsia="zh-CN"/>
                    </w:rPr>
                    <w:t>膜</w:t>
                  </w:r>
                  <w:r>
                    <w:rPr>
                      <w:rFonts w:hint="eastAsia" w:ascii="Times New Roman" w:hAnsi="Times New Roman" w:eastAsia="宋体" w:cs="Times New Roman"/>
                      <w:b w:val="0"/>
                      <w:bCs w:val="0"/>
                      <w:color w:val="auto"/>
                      <w:sz w:val="21"/>
                      <w:szCs w:val="21"/>
                      <w:lang w:val="en-US" w:eastAsia="zh-CN"/>
                    </w:rPr>
                    <w:t>，使其达到渗透系数</w:t>
                  </w:r>
                  <w:r>
                    <w:rPr>
                      <w:rFonts w:hint="default" w:ascii="Times New Roman" w:hAnsi="Times New Roman" w:eastAsia="宋体" w:cs="Times New Roman"/>
                      <w:b w:val="0"/>
                      <w:bCs w:val="0"/>
                      <w:color w:val="auto"/>
                      <w:sz w:val="21"/>
                      <w:szCs w:val="21"/>
                      <w:lang w:val="en-US" w:eastAsia="zh-CN"/>
                    </w:rPr>
                    <w:t>≤1.0×10</w:t>
                  </w:r>
                  <w:r>
                    <w:rPr>
                      <w:rFonts w:hint="default" w:ascii="Times New Roman" w:hAnsi="Times New Roman" w:eastAsia="宋体" w:cs="Times New Roman"/>
                      <w:b w:val="0"/>
                      <w:bCs w:val="0"/>
                      <w:color w:val="auto"/>
                      <w:sz w:val="21"/>
                      <w:szCs w:val="21"/>
                      <w:vertAlign w:val="superscript"/>
                      <w:lang w:val="en-US" w:eastAsia="zh-CN"/>
                    </w:rPr>
                    <w:t>-7</w:t>
                  </w:r>
                  <w:r>
                    <w:rPr>
                      <w:rFonts w:hint="default" w:ascii="Times New Roman" w:hAnsi="Times New Roman" w:eastAsia="宋体" w:cs="Times New Roman"/>
                      <w:b w:val="0"/>
                      <w:bCs w:val="0"/>
                      <w:color w:val="auto"/>
                      <w:sz w:val="21"/>
                      <w:szCs w:val="21"/>
                      <w:lang w:val="en-US" w:eastAsia="zh-CN"/>
                    </w:rPr>
                    <w:t>cm/s</w:t>
                  </w:r>
                  <w:r>
                    <w:rPr>
                      <w:rFonts w:hint="default" w:ascii="Times New Roman" w:hAnsi="Times New Roman" w:eastAsia="宋体" w:cs="Times New Roman"/>
                      <w:color w:val="auto"/>
                      <w:kern w:val="0"/>
                      <w:sz w:val="21"/>
                      <w:szCs w:val="21"/>
                      <w:lang w:val="en-US" w:eastAsia="zh-CN" w:bidi="ar"/>
                    </w:rPr>
                    <w:t>的防渗</w:t>
                  </w:r>
                  <w:r>
                    <w:rPr>
                      <w:rFonts w:hint="eastAsia" w:ascii="Times New Roman" w:cs="Times New Roman"/>
                      <w:color w:val="auto"/>
                      <w:kern w:val="0"/>
                      <w:sz w:val="21"/>
                      <w:szCs w:val="21"/>
                      <w:lang w:val="en-US" w:eastAsia="zh-CN" w:bidi="ar"/>
                    </w:rPr>
                    <w:t>要求</w:t>
                  </w:r>
                  <w:r>
                    <w:rPr>
                      <w:rFonts w:hint="default" w:ascii="Times New Roman" w:hAnsi="Times New Roman" w:eastAsia="宋体" w:cs="Times New Roman"/>
                      <w:b w:val="0"/>
                      <w:bCs w:val="0"/>
                      <w:color w:val="auto"/>
                      <w:sz w:val="21"/>
                      <w:szCs w:val="21"/>
                      <w:lang w:eastAsia="zh-CN"/>
                    </w:rPr>
                    <w:t>。</w:t>
                  </w:r>
                </w:p>
                <w:p w14:paraId="7DBDC5C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left"/>
                    <w:textAlignment w:val="auto"/>
                    <w:rPr>
                      <w:rFonts w:hint="default"/>
                      <w:color w:val="auto"/>
                    </w:rPr>
                  </w:pPr>
                  <w:r>
                    <w:rPr>
                      <w:rFonts w:hint="default" w:ascii="Times New Roman" w:hAnsi="Times New Roman" w:eastAsia="宋体" w:cs="Times New Roman"/>
                      <w:b w:val="0"/>
                      <w:bCs w:val="0"/>
                      <w:color w:val="auto"/>
                      <w:sz w:val="21"/>
                      <w:szCs w:val="21"/>
                      <w:lang w:val="en-US" w:eastAsia="zh-CN"/>
                    </w:rPr>
                    <w:t>（3）简单防渗区：生产厂房划为简单防渗区，</w:t>
                  </w:r>
                  <w:r>
                    <w:rPr>
                      <w:rFonts w:hint="eastAsia" w:ascii="Times New Roman" w:cs="Times New Roman"/>
                      <w:color w:val="auto"/>
                      <w:sz w:val="21"/>
                      <w:szCs w:val="21"/>
                      <w:highlight w:val="none"/>
                      <w:lang w:val="en-US" w:eastAsia="zh-CN"/>
                    </w:rPr>
                    <w:t>根据现场踏勘结果，厂区现状已进行混</w:t>
                  </w:r>
                  <w:r>
                    <w:rPr>
                      <w:rFonts w:hint="default" w:ascii="Times New Roman" w:hAnsi="Times New Roman" w:eastAsia="宋体" w:cs="Times New Roman"/>
                      <w:color w:val="auto"/>
                      <w:sz w:val="21"/>
                      <w:szCs w:val="21"/>
                      <w:highlight w:val="none"/>
                      <w:lang w:val="en-US" w:eastAsia="zh-CN"/>
                    </w:rPr>
                    <w:t>凝土硬化，无明显破损、裂缝，可满足简单防渗要求</w:t>
                  </w:r>
                  <w:r>
                    <w:rPr>
                      <w:rFonts w:hint="default" w:ascii="Times New Roman" w:hAnsi="Times New Roman" w:eastAsia="宋体" w:cs="Times New Roman"/>
                      <w:b w:val="0"/>
                      <w:bCs w:val="0"/>
                      <w:color w:val="auto"/>
                      <w:sz w:val="21"/>
                      <w:szCs w:val="21"/>
                      <w:lang w:val="en-US" w:eastAsia="zh-CN"/>
                    </w:rPr>
                    <w:t>。</w:t>
                  </w:r>
                </w:p>
              </w:tc>
              <w:tc>
                <w:tcPr>
                  <w:tcW w:w="791" w:type="dxa"/>
                  <w:noWrap w:val="0"/>
                  <w:vAlign w:val="center"/>
                </w:tcPr>
                <w:p w14:paraId="4FFAFE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新建</w:t>
                  </w:r>
                </w:p>
              </w:tc>
            </w:tr>
          </w:tbl>
          <w:p w14:paraId="6FCBC2C7">
            <w:pPr>
              <w:pStyle w:val="60"/>
              <w:keepNext w:val="0"/>
              <w:keepLines w:val="0"/>
              <w:suppressLineNumbers w:val="0"/>
              <w:spacing w:before="120" w:beforeLines="50" w:beforeAutospacing="0" w:after="0" w:afterAutospacing="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7、项目产品方案及规模</w:t>
            </w:r>
          </w:p>
          <w:p w14:paraId="3FDC464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根据业主提供的资料，项目建成后年产</w:t>
            </w:r>
            <w:r>
              <w:rPr>
                <w:rFonts w:hint="default" w:ascii="Times New Roman" w:hAnsi="Times New Roman" w:eastAsia="宋体" w:cs="Times New Roman"/>
                <w:color w:val="auto"/>
                <w:sz w:val="24"/>
                <w:lang w:val="en-US" w:eastAsia="zh-CN"/>
              </w:rPr>
              <w:t>塑料框460</w:t>
            </w:r>
            <w:r>
              <w:rPr>
                <w:rFonts w:hint="default" w:ascii="Times New Roman" w:hAnsi="Times New Roman" w:eastAsia="宋体" w:cs="Times New Roman"/>
                <w:color w:val="auto"/>
                <w:sz w:val="24"/>
              </w:rPr>
              <w:t>万个</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其中蓝莓</w:t>
            </w:r>
            <w:r>
              <w:rPr>
                <w:rFonts w:hint="default" w:ascii="Times New Roman" w:hAnsi="Times New Roman" w:eastAsia="宋体" w:cs="Times New Roman"/>
                <w:color w:val="auto"/>
                <w:sz w:val="24"/>
                <w:lang w:eastAsia="zh-CN"/>
              </w:rPr>
              <w:t>塑料框</w:t>
            </w:r>
            <w:r>
              <w:rPr>
                <w:rFonts w:hint="default" w:ascii="Times New Roman" w:hAnsi="Times New Roman" w:eastAsia="宋体" w:cs="Times New Roman"/>
                <w:color w:val="auto"/>
                <w:sz w:val="24"/>
                <w:lang w:val="en-US" w:eastAsia="zh-CN"/>
              </w:rPr>
              <w:t>3</w:t>
            </w:r>
            <w:r>
              <w:rPr>
                <w:rFonts w:hint="eastAsia" w:cs="Times New Roman"/>
                <w:color w:val="auto"/>
                <w:sz w:val="24"/>
                <w:lang w:val="en-US" w:eastAsia="zh-CN"/>
              </w:rPr>
              <w:t>6</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lang w:eastAsia="zh-CN"/>
              </w:rPr>
              <w:t>万个，</w:t>
            </w:r>
            <w:r>
              <w:rPr>
                <w:rFonts w:hint="default" w:ascii="Times New Roman" w:hAnsi="Times New Roman" w:eastAsia="宋体" w:cs="Times New Roman"/>
                <w:color w:val="auto"/>
                <w:sz w:val="24"/>
                <w:lang w:val="en-US" w:eastAsia="zh-CN"/>
              </w:rPr>
              <w:t>番茄</w:t>
            </w:r>
            <w:r>
              <w:rPr>
                <w:rFonts w:hint="default" w:ascii="Times New Roman" w:hAnsi="Times New Roman" w:eastAsia="宋体" w:cs="Times New Roman"/>
                <w:color w:val="auto"/>
                <w:sz w:val="24"/>
                <w:lang w:eastAsia="zh-CN"/>
              </w:rPr>
              <w:t>塑料框</w:t>
            </w:r>
            <w:r>
              <w:rPr>
                <w:rFonts w:hint="default" w:ascii="Times New Roman" w:hAnsi="Times New Roman" w:eastAsia="宋体" w:cs="Times New Roman"/>
                <w:color w:val="auto"/>
                <w:sz w:val="24"/>
                <w:lang w:val="en-US" w:eastAsia="zh-CN"/>
              </w:rPr>
              <w:t>1</w:t>
            </w:r>
            <w:r>
              <w:rPr>
                <w:rFonts w:hint="eastAsia" w:cs="Times New Roman"/>
                <w:color w:val="auto"/>
                <w:sz w:val="24"/>
                <w:lang w:val="en-US" w:eastAsia="zh-CN"/>
              </w:rPr>
              <w:t>0</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lang w:eastAsia="zh-CN"/>
              </w:rPr>
              <w:t>万个，</w:t>
            </w:r>
            <w:r>
              <w:rPr>
                <w:rFonts w:hint="default" w:ascii="Times New Roman" w:hAnsi="Times New Roman" w:eastAsia="宋体" w:cs="Times New Roman"/>
                <w:color w:val="auto"/>
                <w:sz w:val="24"/>
              </w:rPr>
              <w:t>项目具体产品方案见表2-2。</w:t>
            </w:r>
          </w:p>
          <w:p w14:paraId="73E09C59">
            <w:pPr>
              <w:keepNext w:val="0"/>
              <w:keepLines w:val="0"/>
              <w:suppressLineNumbers w:val="0"/>
              <w:spacing w:before="0" w:beforeAutospacing="0" w:after="0" w:afterAutospacing="0" w:line="360" w:lineRule="auto"/>
              <w:ind w:left="0" w:right="0" w:firstLine="482"/>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rPr>
              <w:t>表2-2  项目产品方案</w:t>
            </w:r>
            <w:r>
              <w:rPr>
                <w:rFonts w:hint="default" w:ascii="Times New Roman" w:hAnsi="Times New Roman" w:eastAsia="宋体" w:cs="Times New Roman"/>
                <w:b/>
                <w:color w:val="auto"/>
                <w:sz w:val="21"/>
                <w:szCs w:val="21"/>
                <w:lang w:val="en-US" w:eastAsia="zh-CN"/>
              </w:rPr>
              <w:t>一览表</w:t>
            </w:r>
          </w:p>
          <w:tbl>
            <w:tblPr>
              <w:tblStyle w:val="36"/>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561"/>
              <w:gridCol w:w="1580"/>
              <w:gridCol w:w="1408"/>
              <w:gridCol w:w="3197"/>
            </w:tblGrid>
            <w:tr w14:paraId="1331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98" w:type="pct"/>
                  <w:noWrap w:val="0"/>
                  <w:vAlign w:val="center"/>
                </w:tcPr>
                <w:p w14:paraId="4F26A5F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default" w:ascii="Times New Roman" w:hAnsi="Times New Roman" w:eastAsia="宋体" w:cs="Times New Roman"/>
                      <w:b/>
                      <w:color w:val="auto"/>
                      <w:szCs w:val="21"/>
                      <w:lang w:val="en-US" w:eastAsia="zh-CN"/>
                    </w:rPr>
                    <w:t>序号</w:t>
                  </w:r>
                </w:p>
              </w:tc>
              <w:tc>
                <w:tcPr>
                  <w:tcW w:w="907" w:type="pct"/>
                  <w:noWrap w:val="0"/>
                  <w:vAlign w:val="center"/>
                </w:tcPr>
                <w:p w14:paraId="5A6BCFF8">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color w:val="auto"/>
                      <w:sz w:val="21"/>
                      <w:szCs w:val="21"/>
                    </w:rPr>
                    <w:t>产品名称</w:t>
                  </w:r>
                </w:p>
              </w:tc>
              <w:tc>
                <w:tcPr>
                  <w:tcW w:w="918" w:type="pct"/>
                  <w:noWrap w:val="0"/>
                  <w:vAlign w:val="center"/>
                </w:tcPr>
                <w:p w14:paraId="3F0AAC6F">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color w:val="auto"/>
                      <w:sz w:val="21"/>
                      <w:szCs w:val="21"/>
                    </w:rPr>
                    <w:t>规格</w:t>
                  </w:r>
                </w:p>
              </w:tc>
              <w:tc>
                <w:tcPr>
                  <w:tcW w:w="818" w:type="pct"/>
                  <w:noWrap w:val="0"/>
                  <w:vAlign w:val="center"/>
                </w:tcPr>
                <w:p w14:paraId="7F4BFCB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年产量（</w:t>
                  </w:r>
                  <w:r>
                    <w:rPr>
                      <w:rFonts w:hint="default" w:ascii="Times New Roman" w:hAnsi="Times New Roman" w:eastAsia="宋体" w:cs="Times New Roman"/>
                      <w:b/>
                      <w:color w:val="auto"/>
                      <w:szCs w:val="21"/>
                      <w:lang w:val="en-US" w:eastAsia="zh-CN"/>
                    </w:rPr>
                    <w:t>万个</w:t>
                  </w:r>
                  <w:r>
                    <w:rPr>
                      <w:rFonts w:hint="default" w:ascii="Times New Roman" w:hAnsi="Times New Roman" w:eastAsia="宋体" w:cs="Times New Roman"/>
                      <w:b/>
                      <w:color w:val="auto"/>
                      <w:szCs w:val="21"/>
                    </w:rPr>
                    <w:t>/a）</w:t>
                  </w:r>
                </w:p>
              </w:tc>
              <w:tc>
                <w:tcPr>
                  <w:tcW w:w="1858" w:type="pct"/>
                  <w:noWrap w:val="0"/>
                  <w:vAlign w:val="center"/>
                </w:tcPr>
                <w:p w14:paraId="2679D78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default" w:ascii="Times New Roman" w:hAnsi="Times New Roman" w:eastAsia="宋体" w:cs="Times New Roman"/>
                      <w:b/>
                      <w:color w:val="auto"/>
                      <w:szCs w:val="21"/>
                      <w:lang w:val="en-US" w:eastAsia="zh-CN"/>
                    </w:rPr>
                    <w:t>备注</w:t>
                  </w:r>
                </w:p>
              </w:tc>
            </w:tr>
            <w:tr w14:paraId="1BB2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98" w:type="pct"/>
                  <w:noWrap w:val="0"/>
                  <w:vAlign w:val="center"/>
                </w:tcPr>
                <w:p w14:paraId="185067F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w:t>
                  </w:r>
                </w:p>
              </w:tc>
              <w:tc>
                <w:tcPr>
                  <w:tcW w:w="907" w:type="pct"/>
                  <w:noWrap w:val="0"/>
                  <w:vAlign w:val="center"/>
                </w:tcPr>
                <w:p w14:paraId="4BC4E3B1">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蓝莓筐</w:t>
                  </w:r>
                </w:p>
              </w:tc>
              <w:tc>
                <w:tcPr>
                  <w:tcW w:w="918" w:type="pct"/>
                  <w:noWrap w:val="0"/>
                  <w:vAlign w:val="center"/>
                </w:tcPr>
                <w:p w14:paraId="739E54B9">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rPr>
                    <w:t>1.2公斤装</w:t>
                  </w:r>
                </w:p>
              </w:tc>
              <w:tc>
                <w:tcPr>
                  <w:tcW w:w="818" w:type="pct"/>
                  <w:noWrap w:val="0"/>
                  <w:vAlign w:val="center"/>
                </w:tcPr>
                <w:p w14:paraId="7314A6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0</w:t>
                  </w:r>
                </w:p>
              </w:tc>
              <w:tc>
                <w:tcPr>
                  <w:tcW w:w="1858" w:type="pct"/>
                  <w:noWrap w:val="0"/>
                  <w:vAlign w:val="center"/>
                </w:tcPr>
                <w:p w14:paraId="0C3086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w:t>
                  </w:r>
                  <w:r>
                    <w:rPr>
                      <w:rFonts w:hint="default" w:ascii="Times New Roman" w:hAnsi="Times New Roman" w:eastAsia="宋体" w:cs="Times New Roman"/>
                      <w:color w:val="auto"/>
                      <w:sz w:val="21"/>
                      <w:szCs w:val="21"/>
                      <w:highlight w:val="none"/>
                      <w:lang w:val="en-US" w:eastAsia="zh-CN"/>
                    </w:rPr>
                    <w:t>个</w:t>
                  </w:r>
                  <w:r>
                    <w:rPr>
                      <w:rFonts w:hint="default" w:ascii="Times New Roman" w:hAnsi="Times New Roman" w:eastAsia="宋体" w:cs="Times New Roman"/>
                      <w:color w:val="auto"/>
                      <w:sz w:val="21"/>
                      <w:szCs w:val="21"/>
                      <w:highlight w:val="none"/>
                    </w:rPr>
                    <w:t>约重</w:t>
                  </w:r>
                  <w:r>
                    <w:rPr>
                      <w:rFonts w:hint="default" w:ascii="Times New Roman" w:hAnsi="Times New Roman" w:eastAsia="宋体" w:cs="Times New Roman"/>
                      <w:color w:val="auto"/>
                      <w:sz w:val="21"/>
                      <w:szCs w:val="21"/>
                      <w:highlight w:val="none"/>
                      <w:lang w:val="en-US" w:eastAsia="zh-CN"/>
                    </w:rPr>
                    <w:t>85</w:t>
                  </w:r>
                  <w:r>
                    <w:rPr>
                      <w:rFonts w:hint="default" w:ascii="Times New Roman" w:hAnsi="Times New Roman" w:eastAsia="宋体" w:cs="Times New Roman"/>
                      <w:color w:val="auto"/>
                      <w:sz w:val="21"/>
                      <w:szCs w:val="21"/>
                      <w:highlight w:val="none"/>
                    </w:rPr>
                    <w:t>g，年产</w:t>
                  </w:r>
                  <w:r>
                    <w:rPr>
                      <w:rFonts w:hint="eastAsia" w:cs="Times New Roman"/>
                      <w:color w:val="auto"/>
                      <w:sz w:val="21"/>
                      <w:szCs w:val="21"/>
                      <w:highlight w:val="none"/>
                      <w:lang w:val="en-US" w:eastAsia="zh-CN"/>
                    </w:rPr>
                    <w:t>306</w:t>
                  </w:r>
                  <w:r>
                    <w:rPr>
                      <w:rFonts w:hint="default" w:ascii="Times New Roman" w:hAnsi="Times New Roman" w:eastAsia="宋体" w:cs="Times New Roman"/>
                      <w:color w:val="auto"/>
                      <w:sz w:val="21"/>
                      <w:szCs w:val="21"/>
                      <w:highlight w:val="none"/>
                    </w:rPr>
                    <w:t>t</w:t>
                  </w:r>
                </w:p>
              </w:tc>
            </w:tr>
            <w:tr w14:paraId="0A19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98" w:type="pct"/>
                  <w:noWrap w:val="0"/>
                  <w:vAlign w:val="center"/>
                </w:tcPr>
                <w:p w14:paraId="7E138FC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2</w:t>
                  </w:r>
                </w:p>
              </w:tc>
              <w:tc>
                <w:tcPr>
                  <w:tcW w:w="907" w:type="pct"/>
                  <w:noWrap w:val="0"/>
                  <w:vAlign w:val="center"/>
                </w:tcPr>
                <w:p w14:paraId="6019C0DF">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番茄</w:t>
                  </w:r>
                  <w:r>
                    <w:rPr>
                      <w:rFonts w:hint="eastAsia" w:cs="Times New Roman"/>
                      <w:color w:val="auto"/>
                      <w:sz w:val="21"/>
                      <w:szCs w:val="21"/>
                      <w:lang w:val="en-US" w:eastAsia="zh-CN"/>
                    </w:rPr>
                    <w:t>筐</w:t>
                  </w:r>
                </w:p>
              </w:tc>
              <w:tc>
                <w:tcPr>
                  <w:tcW w:w="918" w:type="pct"/>
                  <w:noWrap w:val="0"/>
                  <w:vAlign w:val="center"/>
                </w:tcPr>
                <w:p w14:paraId="00CB9899">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rPr>
                    <w:t>20公斤装</w:t>
                  </w:r>
                </w:p>
              </w:tc>
              <w:tc>
                <w:tcPr>
                  <w:tcW w:w="818" w:type="pct"/>
                  <w:noWrap w:val="0"/>
                  <w:vAlign w:val="center"/>
                </w:tcPr>
                <w:p w14:paraId="0020F2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Cs w:val="21"/>
                      <w:lang w:val="en-US" w:eastAsia="zh-CN"/>
                    </w:rPr>
                    <w:t>1</w:t>
                  </w:r>
                  <w:r>
                    <w:rPr>
                      <w:rFonts w:hint="eastAsia" w:cs="Times New Roman"/>
                      <w:bCs/>
                      <w:color w:val="auto"/>
                      <w:szCs w:val="21"/>
                      <w:lang w:val="en-US" w:eastAsia="zh-CN"/>
                    </w:rPr>
                    <w:t>0</w:t>
                  </w:r>
                  <w:r>
                    <w:rPr>
                      <w:rFonts w:hint="default" w:ascii="Times New Roman" w:hAnsi="Times New Roman" w:eastAsia="宋体" w:cs="Times New Roman"/>
                      <w:bCs/>
                      <w:color w:val="auto"/>
                      <w:szCs w:val="21"/>
                      <w:lang w:val="en-US" w:eastAsia="zh-CN"/>
                    </w:rPr>
                    <w:t>0</w:t>
                  </w:r>
                </w:p>
              </w:tc>
              <w:tc>
                <w:tcPr>
                  <w:tcW w:w="1858" w:type="pct"/>
                  <w:noWrap w:val="0"/>
                  <w:vAlign w:val="center"/>
                </w:tcPr>
                <w:p w14:paraId="0507321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 w:val="21"/>
                      <w:szCs w:val="21"/>
                      <w:highlight w:val="none"/>
                    </w:rPr>
                    <w:t>单</w:t>
                  </w:r>
                  <w:r>
                    <w:rPr>
                      <w:rFonts w:hint="default" w:ascii="Times New Roman" w:hAnsi="Times New Roman" w:eastAsia="宋体" w:cs="Times New Roman"/>
                      <w:color w:val="auto"/>
                      <w:sz w:val="21"/>
                      <w:szCs w:val="21"/>
                      <w:highlight w:val="none"/>
                      <w:lang w:val="en-US" w:eastAsia="zh-CN"/>
                    </w:rPr>
                    <w:t>个</w:t>
                  </w:r>
                  <w:r>
                    <w:rPr>
                      <w:rFonts w:hint="default" w:ascii="Times New Roman" w:hAnsi="Times New Roman" w:eastAsia="宋体" w:cs="Times New Roman"/>
                      <w:color w:val="auto"/>
                      <w:sz w:val="21"/>
                      <w:szCs w:val="21"/>
                      <w:highlight w:val="none"/>
                    </w:rPr>
                    <w:t>约重</w:t>
                  </w:r>
                  <w:r>
                    <w:rPr>
                      <w:rFonts w:hint="default" w:ascii="Times New Roman" w:hAnsi="Times New Roman" w:eastAsia="宋体" w:cs="Times New Roman"/>
                      <w:color w:val="auto"/>
                      <w:sz w:val="21"/>
                      <w:highlight w:val="none"/>
                    </w:rPr>
                    <w:t>2300</w:t>
                  </w:r>
                  <w:r>
                    <w:rPr>
                      <w:rFonts w:hint="default" w:ascii="Times New Roman" w:hAnsi="Times New Roman" w:eastAsia="宋体" w:cs="Times New Roman"/>
                      <w:color w:val="auto"/>
                      <w:sz w:val="21"/>
                      <w:szCs w:val="21"/>
                      <w:highlight w:val="none"/>
                      <w:lang w:val="en-US" w:eastAsia="zh-CN"/>
                    </w:rPr>
                    <w:t>g</w:t>
                  </w:r>
                  <w:r>
                    <w:rPr>
                      <w:rFonts w:hint="default" w:ascii="Times New Roman" w:hAnsi="Times New Roman" w:eastAsia="宋体" w:cs="Times New Roman"/>
                      <w:color w:val="auto"/>
                      <w:sz w:val="21"/>
                      <w:szCs w:val="21"/>
                      <w:highlight w:val="none"/>
                    </w:rPr>
                    <w:t>，年产</w:t>
                  </w:r>
                  <w:r>
                    <w:rPr>
                      <w:rFonts w:hint="eastAsia" w:cs="Times New Roman"/>
                      <w:color w:val="auto"/>
                      <w:sz w:val="21"/>
                      <w:szCs w:val="21"/>
                      <w:highlight w:val="none"/>
                      <w:lang w:val="en-US" w:eastAsia="zh-CN"/>
                    </w:rPr>
                    <w:t>2300</w:t>
                  </w:r>
                  <w:r>
                    <w:rPr>
                      <w:rFonts w:hint="default" w:ascii="Times New Roman" w:hAnsi="Times New Roman" w:eastAsia="宋体" w:cs="Times New Roman"/>
                      <w:color w:val="auto"/>
                      <w:sz w:val="21"/>
                      <w:szCs w:val="21"/>
                      <w:highlight w:val="none"/>
                    </w:rPr>
                    <w:t>t</w:t>
                  </w:r>
                </w:p>
              </w:tc>
            </w:tr>
            <w:tr w14:paraId="6978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5" w:type="pct"/>
                  <w:gridSpan w:val="2"/>
                  <w:noWrap w:val="0"/>
                  <w:vAlign w:val="center"/>
                </w:tcPr>
                <w:p w14:paraId="1B0CB9E8">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bCs/>
                      <w:color w:val="auto"/>
                      <w:szCs w:val="21"/>
                      <w:lang w:val="en-US" w:eastAsia="zh-CN"/>
                    </w:rPr>
                    <w:t>合计</w:t>
                  </w:r>
                </w:p>
              </w:tc>
              <w:tc>
                <w:tcPr>
                  <w:tcW w:w="918" w:type="pct"/>
                  <w:noWrap w:val="0"/>
                  <w:vAlign w:val="center"/>
                </w:tcPr>
                <w:p w14:paraId="07171E51">
                  <w:pPr>
                    <w:pStyle w:val="122"/>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 w:val="21"/>
                      <w:lang w:val="en-US" w:eastAsia="zh-CN"/>
                    </w:rPr>
                  </w:pPr>
                  <w:r>
                    <w:rPr>
                      <w:rFonts w:hint="eastAsia" w:cs="Times New Roman"/>
                      <w:color w:val="auto"/>
                      <w:sz w:val="21"/>
                      <w:lang w:val="en-US" w:eastAsia="zh-CN"/>
                    </w:rPr>
                    <w:t>/</w:t>
                  </w:r>
                </w:p>
              </w:tc>
              <w:tc>
                <w:tcPr>
                  <w:tcW w:w="818" w:type="pct"/>
                  <w:noWrap w:val="0"/>
                  <w:vAlign w:val="center"/>
                </w:tcPr>
                <w:p w14:paraId="77337E5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460</w:t>
                  </w:r>
                </w:p>
              </w:tc>
              <w:tc>
                <w:tcPr>
                  <w:tcW w:w="1858" w:type="pct"/>
                  <w:noWrap w:val="0"/>
                  <w:vAlign w:val="center"/>
                </w:tcPr>
                <w:p w14:paraId="131D75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年产</w:t>
                  </w:r>
                  <w:r>
                    <w:rPr>
                      <w:rFonts w:hint="eastAsia" w:cs="Times New Roman"/>
                      <w:color w:val="auto"/>
                      <w:sz w:val="21"/>
                      <w:szCs w:val="21"/>
                      <w:highlight w:val="none"/>
                      <w:lang w:val="en-US" w:eastAsia="zh-CN"/>
                    </w:rPr>
                    <w:t>2606</w:t>
                  </w:r>
                  <w:r>
                    <w:rPr>
                      <w:rFonts w:hint="default" w:ascii="Times New Roman" w:hAnsi="Times New Roman" w:eastAsia="宋体" w:cs="Times New Roman"/>
                      <w:color w:val="auto"/>
                      <w:sz w:val="21"/>
                      <w:szCs w:val="21"/>
                      <w:highlight w:val="none"/>
                    </w:rPr>
                    <w:t>t</w:t>
                  </w:r>
                </w:p>
              </w:tc>
            </w:tr>
          </w:tbl>
          <w:p w14:paraId="73C99911">
            <w:pPr>
              <w:pStyle w:val="60"/>
              <w:keepNext w:val="0"/>
              <w:keepLines w:val="0"/>
              <w:pageBreakBefore w:val="0"/>
              <w:widowControl w:val="0"/>
              <w:suppressLineNumbers w:val="0"/>
              <w:kinsoku/>
              <w:wordWrap w:val="0"/>
              <w:overflowPunct/>
              <w:topLinePunct/>
              <w:autoSpaceDE/>
              <w:autoSpaceDN/>
              <w:bidi w:val="0"/>
              <w:adjustRightInd w:val="0"/>
              <w:snapToGrid/>
              <w:spacing w:before="157" w:beforeLines="50" w:beforeAutospacing="0" w:after="0" w:afterAutospacing="0"/>
              <w:ind w:firstLine="488"/>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8、原辅材料及能源用量</w:t>
            </w:r>
          </w:p>
          <w:p w14:paraId="2CFF7A9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color w:val="auto"/>
                <w:sz w:val="24"/>
                <w:highlight w:val="none"/>
              </w:rPr>
            </w:pP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sz w:val="24"/>
                <w:lang w:val="en-US" w:eastAsia="zh-CN"/>
              </w:rPr>
              <w:t>主要生产塑料框，生产过程中使用的母料和颗粒</w:t>
            </w:r>
            <w:r>
              <w:rPr>
                <w:rFonts w:hint="default" w:ascii="Times New Roman" w:hAnsi="Times New Roman" w:eastAsia="宋体" w:cs="Times New Roman"/>
                <w:color w:val="auto"/>
                <w:sz w:val="24"/>
                <w:highlight w:val="none"/>
                <w:lang w:val="en-US" w:eastAsia="zh-CN"/>
              </w:rPr>
              <w:t>料全部为外购新料，项目</w:t>
            </w:r>
            <w:r>
              <w:rPr>
                <w:rFonts w:hint="default" w:ascii="Times New Roman" w:hAnsi="Times New Roman" w:eastAsia="宋体" w:cs="Times New Roman"/>
                <w:color w:val="auto"/>
                <w:sz w:val="24"/>
                <w:highlight w:val="none"/>
              </w:rPr>
              <w:t>主要原辅材料及能源消耗见表2-3。</w:t>
            </w:r>
          </w:p>
          <w:p w14:paraId="7CA8E9FE">
            <w:pPr>
              <w:pStyle w:val="92"/>
              <w:keepNext w:val="0"/>
              <w:keepLines w:val="0"/>
              <w:suppressLineNumbers w:val="0"/>
              <w:spacing w:before="4" w:beforeAutospacing="0" w:after="4" w:afterAutospacing="0" w:line="360" w:lineRule="auto"/>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表2-3  项目主要原辅材料及能源消耗</w:t>
            </w:r>
            <w:r>
              <w:rPr>
                <w:rFonts w:hint="default" w:ascii="Times New Roman" w:hAnsi="Times New Roman" w:eastAsia="宋体" w:cs="Times New Roman"/>
                <w:color w:val="auto"/>
                <w:sz w:val="21"/>
                <w:szCs w:val="21"/>
                <w:highlight w:val="none"/>
                <w:lang w:val="en-US" w:eastAsia="zh-CN"/>
              </w:rPr>
              <w:t>一览表</w:t>
            </w:r>
          </w:p>
          <w:tbl>
            <w:tblPr>
              <w:tblStyle w:val="3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8"/>
              <w:gridCol w:w="1404"/>
              <w:gridCol w:w="1959"/>
              <w:gridCol w:w="1278"/>
              <w:gridCol w:w="724"/>
              <w:gridCol w:w="1056"/>
              <w:gridCol w:w="1355"/>
            </w:tblGrid>
            <w:tr w14:paraId="7734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427D7D1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1404" w:type="dxa"/>
                  <w:noWrap w:val="0"/>
                  <w:vAlign w:val="center"/>
                </w:tcPr>
                <w:p w14:paraId="2BB4F5C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名称</w:t>
                  </w:r>
                </w:p>
              </w:tc>
              <w:tc>
                <w:tcPr>
                  <w:tcW w:w="1959" w:type="dxa"/>
                  <w:noWrap w:val="0"/>
                  <w:vAlign w:val="center"/>
                </w:tcPr>
                <w:p w14:paraId="29569D3B">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规格</w:t>
                  </w:r>
                </w:p>
              </w:tc>
              <w:tc>
                <w:tcPr>
                  <w:tcW w:w="1278" w:type="dxa"/>
                  <w:noWrap w:val="0"/>
                  <w:vAlign w:val="center"/>
                </w:tcPr>
                <w:p w14:paraId="7725B352">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数量</w:t>
                  </w:r>
                </w:p>
              </w:tc>
              <w:tc>
                <w:tcPr>
                  <w:tcW w:w="724" w:type="dxa"/>
                  <w:noWrap w:val="0"/>
                  <w:vAlign w:val="center"/>
                </w:tcPr>
                <w:p w14:paraId="13E588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单位</w:t>
                  </w:r>
                </w:p>
              </w:tc>
              <w:tc>
                <w:tcPr>
                  <w:tcW w:w="1056" w:type="dxa"/>
                  <w:noWrap w:val="0"/>
                  <w:vAlign w:val="center"/>
                </w:tcPr>
                <w:p w14:paraId="33F2F3B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sz w:val="21"/>
                      <w:szCs w:val="21"/>
                      <w:highlight w:val="none"/>
                      <w:lang w:val="en-US" w:eastAsia="zh-CN"/>
                    </w:rPr>
                  </w:pPr>
                  <w:r>
                    <w:rPr>
                      <w:rFonts w:hint="eastAsia"/>
                      <w:b/>
                      <w:bCs/>
                      <w:color w:val="auto"/>
                      <w:lang w:val="en-US" w:eastAsia="zh-CN"/>
                    </w:rPr>
                    <w:t>厂内最大</w:t>
                  </w:r>
                  <w:r>
                    <w:rPr>
                      <w:rFonts w:hint="eastAsia" w:cs="Times New Roman"/>
                      <w:b/>
                      <w:bCs/>
                      <w:color w:val="auto"/>
                      <w:sz w:val="21"/>
                      <w:szCs w:val="21"/>
                      <w:highlight w:val="none"/>
                      <w:lang w:val="en-US" w:eastAsia="zh-CN"/>
                    </w:rPr>
                    <w:t>储存量（t）</w:t>
                  </w:r>
                </w:p>
              </w:tc>
              <w:tc>
                <w:tcPr>
                  <w:tcW w:w="1355" w:type="dxa"/>
                  <w:noWrap w:val="0"/>
                  <w:vAlign w:val="center"/>
                </w:tcPr>
                <w:p w14:paraId="143CA6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备注</w:t>
                  </w:r>
                </w:p>
              </w:tc>
            </w:tr>
            <w:tr w14:paraId="5214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1743AC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404" w:type="dxa"/>
                  <w:noWrap w:val="0"/>
                  <w:vAlign w:val="center"/>
                </w:tcPr>
                <w:p w14:paraId="08154C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母料</w:t>
                  </w:r>
                </w:p>
              </w:tc>
              <w:tc>
                <w:tcPr>
                  <w:tcW w:w="1959" w:type="dxa"/>
                  <w:noWrap w:val="0"/>
                  <w:vAlign w:val="center"/>
                </w:tcPr>
                <w:p w14:paraId="40DBF0BB">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1:3</w:t>
                  </w:r>
                  <w:r>
                    <w:rPr>
                      <w:rFonts w:hint="default" w:ascii="Times New Roman" w:hAnsi="Times New Roman" w:eastAsia="宋体" w:cs="Times New Roman"/>
                      <w:color w:val="auto"/>
                      <w:sz w:val="21"/>
                      <w:szCs w:val="21"/>
                      <w:highlight w:val="none"/>
                      <w:lang w:eastAsia="zh-CN"/>
                    </w:rPr>
                    <w:t>（</w:t>
                  </w:r>
                  <w:r>
                    <w:rPr>
                      <w:rStyle w:val="39"/>
                      <w:rFonts w:hint="default" w:ascii="Times New Roman" w:hAnsi="Times New Roman" w:eastAsia="宋体" w:cs="Times New Roman"/>
                      <w:b w:val="0"/>
                      <w:bCs/>
                      <w:i w:val="0"/>
                      <w:iCs w:val="0"/>
                      <w:caps w:val="0"/>
                      <w:color w:val="auto"/>
                      <w:spacing w:val="0"/>
                      <w:sz w:val="21"/>
                      <w:szCs w:val="21"/>
                      <w:highlight w:val="none"/>
                      <w:shd w:val="clear" w:color="auto" w:fill="FFFFFF"/>
                    </w:rPr>
                    <w:t>载体树脂</w:t>
                  </w:r>
                  <w:r>
                    <w:rPr>
                      <w:rStyle w:val="39"/>
                      <w:rFonts w:hint="default" w:ascii="Times New Roman" w:hAnsi="Times New Roman" w:eastAsia="宋体" w:cs="Times New Roman"/>
                      <w:b w:val="0"/>
                      <w:bCs/>
                      <w:i w:val="0"/>
                      <w:iCs w:val="0"/>
                      <w:caps w:val="0"/>
                      <w:color w:val="auto"/>
                      <w:spacing w:val="0"/>
                      <w:sz w:val="21"/>
                      <w:szCs w:val="21"/>
                      <w:highlight w:val="none"/>
                      <w:shd w:val="clear" w:color="auto" w:fill="FFFFFF"/>
                      <w:lang w:val="en-US" w:eastAsia="zh-CN"/>
                    </w:rPr>
                    <w:t>与填充料</w:t>
                  </w:r>
                  <w:r>
                    <w:rPr>
                      <w:rStyle w:val="39"/>
                      <w:rFonts w:hint="default" w:ascii="Times New Roman" w:hAnsi="Times New Roman" w:eastAsia="宋体" w:cs="Times New Roman"/>
                      <w:b w:val="0"/>
                      <w:bCs/>
                      <w:i w:val="0"/>
                      <w:iCs w:val="0"/>
                      <w:caps w:val="0"/>
                      <w:color w:val="auto"/>
                      <w:spacing w:val="0"/>
                      <w:sz w:val="21"/>
                      <w:szCs w:val="21"/>
                      <w:highlight w:val="none"/>
                      <w:shd w:val="clear" w:color="auto" w:fill="FFFFFF"/>
                    </w:rPr>
                    <w:t>的质量比</w:t>
                  </w:r>
                  <w:r>
                    <w:rPr>
                      <w:rStyle w:val="39"/>
                      <w:rFonts w:hint="default" w:ascii="Times New Roman" w:hAnsi="Times New Roman" w:eastAsia="宋体" w:cs="Times New Roman"/>
                      <w:b w:val="0"/>
                      <w:bCs/>
                      <w:i w:val="0"/>
                      <w:iCs w:val="0"/>
                      <w:caps w:val="0"/>
                      <w:color w:val="auto"/>
                      <w:spacing w:val="0"/>
                      <w:sz w:val="21"/>
                      <w:szCs w:val="21"/>
                      <w:highlight w:val="none"/>
                      <w:shd w:val="clear" w:color="auto" w:fill="FFFFFF"/>
                      <w:lang w:eastAsia="zh-CN"/>
                    </w:rPr>
                    <w:t>）</w:t>
                  </w:r>
                </w:p>
              </w:tc>
              <w:tc>
                <w:tcPr>
                  <w:tcW w:w="1278" w:type="dxa"/>
                  <w:shd w:val="clear" w:color="auto" w:fill="auto"/>
                  <w:noWrap w:val="0"/>
                  <w:vAlign w:val="center"/>
                </w:tcPr>
                <w:p w14:paraId="4C86C08B">
                  <w:pPr>
                    <w:pStyle w:val="122"/>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aps w:val="0"/>
                      <w:smallCaps w:val="0"/>
                      <w:color w:val="auto"/>
                      <w:kern w:val="2"/>
                      <w:sz w:val="21"/>
                      <w:szCs w:val="21"/>
                      <w:highlight w:val="yellow"/>
                      <w:lang w:val="en-US" w:eastAsia="zh-CN" w:bidi="ar-SA"/>
                    </w:rPr>
                  </w:pPr>
                  <w:r>
                    <w:rPr>
                      <w:rFonts w:hint="eastAsia" w:cs="Times New Roman"/>
                      <w:bCs/>
                      <w:caps w:val="0"/>
                      <w:smallCaps w:val="0"/>
                      <w:color w:val="auto"/>
                      <w:kern w:val="2"/>
                      <w:sz w:val="21"/>
                      <w:szCs w:val="21"/>
                      <w:highlight w:val="none"/>
                      <w:lang w:val="en-US" w:eastAsia="zh-CN" w:bidi="ar-SA"/>
                    </w:rPr>
                    <w:t>1959.9071</w:t>
                  </w:r>
                </w:p>
              </w:tc>
              <w:tc>
                <w:tcPr>
                  <w:tcW w:w="724" w:type="dxa"/>
                  <w:noWrap w:val="0"/>
                  <w:vAlign w:val="center"/>
                </w:tcPr>
                <w:p w14:paraId="1910EB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1056" w:type="dxa"/>
                  <w:noWrap w:val="0"/>
                  <w:vAlign w:val="center"/>
                </w:tcPr>
                <w:p w14:paraId="47F723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1355" w:type="dxa"/>
                  <w:noWrap w:val="0"/>
                  <w:vAlign w:val="center"/>
                </w:tcPr>
                <w:p w14:paraId="4D39A0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aps w:val="0"/>
                      <w:color w:val="auto"/>
                      <w:spacing w:val="0"/>
                      <w:sz w:val="21"/>
                      <w:szCs w:val="21"/>
                      <w:highlight w:val="none"/>
                      <w:shd w:val="clear" w:color="auto" w:fill="FFFFFF"/>
                    </w:rPr>
                    <w:t>‌</w:t>
                  </w:r>
                  <w:r>
                    <w:rPr>
                      <w:rFonts w:hint="default" w:ascii="Times New Roman" w:hAnsi="Times New Roman" w:eastAsia="宋体" w:cs="Times New Roman"/>
                      <w:color w:val="auto"/>
                      <w:sz w:val="21"/>
                      <w:szCs w:val="21"/>
                      <w:highlight w:val="none"/>
                    </w:rPr>
                    <w:t>外购，袋装，</w:t>
                  </w:r>
                  <w:r>
                    <w:rPr>
                      <w:rFonts w:hint="default" w:ascii="Times New Roman" w:hAnsi="Times New Roman" w:eastAsia="宋体" w:cs="Times New Roman"/>
                      <w:color w:val="auto"/>
                      <w:sz w:val="21"/>
                      <w:szCs w:val="21"/>
                      <w:highlight w:val="none"/>
                      <w:lang w:val="en-US" w:eastAsia="zh-CN"/>
                    </w:rPr>
                    <w:t>颗粒状</w:t>
                  </w:r>
                </w:p>
              </w:tc>
            </w:tr>
            <w:tr w14:paraId="65EF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0F87CC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404" w:type="dxa"/>
                  <w:noWrap w:val="0"/>
                  <w:vAlign w:val="center"/>
                </w:tcPr>
                <w:p w14:paraId="5FE54E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颗粒料</w:t>
                  </w:r>
                </w:p>
              </w:tc>
              <w:tc>
                <w:tcPr>
                  <w:tcW w:w="1959" w:type="dxa"/>
                  <w:noWrap w:val="0"/>
                  <w:vAlign w:val="center"/>
                </w:tcPr>
                <w:p w14:paraId="1C8078CC">
                  <w:pPr>
                    <w:pStyle w:val="122"/>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pp</w:t>
                  </w:r>
                </w:p>
              </w:tc>
              <w:tc>
                <w:tcPr>
                  <w:tcW w:w="1278" w:type="dxa"/>
                  <w:shd w:val="clear" w:color="auto" w:fill="auto"/>
                  <w:noWrap w:val="0"/>
                  <w:vAlign w:val="center"/>
                </w:tcPr>
                <w:p w14:paraId="0996E93F">
                  <w:pPr>
                    <w:pStyle w:val="122"/>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aps w:val="0"/>
                      <w:smallCaps w:val="0"/>
                      <w:color w:val="auto"/>
                      <w:kern w:val="2"/>
                      <w:sz w:val="21"/>
                      <w:szCs w:val="21"/>
                      <w:highlight w:val="yellow"/>
                      <w:lang w:val="en-US" w:eastAsia="zh-CN" w:bidi="ar-SA"/>
                    </w:rPr>
                  </w:pPr>
                  <w:r>
                    <w:rPr>
                      <w:rFonts w:hint="eastAsia" w:cs="Times New Roman"/>
                      <w:bCs/>
                      <w:caps w:val="0"/>
                      <w:smallCaps w:val="0"/>
                      <w:color w:val="auto"/>
                      <w:kern w:val="2"/>
                      <w:sz w:val="21"/>
                      <w:szCs w:val="21"/>
                      <w:highlight w:val="none"/>
                      <w:lang w:val="en-US" w:eastAsia="zh-CN" w:bidi="ar-SA"/>
                    </w:rPr>
                    <w:t>653.3023</w:t>
                  </w:r>
                </w:p>
              </w:tc>
              <w:tc>
                <w:tcPr>
                  <w:tcW w:w="724" w:type="dxa"/>
                  <w:noWrap w:val="0"/>
                  <w:vAlign w:val="center"/>
                </w:tcPr>
                <w:p w14:paraId="6CA9DB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t/a</w:t>
                  </w:r>
                </w:p>
              </w:tc>
              <w:tc>
                <w:tcPr>
                  <w:tcW w:w="1056" w:type="dxa"/>
                  <w:noWrap w:val="0"/>
                  <w:vAlign w:val="center"/>
                </w:tcPr>
                <w:p w14:paraId="4BBEAE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1355" w:type="dxa"/>
                  <w:noWrap w:val="0"/>
                  <w:vAlign w:val="center"/>
                </w:tcPr>
                <w:p w14:paraId="2EFC9F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外购，袋装，</w:t>
                  </w:r>
                  <w:r>
                    <w:rPr>
                      <w:rFonts w:hint="default" w:ascii="Times New Roman" w:hAnsi="Times New Roman" w:eastAsia="宋体" w:cs="Times New Roman"/>
                      <w:color w:val="auto"/>
                      <w:sz w:val="21"/>
                      <w:szCs w:val="21"/>
                      <w:highlight w:val="none"/>
                      <w:lang w:val="en-US" w:eastAsia="zh-CN"/>
                    </w:rPr>
                    <w:t>颗粒状</w:t>
                  </w:r>
                </w:p>
              </w:tc>
            </w:tr>
            <w:tr w14:paraId="7332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5E03D0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1404" w:type="dxa"/>
                  <w:noWrap w:val="0"/>
                  <w:vAlign w:val="center"/>
                </w:tcPr>
                <w:p w14:paraId="15A485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脱模剂</w:t>
                  </w:r>
                </w:p>
              </w:tc>
              <w:tc>
                <w:tcPr>
                  <w:tcW w:w="1959" w:type="dxa"/>
                  <w:shd w:val="clear" w:color="auto" w:fill="auto"/>
                  <w:noWrap w:val="0"/>
                  <w:vAlign w:val="center"/>
                </w:tcPr>
                <w:p w14:paraId="18A461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450mL/瓶</w:t>
                  </w:r>
                </w:p>
              </w:tc>
              <w:tc>
                <w:tcPr>
                  <w:tcW w:w="1278" w:type="dxa"/>
                  <w:shd w:val="clear" w:color="auto" w:fill="auto"/>
                  <w:noWrap w:val="0"/>
                  <w:vAlign w:val="center"/>
                </w:tcPr>
                <w:p w14:paraId="102ED5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600</w:t>
                  </w:r>
                </w:p>
              </w:tc>
              <w:tc>
                <w:tcPr>
                  <w:tcW w:w="724" w:type="dxa"/>
                  <w:shd w:val="clear" w:color="auto" w:fill="auto"/>
                  <w:noWrap w:val="0"/>
                  <w:vAlign w:val="center"/>
                </w:tcPr>
                <w:p w14:paraId="2415E0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瓶/a</w:t>
                  </w:r>
                </w:p>
              </w:tc>
              <w:tc>
                <w:tcPr>
                  <w:tcW w:w="1056" w:type="dxa"/>
                  <w:shd w:val="clear" w:color="auto" w:fill="auto"/>
                  <w:noWrap w:val="0"/>
                  <w:vAlign w:val="center"/>
                </w:tcPr>
                <w:p w14:paraId="0EFD92D3">
                  <w:pPr>
                    <w:keepNext w:val="0"/>
                    <w:keepLines w:val="0"/>
                    <w:suppressLineNumbers w:val="0"/>
                    <w:spacing w:before="0" w:beforeAutospacing="0" w:after="0" w:afterAutospacing="0"/>
                    <w:ind w:left="0" w:leftChars="0" w:right="0" w:righ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10（瓶）</w:t>
                  </w:r>
                </w:p>
              </w:tc>
              <w:tc>
                <w:tcPr>
                  <w:tcW w:w="1355" w:type="dxa"/>
                  <w:shd w:val="clear" w:color="auto" w:fill="auto"/>
                  <w:noWrap w:val="0"/>
                  <w:vAlign w:val="center"/>
                </w:tcPr>
                <w:p w14:paraId="2FE0B0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外购（约0.27t/年），瓶装，液体</w:t>
                  </w:r>
                </w:p>
              </w:tc>
            </w:tr>
            <w:tr w14:paraId="007B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53AE7F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1404" w:type="dxa"/>
                  <w:noWrap w:val="0"/>
                  <w:vAlign w:val="center"/>
                </w:tcPr>
                <w:p w14:paraId="5E0B73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新鲜水</w:t>
                  </w:r>
                </w:p>
              </w:tc>
              <w:tc>
                <w:tcPr>
                  <w:tcW w:w="1959" w:type="dxa"/>
                  <w:noWrap w:val="0"/>
                  <w:vAlign w:val="center"/>
                </w:tcPr>
                <w:p w14:paraId="15960E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278" w:type="dxa"/>
                  <w:noWrap w:val="0"/>
                  <w:vAlign w:val="center"/>
                </w:tcPr>
                <w:p w14:paraId="75CA9F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2327.5</w:t>
                  </w:r>
                </w:p>
              </w:tc>
              <w:tc>
                <w:tcPr>
                  <w:tcW w:w="724" w:type="dxa"/>
                  <w:noWrap w:val="0"/>
                  <w:vAlign w:val="center"/>
                </w:tcPr>
                <w:p w14:paraId="7CD44E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/a</w:t>
                  </w:r>
                </w:p>
              </w:tc>
              <w:tc>
                <w:tcPr>
                  <w:tcW w:w="1056" w:type="dxa"/>
                  <w:noWrap w:val="0"/>
                  <w:vAlign w:val="center"/>
                </w:tcPr>
                <w:p w14:paraId="3B6B4CD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355" w:type="dxa"/>
                  <w:noWrap w:val="0"/>
                  <w:vAlign w:val="center"/>
                </w:tcPr>
                <w:p w14:paraId="588819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由</w:t>
                  </w:r>
                  <w:r>
                    <w:rPr>
                      <w:rFonts w:hint="eastAsia" w:cs="Times New Roman"/>
                      <w:color w:val="auto"/>
                      <w:sz w:val="21"/>
                      <w:szCs w:val="21"/>
                      <w:highlight w:val="none"/>
                      <w:lang w:val="en-US" w:eastAsia="zh-CN"/>
                    </w:rPr>
                    <w:t>市政给水</w:t>
                  </w:r>
                  <w:r>
                    <w:rPr>
                      <w:rFonts w:hint="default" w:ascii="Times New Roman" w:hAnsi="Times New Roman" w:eastAsia="宋体" w:cs="Times New Roman"/>
                      <w:color w:val="auto"/>
                      <w:sz w:val="21"/>
                      <w:szCs w:val="21"/>
                      <w:highlight w:val="none"/>
                    </w:rPr>
                    <w:t>管网供给</w:t>
                  </w:r>
                </w:p>
              </w:tc>
            </w:tr>
            <w:tr w14:paraId="2F77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1F733E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w:t>
                  </w:r>
                </w:p>
              </w:tc>
              <w:tc>
                <w:tcPr>
                  <w:tcW w:w="1404" w:type="dxa"/>
                  <w:noWrap w:val="0"/>
                  <w:vAlign w:val="center"/>
                </w:tcPr>
                <w:p w14:paraId="55515A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w:t>
                  </w:r>
                </w:p>
              </w:tc>
              <w:tc>
                <w:tcPr>
                  <w:tcW w:w="1959" w:type="dxa"/>
                  <w:noWrap w:val="0"/>
                  <w:vAlign w:val="center"/>
                </w:tcPr>
                <w:p w14:paraId="5368F30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olor w:val="auto"/>
                      <w:lang w:val="en-US" w:eastAsia="zh-CN"/>
                    </w:rPr>
                    <w:t>/</w:t>
                  </w:r>
                </w:p>
              </w:tc>
              <w:tc>
                <w:tcPr>
                  <w:tcW w:w="1278" w:type="dxa"/>
                  <w:noWrap w:val="0"/>
                  <w:vAlign w:val="center"/>
                </w:tcPr>
                <w:p w14:paraId="31E932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120</w:t>
                  </w:r>
                </w:p>
              </w:tc>
              <w:tc>
                <w:tcPr>
                  <w:tcW w:w="724" w:type="dxa"/>
                  <w:noWrap w:val="0"/>
                  <w:vAlign w:val="center"/>
                </w:tcPr>
                <w:p w14:paraId="7A4C81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万kW.h</w:t>
                  </w:r>
                </w:p>
              </w:tc>
              <w:tc>
                <w:tcPr>
                  <w:tcW w:w="1056" w:type="dxa"/>
                  <w:noWrap w:val="0"/>
                  <w:vAlign w:val="center"/>
                </w:tcPr>
                <w:p w14:paraId="6371578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355" w:type="dxa"/>
                  <w:noWrap w:val="0"/>
                  <w:vAlign w:val="center"/>
                </w:tcPr>
                <w:p w14:paraId="21522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由</w:t>
                  </w:r>
                  <w:r>
                    <w:rPr>
                      <w:rFonts w:hint="default" w:ascii="Times New Roman" w:hAnsi="Times New Roman" w:eastAsia="宋体" w:cs="Times New Roman"/>
                      <w:color w:val="auto"/>
                      <w:sz w:val="21"/>
                      <w:szCs w:val="21"/>
                      <w:highlight w:val="none"/>
                      <w:lang w:val="en-US" w:eastAsia="zh-CN"/>
                    </w:rPr>
                    <w:t>市政</w:t>
                  </w:r>
                  <w:r>
                    <w:rPr>
                      <w:rFonts w:hint="default" w:ascii="Times New Roman" w:hAnsi="Times New Roman" w:eastAsia="宋体" w:cs="Times New Roman"/>
                      <w:color w:val="auto"/>
                      <w:sz w:val="21"/>
                      <w:szCs w:val="21"/>
                      <w:highlight w:val="none"/>
                    </w:rPr>
                    <w:t>供电电网供给</w:t>
                  </w:r>
                </w:p>
              </w:tc>
            </w:tr>
            <w:tr w14:paraId="3EC6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17EF34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w:t>
                  </w:r>
                </w:p>
              </w:tc>
              <w:tc>
                <w:tcPr>
                  <w:tcW w:w="1404" w:type="dxa"/>
                  <w:noWrap w:val="0"/>
                  <w:vAlign w:val="center"/>
                </w:tcPr>
                <w:p w14:paraId="1C82EAE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柴油</w:t>
                  </w:r>
                </w:p>
              </w:tc>
              <w:tc>
                <w:tcPr>
                  <w:tcW w:w="1959" w:type="dxa"/>
                  <w:noWrap w:val="0"/>
                  <w:vAlign w:val="center"/>
                </w:tcPr>
                <w:p w14:paraId="46E02E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278" w:type="dxa"/>
                  <w:noWrap w:val="0"/>
                  <w:vAlign w:val="center"/>
                </w:tcPr>
                <w:p w14:paraId="7F9A51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724" w:type="dxa"/>
                  <w:noWrap w:val="0"/>
                  <w:vAlign w:val="center"/>
                </w:tcPr>
                <w:p w14:paraId="41E38D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t/a</w:t>
                  </w:r>
                </w:p>
              </w:tc>
              <w:tc>
                <w:tcPr>
                  <w:tcW w:w="1056" w:type="dxa"/>
                  <w:noWrap w:val="0"/>
                  <w:vAlign w:val="center"/>
                </w:tcPr>
                <w:p w14:paraId="110212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0.5</w:t>
                  </w:r>
                </w:p>
              </w:tc>
              <w:tc>
                <w:tcPr>
                  <w:tcW w:w="1355" w:type="dxa"/>
                  <w:noWrap w:val="0"/>
                  <w:vAlign w:val="center"/>
                </w:tcPr>
                <w:p w14:paraId="31764D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外购，桶装</w:t>
                  </w:r>
                </w:p>
              </w:tc>
            </w:tr>
            <w:tr w14:paraId="5FA2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28" w:type="dxa"/>
                  <w:noWrap w:val="0"/>
                  <w:vAlign w:val="center"/>
                </w:tcPr>
                <w:p w14:paraId="44E86921">
                  <w:pPr>
                    <w:keepNext w:val="0"/>
                    <w:keepLines w:val="0"/>
                    <w:suppressLineNumbers w:val="0"/>
                    <w:spacing w:before="0" w:beforeAutospacing="0" w:after="0" w:afterAutospacing="0"/>
                    <w:ind w:left="0" w:right="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w:t>
                  </w:r>
                </w:p>
              </w:tc>
              <w:tc>
                <w:tcPr>
                  <w:tcW w:w="1404" w:type="dxa"/>
                  <w:noWrap w:val="0"/>
                  <w:vAlign w:val="center"/>
                </w:tcPr>
                <w:p w14:paraId="2EE8166E">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活性碳</w:t>
                  </w:r>
                </w:p>
              </w:tc>
              <w:tc>
                <w:tcPr>
                  <w:tcW w:w="1959" w:type="dxa"/>
                  <w:noWrap w:val="0"/>
                  <w:vAlign w:val="center"/>
                </w:tcPr>
                <w:p w14:paraId="03608C58">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278" w:type="dxa"/>
                  <w:noWrap w:val="0"/>
                  <w:vAlign w:val="center"/>
                </w:tcPr>
                <w:p w14:paraId="4FF03E0F">
                  <w:pPr>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10.7656</w:t>
                  </w:r>
                </w:p>
              </w:tc>
              <w:tc>
                <w:tcPr>
                  <w:tcW w:w="724" w:type="dxa"/>
                  <w:noWrap w:val="0"/>
                  <w:vAlign w:val="center"/>
                </w:tcPr>
                <w:p w14:paraId="452172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1056" w:type="dxa"/>
                  <w:noWrap w:val="0"/>
                  <w:vAlign w:val="center"/>
                </w:tcPr>
                <w:p w14:paraId="252A9BB8">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1355" w:type="dxa"/>
                  <w:noWrap w:val="0"/>
                  <w:vAlign w:val="center"/>
                </w:tcPr>
                <w:p w14:paraId="31DA5F76">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外购，袋装</w:t>
                  </w:r>
                </w:p>
              </w:tc>
            </w:tr>
          </w:tbl>
          <w:p w14:paraId="185762BB">
            <w:pPr>
              <w:keepNext w:val="0"/>
              <w:keepLines w:val="0"/>
              <w:suppressLineNumbers w:val="0"/>
              <w:spacing w:before="120" w:beforeLines="5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原料性能及理化性质：</w:t>
            </w:r>
          </w:p>
          <w:p w14:paraId="75EE642C">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hd w:val="clear" w:color="auto" w:fill="FFFFFF"/>
                <w:lang w:eastAsia="zh-CN"/>
              </w:rPr>
            </w:pPr>
            <w:r>
              <w:rPr>
                <w:rFonts w:hint="default" w:ascii="Times New Roman" w:hAnsi="Times New Roman" w:eastAsia="宋体" w:cs="Times New Roman"/>
                <w:b/>
                <w:bCs/>
                <w:color w:val="auto"/>
                <w:sz w:val="24"/>
                <w:shd w:val="clear" w:color="auto" w:fill="FFFFFF"/>
                <w:lang w:val="en-US" w:eastAsia="zh-CN"/>
              </w:rPr>
              <w:t>1</w:t>
            </w:r>
            <w:r>
              <w:rPr>
                <w:rFonts w:hint="default" w:ascii="Times New Roman" w:hAnsi="Times New Roman" w:eastAsia="宋体" w:cs="Times New Roman"/>
                <w:b/>
                <w:bCs/>
                <w:color w:val="auto"/>
                <w:sz w:val="24"/>
                <w:shd w:val="clear" w:color="auto" w:fill="FFFFFF"/>
              </w:rPr>
              <w:t>）</w:t>
            </w:r>
            <w:r>
              <w:rPr>
                <w:rFonts w:hint="default" w:ascii="Times New Roman" w:hAnsi="Times New Roman" w:eastAsia="宋体" w:cs="Times New Roman"/>
                <w:b/>
                <w:bCs/>
                <w:color w:val="auto"/>
                <w:sz w:val="24"/>
                <w:shd w:val="clear" w:color="auto" w:fill="FFFFFF"/>
                <w:lang w:val="en-US" w:eastAsia="zh-CN"/>
              </w:rPr>
              <w:t>母料（填充母料）</w:t>
            </w:r>
          </w:p>
          <w:p w14:paraId="05BB32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shd w:val="clear" w:color="auto" w:fill="FFFFFF"/>
                <w:lang w:val="en-US" w:eastAsia="zh-CN"/>
              </w:rPr>
            </w:pPr>
            <w:r>
              <w:rPr>
                <w:rFonts w:hint="default" w:ascii="Times New Roman" w:hAnsi="Times New Roman" w:eastAsia="宋体" w:cs="Times New Roman"/>
                <w:color w:val="auto"/>
                <w:sz w:val="24"/>
                <w:shd w:val="clear" w:color="auto" w:fill="FFFFFF"/>
              </w:rPr>
              <w:t>本项目所用填充母料为碳酸钙聚烯烃填充母粒，主要成分为70%~85%重质碳酸钙粉体、15%~25%PP载体树脂及少量石蜡、硬脂酸锌分散助剂。该物料常温下为均匀</w:t>
            </w:r>
            <w:r>
              <w:rPr>
                <w:rFonts w:hint="default" w:ascii="Times New Roman" w:hAnsi="Times New Roman" w:eastAsia="宋体" w:cs="Times New Roman"/>
                <w:color w:val="auto"/>
                <w:sz w:val="24"/>
                <w:shd w:val="clear" w:color="auto" w:fill="FFFFFF"/>
                <w:lang w:val="en-US" w:eastAsia="zh-CN"/>
              </w:rPr>
              <w:t>白色</w:t>
            </w:r>
            <w:r>
              <w:rPr>
                <w:rFonts w:hint="default" w:ascii="Times New Roman" w:hAnsi="Times New Roman" w:eastAsia="宋体" w:cs="Times New Roman"/>
                <w:color w:val="auto"/>
                <w:sz w:val="24"/>
                <w:shd w:val="clear" w:color="auto" w:fill="FFFFFF"/>
              </w:rPr>
              <w:t>圆柱颗粒，无味无臭，密度1.4~1.82g/cm³，含水率≤0.1%，加工熔融温度区间140~200℃，与聚丙烯原料加工工况匹配。化学性质方面，核心组分碳酸钙常温下化学稳定性好，耐酸碱、不易分解，分解温度高于650℃，在本项目注塑工艺温度范围内不会发生热裂解；仅高温成型时载体树脂及少量助剂微量挥发产生非甲烷总烃。填充母料整体无毒性、无腐蚀性，不属于危险化学品。</w:t>
            </w:r>
          </w:p>
          <w:p w14:paraId="343AE66A">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hd w:val="clear" w:color="auto" w:fill="FFFFFF"/>
                <w:lang w:eastAsia="zh-CN"/>
              </w:rPr>
            </w:pPr>
            <w:r>
              <w:rPr>
                <w:rFonts w:hint="default" w:ascii="Times New Roman" w:hAnsi="Times New Roman" w:eastAsia="宋体" w:cs="Times New Roman"/>
                <w:b/>
                <w:bCs/>
                <w:color w:val="auto"/>
                <w:sz w:val="24"/>
                <w:shd w:val="clear" w:color="auto" w:fill="FFFFFF"/>
                <w:lang w:val="en-US" w:eastAsia="zh-CN"/>
              </w:rPr>
              <w:t>2）颗粒料</w:t>
            </w:r>
            <w:r>
              <w:rPr>
                <w:rFonts w:hint="default" w:ascii="Times New Roman" w:hAnsi="Times New Roman" w:eastAsia="宋体" w:cs="Times New Roman"/>
                <w:b/>
                <w:bCs/>
                <w:color w:val="auto"/>
                <w:sz w:val="24"/>
                <w:shd w:val="clear" w:color="auto" w:fill="FFFFFF"/>
                <w:lang w:eastAsia="zh-CN"/>
              </w:rPr>
              <w:t>（</w:t>
            </w:r>
            <w:r>
              <w:rPr>
                <w:rFonts w:hint="default" w:ascii="Times New Roman" w:hAnsi="Times New Roman" w:eastAsia="宋体" w:cs="Times New Roman"/>
                <w:b/>
                <w:bCs/>
                <w:color w:val="000000"/>
                <w:sz w:val="24"/>
                <w:szCs w:val="24"/>
              </w:rPr>
              <w:t>pp</w:t>
            </w:r>
            <w:r>
              <w:rPr>
                <w:rFonts w:hint="default" w:ascii="Times New Roman" w:hAnsi="Times New Roman" w:eastAsia="宋体" w:cs="Times New Roman"/>
                <w:b/>
                <w:bCs/>
                <w:color w:val="auto"/>
                <w:sz w:val="24"/>
                <w:shd w:val="clear" w:color="auto" w:fill="FFFFFF"/>
                <w:lang w:eastAsia="zh-CN"/>
              </w:rPr>
              <w:t>）</w:t>
            </w:r>
          </w:p>
          <w:p w14:paraId="1E183658">
            <w:pPr>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hd w:val="clear" w:color="auto" w:fill="FFFFFF"/>
              </w:rPr>
            </w:pPr>
            <w:r>
              <w:rPr>
                <w:rFonts w:hint="default" w:ascii="Times New Roman" w:hAnsi="Times New Roman" w:eastAsia="宋体" w:cs="Times New Roman"/>
                <w:color w:val="auto"/>
                <w:sz w:val="24"/>
                <w:shd w:val="clear" w:color="auto" w:fill="FFFFFF"/>
                <w:lang w:val="en-US" w:eastAsia="zh-CN"/>
              </w:rPr>
              <w:t>本项目用的颗粒料均为PP料，</w:t>
            </w:r>
            <w:r>
              <w:rPr>
                <w:rFonts w:hint="default" w:ascii="Times New Roman" w:hAnsi="Times New Roman" w:eastAsia="宋体" w:cs="Times New Roman"/>
                <w:color w:val="auto"/>
                <w:sz w:val="24"/>
                <w:shd w:val="clear" w:color="auto" w:fill="FFFFFF"/>
              </w:rPr>
              <w:t>聚丙烯是由丙烯聚合而成制得的一种热塑性树脂，是通用塑料的一个重要品种，无毒、无味、密度小，强度、刚度、硬度、耐热性均优于低压聚乙烯，可在100℃左右使用，具有良好的介电性能和高频绝缘性且不受湿度影响，但低温时变脆，不耐磨、易老化，聚丙烯的化学稳定性很好，除能被浓硫酸、浓硝酸侵蚀外，对其它各种化学试剂都比较稳定，但低分子量的脂肪烃、芳香烃和氯化烃等能使聚丙烯软化和溶胀，同时它的化学稳定性随结晶度的增加还有所提高，所以聚丙烯适合制作各种化工管道和配件，防腐蚀效果良好。脆化温度为-35℃，在低于-35℃会发生脆化，聚丙烯的熔融温度约为164℃-170℃，100%等规度聚丙烯熔点为176℃，裂解温度达300℃以上。具有燃烧性，易燃。</w:t>
            </w:r>
          </w:p>
          <w:p w14:paraId="570805F8">
            <w:pPr>
              <w:keepNext w:val="0"/>
              <w:keepLines w:val="0"/>
              <w:suppressLineNumbers w:val="0"/>
              <w:spacing w:before="0" w:beforeAutospacing="0" w:after="0" w:afterAutospacing="0" w:line="360" w:lineRule="auto"/>
              <w:ind w:left="0" w:right="0" w:firstLine="482" w:firstLineChars="200"/>
              <w:rPr>
                <w:rFonts w:hint="eastAsia" w:cs="Times New Roman"/>
                <w:b/>
                <w:bCs/>
                <w:color w:val="auto"/>
                <w:sz w:val="24"/>
                <w:lang w:val="en-US" w:eastAsia="zh-CN"/>
              </w:rPr>
            </w:pPr>
            <w:r>
              <w:rPr>
                <w:rFonts w:hint="eastAsia" w:cs="Times New Roman"/>
                <w:b/>
                <w:bCs/>
                <w:color w:val="auto"/>
                <w:sz w:val="24"/>
                <w:lang w:val="en-US" w:eastAsia="zh-CN"/>
              </w:rPr>
              <w:t>3）脱模剂</w:t>
            </w:r>
          </w:p>
          <w:p w14:paraId="7D2068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Helvetica" w:hAnsi="Helvetica" w:eastAsia="Helvetica" w:cs="Helvetica"/>
                <w:i w:val="0"/>
                <w:iCs w:val="0"/>
                <w:caps w:val="0"/>
                <w:color w:val="auto"/>
                <w:spacing w:val="0"/>
                <w:sz w:val="24"/>
                <w:szCs w:val="24"/>
                <w:shd w:val="clear" w:fill="FFFFFF"/>
              </w:rPr>
            </w:pPr>
            <w:r>
              <w:rPr>
                <w:rFonts w:hint="default" w:ascii="Helvetica" w:hAnsi="Helvetica" w:eastAsia="Helvetica" w:cs="Helvetica"/>
                <w:i w:val="0"/>
                <w:iCs w:val="0"/>
                <w:caps w:val="0"/>
                <w:color w:val="auto"/>
                <w:spacing w:val="0"/>
                <w:sz w:val="24"/>
                <w:szCs w:val="24"/>
                <w:shd w:val="clear" w:fill="FFFFFF"/>
              </w:rPr>
              <w:t>脱模剂是一种介于</w:t>
            </w:r>
            <w:r>
              <w:rPr>
                <w:rFonts w:hint="default" w:ascii="Helvetica" w:hAnsi="Helvetica" w:eastAsia="Helvetica" w:cs="Helvetica"/>
                <w:i w:val="0"/>
                <w:iCs w:val="0"/>
                <w:caps w:val="0"/>
                <w:color w:val="auto"/>
                <w:spacing w:val="0"/>
                <w:sz w:val="24"/>
                <w:szCs w:val="24"/>
                <w:u w:val="none"/>
                <w:shd w:val="clear" w:fill="FFFFFF"/>
              </w:rPr>
              <w:fldChar w:fldCharType="begin"/>
            </w:r>
            <w:r>
              <w:rPr>
                <w:rFonts w:hint="default" w:ascii="Helvetica" w:hAnsi="Helvetica" w:eastAsia="Helvetica" w:cs="Helvetica"/>
                <w:i w:val="0"/>
                <w:iCs w:val="0"/>
                <w:caps w:val="0"/>
                <w:color w:val="auto"/>
                <w:spacing w:val="0"/>
                <w:sz w:val="24"/>
                <w:szCs w:val="24"/>
                <w:u w:val="none"/>
                <w:shd w:val="clear" w:fill="FFFFFF"/>
              </w:rPr>
              <w:instrText xml:space="preserve"> HYPERLINK "https://baike.baidu.com/item/%E6%A8%A1%E5%85%B7/371134?fromModule=lemma_inlink" \t "https://baike.baidu.com/item/%E8%84%B1%E6%A8%A1%E5%89%82/_blank" </w:instrText>
            </w:r>
            <w:r>
              <w:rPr>
                <w:rFonts w:hint="default" w:ascii="Helvetica" w:hAnsi="Helvetica" w:eastAsia="Helvetica" w:cs="Helvetica"/>
                <w:i w:val="0"/>
                <w:iCs w:val="0"/>
                <w:caps w:val="0"/>
                <w:color w:val="auto"/>
                <w:spacing w:val="0"/>
                <w:sz w:val="24"/>
                <w:szCs w:val="24"/>
                <w:u w:val="none"/>
                <w:shd w:val="clear" w:fill="FFFFFF"/>
              </w:rPr>
              <w:fldChar w:fldCharType="separate"/>
            </w:r>
            <w:r>
              <w:rPr>
                <w:rStyle w:val="43"/>
                <w:rFonts w:hint="default" w:ascii="Helvetica" w:hAnsi="Helvetica" w:eastAsia="Helvetica" w:cs="Helvetica"/>
                <w:i w:val="0"/>
                <w:iCs w:val="0"/>
                <w:caps w:val="0"/>
                <w:color w:val="auto"/>
                <w:spacing w:val="0"/>
                <w:sz w:val="24"/>
                <w:szCs w:val="24"/>
                <w:u w:val="none"/>
                <w:shd w:val="clear" w:fill="FFFFFF"/>
              </w:rPr>
              <w:t>模具</w:t>
            </w:r>
            <w:r>
              <w:rPr>
                <w:rFonts w:hint="default" w:ascii="Helvetica" w:hAnsi="Helvetica" w:eastAsia="Helvetica" w:cs="Helvetica"/>
                <w:i w:val="0"/>
                <w:iCs w:val="0"/>
                <w:caps w:val="0"/>
                <w:color w:val="auto"/>
                <w:spacing w:val="0"/>
                <w:sz w:val="24"/>
                <w:szCs w:val="24"/>
                <w:u w:val="none"/>
                <w:shd w:val="clear" w:fill="FFFFFF"/>
              </w:rPr>
              <w:fldChar w:fldCharType="end"/>
            </w:r>
            <w:r>
              <w:rPr>
                <w:rFonts w:hint="default" w:ascii="Helvetica" w:hAnsi="Helvetica" w:eastAsia="Helvetica" w:cs="Helvetica"/>
                <w:i w:val="0"/>
                <w:iCs w:val="0"/>
                <w:caps w:val="0"/>
                <w:color w:val="auto"/>
                <w:spacing w:val="0"/>
                <w:sz w:val="24"/>
                <w:szCs w:val="24"/>
                <w:shd w:val="clear" w:fill="FFFFFF"/>
              </w:rPr>
              <w:t>和成品之间的功能性物质。脱模剂有耐化学性，在与不同树脂的化学成份（特别是苯乙烯和胺类）接触时不被溶解。脱模剂还具有耐热及应力性能，不易分解或磨损；脱模剂粘合到模具上而不转移到被加工的制件上，不妨碍喷漆或其他二次加工操作。</w:t>
            </w:r>
          </w:p>
          <w:p w14:paraId="12B5FD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Helvetica" w:hAnsi="Helvetica" w:eastAsia="宋体" w:cs="Helvetica"/>
                <w:i w:val="0"/>
                <w:iCs w:val="0"/>
                <w:caps w:val="0"/>
                <w:color w:val="auto"/>
                <w:spacing w:val="0"/>
                <w:sz w:val="24"/>
                <w:szCs w:val="24"/>
                <w:shd w:val="clear" w:fill="FFFFFF"/>
                <w:lang w:eastAsia="zh-CN"/>
              </w:rPr>
            </w:pPr>
            <w:r>
              <w:rPr>
                <w:rFonts w:hint="default" w:ascii="Times New Roman" w:hAnsi="Times New Roman" w:eastAsia="宋体" w:cs="Times New Roman"/>
                <w:color w:val="auto"/>
                <w:kern w:val="0"/>
                <w:sz w:val="24"/>
                <w:szCs w:val="24"/>
                <w:lang w:val="en-US" w:eastAsia="zh-CN" w:bidi="ar"/>
              </w:rPr>
              <w:t>本项目所使用的脱模剂在常温下使用，其主要由功能组分（硅油、硅树脂、蜡、脂肪酸盐）和助剂组分（溶剂、乳化剂、防腐剂、消泡剂）构成 </w:t>
            </w:r>
            <w:r>
              <w:rPr>
                <w:rFonts w:hint="eastAsia" w:ascii="Times New Roman" w:hAnsi="Times New Roman" w:eastAsia="宋体" w:cs="Times New Roman"/>
                <w:color w:val="auto"/>
                <w:kern w:val="0"/>
                <w:sz w:val="24"/>
                <w:szCs w:val="24"/>
                <w:lang w:val="en-US" w:eastAsia="zh-CN" w:bidi="ar"/>
              </w:rPr>
              <w:t>。</w:t>
            </w:r>
          </w:p>
          <w:p w14:paraId="4C575814">
            <w:pPr>
              <w:keepNext w:val="0"/>
              <w:keepLines w:val="0"/>
              <w:suppressLineNumbers w:val="0"/>
              <w:spacing w:before="0" w:beforeAutospacing="0" w:after="0" w:afterAutospacing="0" w:line="360" w:lineRule="auto"/>
              <w:ind w:left="0" w:right="0" w:firstLine="482" w:firstLineChars="200"/>
              <w:rPr>
                <w:rFonts w:hint="eastAsia" w:cs="Times New Roman"/>
                <w:b/>
                <w:bCs/>
                <w:color w:val="auto"/>
                <w:sz w:val="24"/>
                <w:lang w:val="en-US" w:eastAsia="zh-CN"/>
              </w:rPr>
            </w:pPr>
            <w:r>
              <w:rPr>
                <w:rFonts w:hint="eastAsia" w:cs="Times New Roman"/>
                <w:b/>
                <w:bCs/>
                <w:color w:val="auto"/>
                <w:sz w:val="24"/>
                <w:lang w:val="en-US" w:eastAsia="zh-CN"/>
              </w:rPr>
              <w:t>4）柴油</w:t>
            </w:r>
          </w:p>
          <w:p w14:paraId="7575E7F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aps w:val="0"/>
                <w:color w:val="000000"/>
                <w:spacing w:val="0"/>
                <w:sz w:val="24"/>
                <w:szCs w:val="24"/>
              </w:rPr>
            </w:pPr>
            <w:r>
              <w:rPr>
                <w:rStyle w:val="39"/>
                <w:rFonts w:hint="default" w:ascii="Times New Roman" w:hAnsi="Times New Roman" w:eastAsia="宋体" w:cs="Times New Roman"/>
                <w:b w:val="0"/>
                <w:bCs w:val="0"/>
                <w:caps w:val="0"/>
                <w:color w:val="auto"/>
                <w:spacing w:val="0"/>
                <w:sz w:val="24"/>
                <w:szCs w:val="24"/>
                <w:shd w:val="clear" w:fill="FFFFFF"/>
              </w:rPr>
              <w:t>柴油是一种浅黄色或棕褐</w:t>
            </w:r>
            <w:r>
              <w:rPr>
                <w:rStyle w:val="39"/>
                <w:rFonts w:hint="default" w:ascii="Times New Roman" w:hAnsi="Times New Roman" w:eastAsia="宋体" w:cs="Times New Roman"/>
                <w:b w:val="0"/>
                <w:bCs w:val="0"/>
                <w:caps w:val="0"/>
                <w:color w:val="000000"/>
                <w:spacing w:val="0"/>
                <w:sz w:val="24"/>
                <w:szCs w:val="24"/>
                <w:shd w:val="clear" w:fill="FFFFFF"/>
              </w:rPr>
              <w:t>色的稍有粘性的液体，密度约为0.81</w:t>
            </w:r>
            <w:r>
              <w:rPr>
                <w:rStyle w:val="39"/>
                <w:rFonts w:hint="eastAsia" w:ascii="Times New Roman" w:hAnsi="Times New Roman" w:eastAsia="宋体" w:cs="Times New Roman"/>
                <w:b w:val="0"/>
                <w:bCs w:val="0"/>
                <w:caps w:val="0"/>
                <w:color w:val="000000"/>
                <w:spacing w:val="0"/>
                <w:sz w:val="24"/>
                <w:szCs w:val="24"/>
                <w:shd w:val="clear" w:fill="FFFFFF"/>
                <w:lang w:val="en-US" w:eastAsia="zh-CN"/>
              </w:rPr>
              <w:t>~</w:t>
            </w:r>
            <w:r>
              <w:rPr>
                <w:rStyle w:val="39"/>
                <w:rFonts w:hint="default" w:ascii="Times New Roman" w:hAnsi="Times New Roman" w:eastAsia="宋体" w:cs="Times New Roman"/>
                <w:b w:val="0"/>
                <w:bCs w:val="0"/>
                <w:caps w:val="0"/>
                <w:color w:val="000000"/>
                <w:spacing w:val="0"/>
                <w:sz w:val="24"/>
                <w:szCs w:val="24"/>
                <w:shd w:val="clear" w:fill="FFFFFF"/>
                <w:vertAlign w:val="baseline"/>
              </w:rPr>
              <w:t>0.90g/cm³，沸点范围为282</w:t>
            </w:r>
            <w:r>
              <w:rPr>
                <w:rStyle w:val="39"/>
                <w:rFonts w:hint="eastAsia" w:ascii="Times New Roman" w:hAnsi="Times New Roman" w:eastAsia="宋体" w:cs="Times New Roman"/>
                <w:b w:val="0"/>
                <w:bCs w:val="0"/>
                <w:caps w:val="0"/>
                <w:color w:val="000000"/>
                <w:spacing w:val="0"/>
                <w:sz w:val="24"/>
                <w:szCs w:val="24"/>
                <w:shd w:val="clear" w:fill="FFFFFF"/>
                <w:vertAlign w:val="baseline"/>
                <w:lang w:val="en-US" w:eastAsia="zh-CN"/>
              </w:rPr>
              <w:t>~</w:t>
            </w:r>
            <w:r>
              <w:rPr>
                <w:rStyle w:val="39"/>
                <w:rFonts w:hint="default" w:ascii="Times New Roman" w:hAnsi="Times New Roman" w:eastAsia="宋体" w:cs="Times New Roman"/>
                <w:b w:val="0"/>
                <w:bCs w:val="0"/>
                <w:caps w:val="0"/>
                <w:color w:val="000000"/>
                <w:spacing w:val="0"/>
                <w:sz w:val="24"/>
                <w:szCs w:val="24"/>
                <w:shd w:val="clear" w:fill="FFFFFF"/>
              </w:rPr>
              <w:t>410℃，不溶于水，易燃且具有一定爆炸危险性。</w:t>
            </w:r>
          </w:p>
          <w:p w14:paraId="7FDA136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i w:val="0"/>
                <w:iCs w:val="0"/>
                <w:caps w:val="0"/>
                <w:color w:val="000000"/>
                <w:spacing w:val="0"/>
                <w:sz w:val="24"/>
                <w:szCs w:val="24"/>
                <w:shd w:val="clear" w:fill="FFFFFF"/>
              </w:rPr>
              <w:t>浅黄色或棕褐色液体，稍有粘性。</w:t>
            </w:r>
            <w:r>
              <w:rPr>
                <w:rStyle w:val="39"/>
                <w:rFonts w:hint="default" w:ascii="Times New Roman" w:hAnsi="Times New Roman" w:eastAsia="宋体" w:cs="Times New Roman"/>
                <w:b w:val="0"/>
                <w:bCs w:val="0"/>
                <w:i w:val="0"/>
                <w:iCs w:val="0"/>
                <w:caps w:val="0"/>
                <w:color w:val="000000"/>
                <w:spacing w:val="0"/>
                <w:sz w:val="24"/>
                <w:szCs w:val="24"/>
                <w:shd w:val="clear" w:fill="FFFFFF"/>
              </w:rPr>
              <w:t>密度</w:t>
            </w:r>
            <w:r>
              <w:rPr>
                <w:rFonts w:hint="default" w:ascii="Times New Roman" w:hAnsi="Times New Roman" w:eastAsia="宋体" w:cs="Times New Roman"/>
                <w:b w:val="0"/>
                <w:bCs w:val="0"/>
                <w:i w:val="0"/>
                <w:iCs w:val="0"/>
                <w:caps w:val="0"/>
                <w:color w:val="000000"/>
                <w:spacing w:val="0"/>
                <w:sz w:val="24"/>
                <w:szCs w:val="24"/>
                <w:shd w:val="clear" w:fill="FFFFFF"/>
              </w:rPr>
              <w:t>一般为0.81~0.90 g/cm³，比空气重，便于储存和运输。常用柴油沸点为282~338℃。</w:t>
            </w:r>
            <w:r>
              <w:rPr>
                <w:rStyle w:val="39"/>
                <w:rFonts w:hint="default" w:ascii="Times New Roman" w:hAnsi="Times New Roman" w:eastAsia="宋体" w:cs="Times New Roman"/>
                <w:b w:val="0"/>
                <w:bCs w:val="0"/>
                <w:i w:val="0"/>
                <w:iCs w:val="0"/>
                <w:caps w:val="0"/>
                <w:color w:val="000000"/>
                <w:spacing w:val="0"/>
                <w:sz w:val="24"/>
                <w:szCs w:val="24"/>
                <w:shd w:val="clear" w:fill="FFFFFF"/>
              </w:rPr>
              <w:t>熔点</w:t>
            </w:r>
            <w:r>
              <w:rPr>
                <w:rFonts w:hint="default" w:ascii="Times New Roman" w:hAnsi="Times New Roman" w:eastAsia="宋体" w:cs="Times New Roman"/>
                <w:b w:val="0"/>
                <w:bCs w:val="0"/>
                <w:i w:val="0"/>
                <w:iCs w:val="0"/>
                <w:caps w:val="0"/>
                <w:color w:val="000000"/>
                <w:spacing w:val="0"/>
                <w:sz w:val="24"/>
                <w:szCs w:val="24"/>
                <w:shd w:val="clear" w:fill="FFFFFF"/>
              </w:rPr>
              <w:t>约-18℃。</w:t>
            </w:r>
            <w:r>
              <w:rPr>
                <w:rStyle w:val="39"/>
                <w:rFonts w:hint="default" w:ascii="Times New Roman" w:hAnsi="Times New Roman" w:eastAsia="宋体" w:cs="Times New Roman"/>
                <w:b w:val="0"/>
                <w:bCs w:val="0"/>
                <w:i w:val="0"/>
                <w:iCs w:val="0"/>
                <w:caps w:val="0"/>
                <w:color w:val="000000"/>
                <w:spacing w:val="0"/>
                <w:sz w:val="24"/>
                <w:szCs w:val="24"/>
                <w:shd w:val="clear" w:fill="FFFFFF"/>
              </w:rPr>
              <w:t>闪点</w:t>
            </w:r>
            <w:r>
              <w:rPr>
                <w:rFonts w:hint="default" w:ascii="Times New Roman" w:hAnsi="Times New Roman" w:eastAsia="宋体" w:cs="Times New Roman"/>
                <w:b w:val="0"/>
                <w:bCs w:val="0"/>
                <w:i w:val="0"/>
                <w:iCs w:val="0"/>
                <w:caps w:val="0"/>
                <w:color w:val="000000"/>
                <w:spacing w:val="0"/>
                <w:sz w:val="24"/>
                <w:szCs w:val="24"/>
                <w:shd w:val="clear" w:fill="FFFFFF"/>
              </w:rPr>
              <w:t>约38℃，低于此温度不易自燃，但遇明火或高热易燃。</w:t>
            </w:r>
            <w:r>
              <w:rPr>
                <w:rStyle w:val="39"/>
                <w:rFonts w:hint="default" w:ascii="Times New Roman" w:hAnsi="Times New Roman" w:eastAsia="宋体" w:cs="Times New Roman"/>
                <w:b w:val="0"/>
                <w:bCs w:val="0"/>
                <w:i w:val="0"/>
                <w:iCs w:val="0"/>
                <w:caps w:val="0"/>
                <w:color w:val="000000"/>
                <w:spacing w:val="0"/>
                <w:sz w:val="24"/>
                <w:szCs w:val="24"/>
                <w:shd w:val="clear" w:fill="FFFFFF"/>
              </w:rPr>
              <w:t>燃烧热</w:t>
            </w:r>
            <w:r>
              <w:rPr>
                <w:rFonts w:hint="default" w:ascii="Times New Roman" w:hAnsi="Times New Roman" w:eastAsia="宋体" w:cs="Times New Roman"/>
                <w:b w:val="0"/>
                <w:bCs w:val="0"/>
                <w:i w:val="0"/>
                <w:iCs w:val="0"/>
                <w:caps w:val="0"/>
                <w:color w:val="000000"/>
                <w:spacing w:val="0"/>
                <w:sz w:val="24"/>
                <w:szCs w:val="24"/>
                <w:shd w:val="clear" w:fill="FFFFFF"/>
              </w:rPr>
              <w:t>约42.7 MJ/kg。</w:t>
            </w:r>
            <w:r>
              <w:rPr>
                <w:rStyle w:val="39"/>
                <w:rFonts w:hint="default" w:ascii="Times New Roman" w:hAnsi="Times New Roman" w:eastAsia="宋体" w:cs="Times New Roman"/>
                <w:b w:val="0"/>
                <w:bCs w:val="0"/>
                <w:i w:val="0"/>
                <w:iCs w:val="0"/>
                <w:caps w:val="0"/>
                <w:color w:val="000000"/>
                <w:spacing w:val="0"/>
                <w:sz w:val="24"/>
                <w:szCs w:val="24"/>
                <w:shd w:val="clear" w:fill="FFFFFF"/>
              </w:rPr>
              <w:t>溶解性</w:t>
            </w:r>
            <w:r>
              <w:rPr>
                <w:rFonts w:hint="default" w:ascii="Times New Roman" w:hAnsi="Times New Roman" w:eastAsia="宋体" w:cs="Times New Roman"/>
                <w:b w:val="0"/>
                <w:bCs w:val="0"/>
                <w:i w:val="0"/>
                <w:iCs w:val="0"/>
                <w:caps w:val="0"/>
                <w:color w:val="000000"/>
                <w:spacing w:val="0"/>
                <w:sz w:val="24"/>
                <w:szCs w:val="24"/>
                <w:shd w:val="clear" w:fill="FFFFFF"/>
              </w:rPr>
              <w:t>不溶于水，可溶于多数有机溶剂。</w:t>
            </w:r>
            <w:r>
              <w:rPr>
                <w:rStyle w:val="39"/>
                <w:rFonts w:hint="default" w:ascii="Times New Roman" w:hAnsi="Times New Roman" w:eastAsia="宋体" w:cs="Times New Roman"/>
                <w:b w:val="0"/>
                <w:bCs w:val="0"/>
                <w:i w:val="0"/>
                <w:iCs w:val="0"/>
                <w:caps w:val="0"/>
                <w:color w:val="000000"/>
                <w:spacing w:val="0"/>
                <w:sz w:val="24"/>
                <w:szCs w:val="24"/>
                <w:shd w:val="clear" w:fill="FFFFFF"/>
              </w:rPr>
              <w:t>挥发性</w:t>
            </w:r>
            <w:r>
              <w:rPr>
                <w:rFonts w:hint="default" w:ascii="Times New Roman" w:hAnsi="Times New Roman" w:eastAsia="宋体" w:cs="Times New Roman"/>
                <w:b w:val="0"/>
                <w:bCs w:val="0"/>
                <w:i w:val="0"/>
                <w:iCs w:val="0"/>
                <w:caps w:val="0"/>
                <w:color w:val="000000"/>
                <w:spacing w:val="0"/>
                <w:sz w:val="24"/>
                <w:szCs w:val="24"/>
                <w:shd w:val="clear" w:fill="FFFFFF"/>
              </w:rPr>
              <w:t>：低于汽油，不易蒸发，储存和使用相对安全。</w:t>
            </w:r>
          </w:p>
          <w:p w14:paraId="29FE07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i w:val="0"/>
                <w:iCs w:val="0"/>
                <w:caps w:val="0"/>
                <w:color w:val="000000"/>
                <w:spacing w:val="0"/>
                <w:sz w:val="24"/>
                <w:szCs w:val="24"/>
                <w:shd w:val="clear" w:fill="FFFFFF"/>
              </w:rPr>
            </w:pPr>
            <w:r>
              <w:rPr>
                <w:rFonts w:hint="default" w:ascii="Times New Roman" w:hAnsi="Times New Roman" w:eastAsia="宋体" w:cs="Times New Roman"/>
                <w:b w:val="0"/>
                <w:bCs w:val="0"/>
                <w:caps w:val="0"/>
                <w:color w:val="000000"/>
                <w:spacing w:val="0"/>
                <w:sz w:val="24"/>
                <w:szCs w:val="24"/>
                <w:shd w:val="clear" w:fill="FFFFFF"/>
              </w:rPr>
              <w:t>化学</w:t>
            </w:r>
            <w:r>
              <w:rPr>
                <w:rStyle w:val="39"/>
                <w:rFonts w:hint="default" w:ascii="Times New Roman" w:hAnsi="Times New Roman" w:eastAsia="宋体" w:cs="Times New Roman"/>
                <w:b w:val="0"/>
                <w:bCs w:val="0"/>
                <w:i w:val="0"/>
                <w:iCs w:val="0"/>
                <w:caps w:val="0"/>
                <w:color w:val="000000"/>
                <w:spacing w:val="0"/>
                <w:sz w:val="24"/>
                <w:szCs w:val="24"/>
                <w:shd w:val="clear" w:fill="FFFFFF"/>
              </w:rPr>
              <w:t>组成</w:t>
            </w:r>
            <w:r>
              <w:rPr>
                <w:rFonts w:hint="default" w:ascii="Times New Roman" w:hAnsi="Times New Roman" w:eastAsia="宋体" w:cs="Times New Roman"/>
                <w:b w:val="0"/>
                <w:bCs w:val="0"/>
                <w:i w:val="0"/>
                <w:iCs w:val="0"/>
                <w:caps w:val="0"/>
                <w:color w:val="000000"/>
                <w:spacing w:val="0"/>
                <w:sz w:val="24"/>
                <w:szCs w:val="24"/>
                <w:shd w:val="clear" w:fill="FFFFFF"/>
              </w:rPr>
              <w:t>主要为碳原子数约10~22的烃类混合物，包括烷烃、环烷烃和芳香烃。可燃，遇明火、高热或氧化剂接触有燃烧和爆炸危险。</w:t>
            </w:r>
          </w:p>
          <w:p w14:paraId="07A4DD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9、</w:t>
            </w:r>
            <w:r>
              <w:rPr>
                <w:rFonts w:hint="default" w:ascii="Times New Roman" w:hAnsi="Times New Roman" w:eastAsia="宋体" w:cs="Times New Roman"/>
                <w:b/>
                <w:bCs/>
                <w:color w:val="auto"/>
                <w:kern w:val="2"/>
                <w:sz w:val="24"/>
                <w:szCs w:val="24"/>
                <w:lang w:val="en-US" w:eastAsia="zh-CN" w:bidi="ar-SA"/>
              </w:rPr>
              <w:t xml:space="preserve">物料平衡 </w:t>
            </w:r>
          </w:p>
          <w:p w14:paraId="1E177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部分物料核算依据见表2-</w:t>
            </w:r>
            <w:r>
              <w:rPr>
                <w:rFonts w:hint="eastAsia" w:ascii="Times New Roman" w:hAnsi="Times New Roman" w:eastAsia="宋体"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w:t>
            </w:r>
            <w:r>
              <w:rPr>
                <w:rFonts w:hint="eastAsia" w:cs="Times New Roman"/>
                <w:color w:val="000000"/>
                <w:kern w:val="0"/>
                <w:sz w:val="24"/>
                <w:szCs w:val="24"/>
                <w:lang w:val="en-US" w:eastAsia="zh-CN" w:bidi="ar"/>
              </w:rPr>
              <w:t>项目</w:t>
            </w:r>
            <w:r>
              <w:rPr>
                <w:rFonts w:hint="default" w:ascii="Times New Roman" w:hAnsi="Times New Roman" w:eastAsia="宋体" w:cs="Times New Roman"/>
                <w:color w:val="000000"/>
                <w:kern w:val="0"/>
                <w:sz w:val="24"/>
                <w:szCs w:val="24"/>
                <w:lang w:val="en-US" w:eastAsia="zh-CN" w:bidi="ar"/>
              </w:rPr>
              <w:t>物料平衡表见表2-</w:t>
            </w:r>
            <w:r>
              <w:rPr>
                <w:rFonts w:hint="eastAsia" w:ascii="Times New Roman" w:hAnsi="Times New Roman" w:eastAsia="宋体"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 xml:space="preserve">。 </w:t>
            </w:r>
          </w:p>
          <w:p w14:paraId="1A2E1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color w:val="000000"/>
                <w:kern w:val="0"/>
                <w:sz w:val="21"/>
                <w:szCs w:val="21"/>
                <w:lang w:val="en-US" w:eastAsia="zh-CN" w:bidi="ar"/>
              </w:rPr>
              <w:t>表2-</w:t>
            </w:r>
            <w:r>
              <w:rPr>
                <w:rFonts w:hint="eastAsia" w:ascii="Times New Roman" w:hAnsi="Times New Roman" w:eastAsia="宋体" w:cs="Times New Roman"/>
                <w:b/>
                <w:bCs/>
                <w:color w:val="000000"/>
                <w:kern w:val="0"/>
                <w:sz w:val="21"/>
                <w:szCs w:val="21"/>
                <w:lang w:val="en-US" w:eastAsia="zh-CN" w:bidi="ar"/>
              </w:rPr>
              <w:t>4</w:t>
            </w:r>
            <w:r>
              <w:rPr>
                <w:rFonts w:hint="default" w:ascii="Times New Roman" w:hAnsi="Times New Roman" w:eastAsia="宋体" w:cs="Times New Roman"/>
                <w:b/>
                <w:bCs/>
                <w:color w:val="000000"/>
                <w:kern w:val="0"/>
                <w:sz w:val="21"/>
                <w:szCs w:val="21"/>
                <w:lang w:val="en-US" w:eastAsia="zh-CN" w:bidi="ar"/>
              </w:rPr>
              <w:t xml:space="preserve">  部分物料产生量计算取值依据</w:t>
            </w:r>
          </w:p>
          <w:tbl>
            <w:tblPr>
              <w:tblStyle w:val="37"/>
              <w:tblW w:w="8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4400"/>
              <w:gridCol w:w="2851"/>
            </w:tblGrid>
            <w:tr w14:paraId="5555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7" w:type="dxa"/>
                  <w:vAlign w:val="center"/>
                </w:tcPr>
                <w:p w14:paraId="549F368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000000"/>
                      <w:kern w:val="0"/>
                      <w:sz w:val="21"/>
                      <w:szCs w:val="21"/>
                      <w:lang w:val="en-US" w:eastAsia="zh-CN" w:bidi="ar"/>
                    </w:rPr>
                    <w:t>项目/工段</w:t>
                  </w:r>
                </w:p>
              </w:tc>
              <w:tc>
                <w:tcPr>
                  <w:tcW w:w="4400" w:type="dxa"/>
                  <w:vAlign w:val="center"/>
                </w:tcPr>
                <w:p w14:paraId="69C4B0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000000"/>
                      <w:kern w:val="0"/>
                      <w:sz w:val="21"/>
                      <w:szCs w:val="21"/>
                      <w:lang w:val="en-US" w:eastAsia="zh-CN" w:bidi="ar"/>
                    </w:rPr>
                    <w:t>依据来源</w:t>
                  </w:r>
                </w:p>
              </w:tc>
              <w:tc>
                <w:tcPr>
                  <w:tcW w:w="2851" w:type="dxa"/>
                  <w:vAlign w:val="center"/>
                </w:tcPr>
                <w:p w14:paraId="4CEB718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000000"/>
                      <w:kern w:val="0"/>
                      <w:sz w:val="21"/>
                      <w:szCs w:val="21"/>
                      <w:lang w:val="en-US" w:eastAsia="zh-CN" w:bidi="ar"/>
                    </w:rPr>
                    <w:t>系数值</w:t>
                  </w:r>
                </w:p>
              </w:tc>
            </w:tr>
            <w:tr w14:paraId="0655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7" w:type="dxa"/>
                  <w:vAlign w:val="center"/>
                </w:tcPr>
                <w:p w14:paraId="06E9D438">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拌料、上料</w:t>
                  </w:r>
                </w:p>
              </w:tc>
              <w:tc>
                <w:tcPr>
                  <w:tcW w:w="4400" w:type="dxa"/>
                  <w:shd w:val="clear" w:color="auto" w:fill="auto"/>
                  <w:vAlign w:val="center"/>
                </w:tcPr>
                <w:p w14:paraId="090186B3">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eastAsia="宋体" w:cs="Times New Roman"/>
                      <w:b w:val="0"/>
                      <w:bCs/>
                      <w:color w:val="auto"/>
                      <w:kern w:val="2"/>
                      <w:sz w:val="21"/>
                      <w:szCs w:val="21"/>
                      <w:lang w:val="en-US" w:eastAsia="zh-CN" w:bidi="ar-SA"/>
                    </w:rPr>
                    <w:t>《工业污染源产排污系数手册》（生态环境部，2010年版）中“塑料制品业—颗粒物料装卸”工艺单元</w:t>
                  </w:r>
                </w:p>
              </w:tc>
              <w:tc>
                <w:tcPr>
                  <w:tcW w:w="2851" w:type="dxa"/>
                  <w:shd w:val="clear" w:color="auto" w:fill="auto"/>
                  <w:vAlign w:val="center"/>
                </w:tcPr>
                <w:p w14:paraId="6BABF56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eastAsia="宋体" w:cs="Times New Roman"/>
                      <w:b w:val="0"/>
                      <w:bCs/>
                      <w:color w:val="auto"/>
                      <w:kern w:val="2"/>
                      <w:sz w:val="21"/>
                      <w:szCs w:val="21"/>
                      <w:lang w:val="en-US" w:eastAsia="zh-CN" w:bidi="ar-SA"/>
                    </w:rPr>
                    <w:t>工艺粉尘产生系数取0.05kg/t-物料</w:t>
                  </w:r>
                </w:p>
              </w:tc>
            </w:tr>
            <w:tr w14:paraId="46AE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7" w:type="dxa"/>
                  <w:vAlign w:val="center"/>
                </w:tcPr>
                <w:p w14:paraId="03953E4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default" w:ascii="Times New Roman" w:hAnsi="Times New Roman" w:eastAsia="宋体" w:cs="Times New Roman"/>
                      <w:b w:val="0"/>
                      <w:bCs/>
                      <w:color w:val="000000"/>
                      <w:kern w:val="0"/>
                      <w:sz w:val="21"/>
                      <w:szCs w:val="21"/>
                      <w:lang w:val="en-US" w:eastAsia="zh-CN" w:bidi="ar"/>
                    </w:rPr>
                    <w:t>熔融挤出</w:t>
                  </w:r>
                </w:p>
              </w:tc>
              <w:tc>
                <w:tcPr>
                  <w:tcW w:w="4400" w:type="dxa"/>
                  <w:vAlign w:val="center"/>
                </w:tcPr>
                <w:p w14:paraId="0B0C1AC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default" w:ascii="Times New Roman" w:hAnsi="Times New Roman" w:eastAsia="宋体" w:cs="Times New Roman"/>
                      <w:b w:val="0"/>
                      <w:bCs/>
                      <w:color w:val="000000"/>
                      <w:kern w:val="0"/>
                      <w:sz w:val="21"/>
                      <w:szCs w:val="21"/>
                      <w:lang w:val="en-US" w:eastAsia="zh-CN" w:bidi="ar"/>
                    </w:rPr>
                    <w:t>根据《排放源统计调查产排污核算方法和系数手册》292 塑料制品业系数手册中，2926 塑料包装箱及容器制造行业系数表中挥发性有机物的产污系数均为 2.7kg/t-产品</w:t>
                  </w:r>
                </w:p>
              </w:tc>
              <w:tc>
                <w:tcPr>
                  <w:tcW w:w="2851" w:type="dxa"/>
                  <w:vAlign w:val="center"/>
                </w:tcPr>
                <w:p w14:paraId="3C0A783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eastAsia" w:ascii="Times New Roman" w:hAnsi="Times New Roman" w:eastAsia="宋体" w:cs="Times New Roman"/>
                      <w:b w:val="0"/>
                      <w:bCs/>
                      <w:color w:val="auto"/>
                      <w:kern w:val="2"/>
                      <w:sz w:val="21"/>
                      <w:szCs w:val="21"/>
                      <w:lang w:val="en-US" w:eastAsia="zh-CN" w:bidi="ar-SA"/>
                    </w:rPr>
                    <w:t>有机废气（以非甲烷总烃计）</w:t>
                  </w:r>
                  <w:r>
                    <w:rPr>
                      <w:rFonts w:hint="default" w:ascii="Times New Roman" w:hAnsi="Times New Roman" w:eastAsia="宋体" w:cs="Times New Roman"/>
                      <w:b w:val="0"/>
                      <w:bCs/>
                      <w:color w:val="auto"/>
                      <w:kern w:val="2"/>
                      <w:sz w:val="21"/>
                      <w:szCs w:val="21"/>
                      <w:lang w:val="en-US" w:eastAsia="zh-CN" w:bidi="ar-SA"/>
                    </w:rPr>
                    <w:t>产生系数取</w:t>
                  </w:r>
                  <w:r>
                    <w:rPr>
                      <w:rFonts w:hint="default" w:ascii="Times New Roman" w:hAnsi="Times New Roman" w:eastAsia="宋体" w:cs="Times New Roman"/>
                      <w:b w:val="0"/>
                      <w:bCs/>
                      <w:color w:val="000000"/>
                      <w:kern w:val="0"/>
                      <w:sz w:val="21"/>
                      <w:szCs w:val="21"/>
                      <w:lang w:val="en-US" w:eastAsia="zh-CN" w:bidi="ar"/>
                    </w:rPr>
                    <w:t>2.7kg挥发性有机物/t-产品</w:t>
                  </w:r>
                </w:p>
              </w:tc>
            </w:tr>
            <w:tr w14:paraId="2806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7" w:type="dxa"/>
                  <w:vAlign w:val="center"/>
                </w:tcPr>
                <w:p w14:paraId="036DB3C3">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破碎</w:t>
                  </w:r>
                </w:p>
              </w:tc>
              <w:tc>
                <w:tcPr>
                  <w:tcW w:w="4400" w:type="dxa"/>
                  <w:vAlign w:val="center"/>
                </w:tcPr>
                <w:p w14:paraId="1F538D8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default" w:ascii="Times New Roman" w:hAnsi="Times New Roman" w:eastAsia="宋体" w:cs="Times New Roman"/>
                      <w:b w:val="0"/>
                      <w:bCs/>
                      <w:color w:val="000000"/>
                      <w:kern w:val="0"/>
                      <w:sz w:val="21"/>
                      <w:szCs w:val="21"/>
                      <w:lang w:val="en-US" w:eastAsia="zh-CN" w:bidi="ar"/>
                    </w:rPr>
                    <w:t>《排放源统计调查产排污核算方法和系数手册》-42 废气资源综合利用行业系数手册-4220 非金属废料和碎屑加工处理行业系数表-废PE/PP-干法破碎</w:t>
                  </w:r>
                </w:p>
              </w:tc>
              <w:tc>
                <w:tcPr>
                  <w:tcW w:w="2851" w:type="dxa"/>
                  <w:vAlign w:val="center"/>
                </w:tcPr>
                <w:p w14:paraId="47F29D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default" w:ascii="Times New Roman" w:hAnsi="Times New Roman" w:eastAsia="宋体" w:cs="Times New Roman"/>
                      <w:b w:val="0"/>
                      <w:bCs/>
                      <w:color w:val="auto"/>
                      <w:kern w:val="2"/>
                      <w:sz w:val="21"/>
                      <w:szCs w:val="21"/>
                      <w:lang w:val="en-US" w:eastAsia="zh-CN" w:bidi="ar-SA"/>
                    </w:rPr>
                    <w:t>工艺粉尘产生系数</w:t>
                  </w:r>
                  <w:r>
                    <w:rPr>
                      <w:rFonts w:hint="eastAsia" w:ascii="Times New Roman" w:hAnsi="Times New Roman" w:eastAsia="宋体" w:cs="Times New Roman"/>
                      <w:b w:val="0"/>
                      <w:bCs/>
                      <w:color w:val="auto"/>
                      <w:kern w:val="2"/>
                      <w:sz w:val="21"/>
                      <w:szCs w:val="21"/>
                      <w:lang w:val="en-US" w:eastAsia="zh-CN" w:bidi="ar-SA"/>
                    </w:rPr>
                    <w:t>取</w:t>
                  </w:r>
                  <w:r>
                    <w:rPr>
                      <w:rFonts w:hint="default" w:ascii="Times New Roman" w:hAnsi="Times New Roman" w:eastAsia="宋体" w:cs="Times New Roman"/>
                      <w:b w:val="0"/>
                      <w:bCs/>
                      <w:color w:val="000000"/>
                      <w:kern w:val="0"/>
                      <w:sz w:val="21"/>
                      <w:szCs w:val="21"/>
                      <w:lang w:val="en-US" w:eastAsia="zh-CN" w:bidi="ar"/>
                    </w:rPr>
                    <w:t>375g 颗粒物/t-原料</w:t>
                  </w:r>
                </w:p>
              </w:tc>
            </w:tr>
            <w:tr w14:paraId="013B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7" w:type="dxa"/>
                  <w:vAlign w:val="center"/>
                </w:tcPr>
                <w:p w14:paraId="36304DF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color w:val="auto"/>
                      <w:sz w:val="21"/>
                      <w:szCs w:val="21"/>
                      <w:vertAlign w:val="baseline"/>
                      <w:lang w:val="en-US" w:eastAsia="zh-CN"/>
                    </w:rPr>
                    <w:t>检验</w:t>
                  </w:r>
                </w:p>
              </w:tc>
              <w:tc>
                <w:tcPr>
                  <w:tcW w:w="4400" w:type="dxa"/>
                  <w:vAlign w:val="center"/>
                </w:tcPr>
                <w:p w14:paraId="0E139E88">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default" w:ascii="Times New Roman" w:hAnsi="Times New Roman" w:eastAsia="宋体" w:cs="Times New Roman"/>
                      <w:b w:val="0"/>
                      <w:bCs/>
                      <w:color w:val="auto"/>
                      <w:sz w:val="21"/>
                      <w:szCs w:val="21"/>
                      <w:lang w:val="en-US" w:eastAsia="zh-CN"/>
                    </w:rPr>
                    <w:t>《排放源统计调查产排污核算方法和系数手册》（2021）“2926 塑料包装箱及容器制造行业系数表--塑料包装箱及容器--树脂、助剂--注塑”</w:t>
                  </w:r>
                </w:p>
              </w:tc>
              <w:tc>
                <w:tcPr>
                  <w:tcW w:w="2851" w:type="dxa"/>
                  <w:vAlign w:val="center"/>
                </w:tcPr>
                <w:p w14:paraId="7EAF4B6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color w:val="auto"/>
                      <w:sz w:val="21"/>
                      <w:szCs w:val="21"/>
                      <w:vertAlign w:val="baseline"/>
                    </w:rPr>
                  </w:pPr>
                  <w:r>
                    <w:rPr>
                      <w:rFonts w:hint="default" w:ascii="Times New Roman" w:hAnsi="Times New Roman" w:eastAsia="宋体" w:cs="Times New Roman"/>
                      <w:b w:val="0"/>
                      <w:bCs/>
                      <w:color w:val="auto"/>
                      <w:sz w:val="21"/>
                      <w:szCs w:val="21"/>
                      <w:lang w:val="en-US" w:eastAsia="zh-CN"/>
                    </w:rPr>
                    <w:t>一般工业固废产污系数为2.50千克/吨-产品</w:t>
                  </w:r>
                </w:p>
              </w:tc>
            </w:tr>
          </w:tbl>
          <w:p w14:paraId="3A16B8DE">
            <w:pPr>
              <w:pStyle w:val="92"/>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Lines="0" w:afterAutospacing="0" w:line="360" w:lineRule="auto"/>
              <w:ind w:left="0" w:right="0"/>
              <w:textAlignment w:val="auto"/>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表2-</w:t>
            </w:r>
            <w:r>
              <w:rPr>
                <w:rFonts w:hint="eastAsia" w:ascii="Times New Roman" w:hAnsi="Times New Roman" w:eastAsia="宋体" w:cs="Times New Roman"/>
                <w:b/>
                <w:bCs/>
                <w:color w:val="000000"/>
                <w:kern w:val="0"/>
                <w:sz w:val="21"/>
                <w:szCs w:val="21"/>
                <w:lang w:val="en-US" w:eastAsia="zh-CN" w:bidi="ar"/>
              </w:rPr>
              <w:t>5</w:t>
            </w:r>
            <w:r>
              <w:rPr>
                <w:rFonts w:hint="default" w:ascii="Times New Roman" w:hAnsi="Times New Roman" w:eastAsia="宋体" w:cs="Times New Roman"/>
                <w:b/>
                <w:bCs/>
                <w:color w:val="000000"/>
                <w:kern w:val="0"/>
                <w:sz w:val="21"/>
                <w:szCs w:val="21"/>
                <w:lang w:val="en-US" w:eastAsia="zh-CN" w:bidi="ar"/>
              </w:rPr>
              <w:t xml:space="preserve">  物料平衡一览表</w:t>
            </w:r>
          </w:p>
          <w:tbl>
            <w:tblPr>
              <w:tblStyle w:val="37"/>
              <w:tblW w:w="8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771"/>
              <w:gridCol w:w="1282"/>
              <w:gridCol w:w="777"/>
              <w:gridCol w:w="1655"/>
              <w:gridCol w:w="1296"/>
              <w:gridCol w:w="1240"/>
            </w:tblGrid>
            <w:tr w14:paraId="55C0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22" w:type="dxa"/>
                  <w:gridSpan w:val="3"/>
                  <w:vAlign w:val="center"/>
                </w:tcPr>
                <w:p w14:paraId="4C3DB032">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caps w:val="0"/>
                      <w:smallCaps w:val="0"/>
                      <w:color w:val="auto"/>
                      <w:sz w:val="21"/>
                      <w:szCs w:val="21"/>
                      <w:highlight w:val="none"/>
                    </w:rPr>
                    <w:t>输入</w:t>
                  </w:r>
                </w:p>
              </w:tc>
              <w:tc>
                <w:tcPr>
                  <w:tcW w:w="4968" w:type="dxa"/>
                  <w:gridSpan w:val="4"/>
                  <w:vAlign w:val="center"/>
                </w:tcPr>
                <w:p w14:paraId="75A01F92">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caps w:val="0"/>
                      <w:smallCaps w:val="0"/>
                      <w:color w:val="auto"/>
                      <w:sz w:val="21"/>
                      <w:szCs w:val="21"/>
                      <w:highlight w:val="none"/>
                      <w:lang w:val="en-US" w:eastAsia="zh-CN"/>
                    </w:rPr>
                    <w:t>输出</w:t>
                  </w:r>
                </w:p>
              </w:tc>
            </w:tr>
            <w:tr w14:paraId="255D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12399D07">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vertAlign w:val="baseline"/>
                      <w:lang w:val="en-US" w:eastAsia="zh-CN" w:bidi="ar"/>
                    </w:rPr>
                    <w:t>序号</w:t>
                  </w:r>
                </w:p>
              </w:tc>
              <w:tc>
                <w:tcPr>
                  <w:tcW w:w="1771" w:type="dxa"/>
                  <w:vAlign w:val="center"/>
                </w:tcPr>
                <w:p w14:paraId="772FB87E">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vertAlign w:val="baseline"/>
                      <w:lang w:val="en-US" w:eastAsia="zh-CN" w:bidi="ar"/>
                    </w:rPr>
                    <w:t>名称</w:t>
                  </w:r>
                </w:p>
              </w:tc>
              <w:tc>
                <w:tcPr>
                  <w:tcW w:w="1282" w:type="dxa"/>
                  <w:vAlign w:val="center"/>
                </w:tcPr>
                <w:p w14:paraId="5A3046F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vertAlign w:val="baseline"/>
                      <w:lang w:val="en-US" w:eastAsia="zh-CN" w:bidi="ar"/>
                    </w:rPr>
                    <w:t>数量</w:t>
                  </w:r>
                  <w:r>
                    <w:rPr>
                      <w:rFonts w:hint="default" w:ascii="Times New Roman" w:hAnsi="Times New Roman" w:eastAsia="宋体" w:cs="Times New Roman"/>
                      <w:b/>
                      <w:caps w:val="0"/>
                      <w:smallCaps w:val="0"/>
                      <w:color w:val="auto"/>
                      <w:sz w:val="21"/>
                      <w:szCs w:val="21"/>
                      <w:highlight w:val="none"/>
                    </w:rPr>
                    <w:t>（t/a）</w:t>
                  </w:r>
                </w:p>
              </w:tc>
              <w:tc>
                <w:tcPr>
                  <w:tcW w:w="777" w:type="dxa"/>
                  <w:vAlign w:val="center"/>
                </w:tcPr>
                <w:p w14:paraId="4CAE4F97">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vertAlign w:val="baseline"/>
                      <w:lang w:val="en-US" w:eastAsia="zh-CN" w:bidi="ar"/>
                    </w:rPr>
                    <w:t>序号</w:t>
                  </w:r>
                </w:p>
              </w:tc>
              <w:tc>
                <w:tcPr>
                  <w:tcW w:w="2951" w:type="dxa"/>
                  <w:gridSpan w:val="2"/>
                  <w:vAlign w:val="center"/>
                </w:tcPr>
                <w:p w14:paraId="2259C4C6">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vertAlign w:val="baseline"/>
                      <w:lang w:val="en-US" w:eastAsia="zh-CN" w:bidi="ar"/>
                    </w:rPr>
                    <w:t>名称</w:t>
                  </w:r>
                </w:p>
              </w:tc>
              <w:tc>
                <w:tcPr>
                  <w:tcW w:w="1240" w:type="dxa"/>
                  <w:vAlign w:val="center"/>
                </w:tcPr>
                <w:p w14:paraId="558008E5">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caps w:val="0"/>
                      <w:smallCaps w:val="0"/>
                      <w:color w:val="auto"/>
                      <w:sz w:val="21"/>
                      <w:szCs w:val="21"/>
                      <w:highlight w:val="none"/>
                    </w:rPr>
                    <w:t>数量（t/a）</w:t>
                  </w:r>
                </w:p>
              </w:tc>
            </w:tr>
            <w:tr w14:paraId="3215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39F6D3ED">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1</w:t>
                  </w:r>
                </w:p>
              </w:tc>
              <w:tc>
                <w:tcPr>
                  <w:tcW w:w="1771" w:type="dxa"/>
                  <w:shd w:val="clear" w:color="auto" w:fill="auto"/>
                  <w:vAlign w:val="center"/>
                </w:tcPr>
                <w:p w14:paraId="7DBAE76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母料（</w:t>
                  </w:r>
                  <w:r>
                    <w:rPr>
                      <w:rFonts w:hint="default" w:ascii="Times New Roman" w:hAnsi="Times New Roman" w:eastAsia="宋体" w:cs="Times New Roman"/>
                      <w:color w:val="auto"/>
                      <w:sz w:val="21"/>
                      <w:szCs w:val="21"/>
                      <w:shd w:val="clear" w:color="auto" w:fill="FFFFFF"/>
                    </w:rPr>
                    <w:t>碳酸钙聚烯烃填充母粒</w:t>
                  </w:r>
                  <w:r>
                    <w:rPr>
                      <w:rFonts w:hint="default" w:ascii="Times New Roman" w:hAnsi="Times New Roman" w:eastAsia="宋体" w:cs="Times New Roman"/>
                      <w:color w:val="auto"/>
                      <w:sz w:val="21"/>
                      <w:szCs w:val="21"/>
                      <w:lang w:val="en-US" w:eastAsia="zh-CN"/>
                    </w:rPr>
                    <w:t>）</w:t>
                  </w:r>
                </w:p>
              </w:tc>
              <w:tc>
                <w:tcPr>
                  <w:tcW w:w="1282" w:type="dxa"/>
                  <w:shd w:val="clear" w:color="auto" w:fill="auto"/>
                  <w:vAlign w:val="center"/>
                </w:tcPr>
                <w:p w14:paraId="4A81C2AB">
                  <w:pPr>
                    <w:pStyle w:val="122"/>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bCs/>
                      <w:caps w:val="0"/>
                      <w:smallCaps w:val="0"/>
                      <w:color w:val="auto"/>
                      <w:kern w:val="2"/>
                      <w:sz w:val="21"/>
                      <w:szCs w:val="21"/>
                      <w:highlight w:val="none"/>
                      <w:lang w:val="en-US" w:eastAsia="zh-CN" w:bidi="ar-SA"/>
                    </w:rPr>
                    <w:t>1959.9071</w:t>
                  </w:r>
                </w:p>
              </w:tc>
              <w:tc>
                <w:tcPr>
                  <w:tcW w:w="777" w:type="dxa"/>
                  <w:vAlign w:val="center"/>
                </w:tcPr>
                <w:p w14:paraId="60833FA6">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1</w:t>
                  </w:r>
                </w:p>
              </w:tc>
              <w:tc>
                <w:tcPr>
                  <w:tcW w:w="1655" w:type="dxa"/>
                  <w:vAlign w:val="center"/>
                </w:tcPr>
                <w:p w14:paraId="09DAEE5A">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产品</w:t>
                  </w:r>
                </w:p>
              </w:tc>
              <w:tc>
                <w:tcPr>
                  <w:tcW w:w="1296" w:type="dxa"/>
                  <w:shd w:val="clear" w:color="auto" w:fill="auto"/>
                  <w:vAlign w:val="center"/>
                </w:tcPr>
                <w:p w14:paraId="40BF574C">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eastAsia="宋体" w:cs="Times New Roman"/>
                      <w:bCs/>
                      <w:caps w:val="0"/>
                      <w:smallCaps w:val="0"/>
                      <w:color w:val="auto"/>
                      <w:sz w:val="21"/>
                      <w:szCs w:val="21"/>
                      <w:highlight w:val="none"/>
                      <w:lang w:val="en-US" w:eastAsia="zh-CN"/>
                    </w:rPr>
                    <w:t>蓝莓</w:t>
                  </w:r>
                  <w:r>
                    <w:rPr>
                      <w:rFonts w:hint="eastAsia" w:cs="Times New Roman"/>
                      <w:bCs/>
                      <w:caps w:val="0"/>
                      <w:smallCaps w:val="0"/>
                      <w:color w:val="auto"/>
                      <w:sz w:val="21"/>
                      <w:szCs w:val="21"/>
                      <w:highlight w:val="none"/>
                      <w:lang w:val="en-US" w:eastAsia="zh-CN"/>
                    </w:rPr>
                    <w:t>筐</w:t>
                  </w:r>
                  <w:r>
                    <w:rPr>
                      <w:rFonts w:hint="default" w:ascii="Times New Roman" w:hAnsi="Times New Roman" w:eastAsia="宋体" w:cs="Times New Roman"/>
                      <w:bCs/>
                      <w:caps w:val="0"/>
                      <w:smallCaps w:val="0"/>
                      <w:color w:val="auto"/>
                      <w:sz w:val="21"/>
                      <w:szCs w:val="21"/>
                      <w:highlight w:val="none"/>
                      <w:lang w:val="en-US" w:eastAsia="zh-CN"/>
                    </w:rPr>
                    <w:t>、番茄</w:t>
                  </w:r>
                  <w:r>
                    <w:rPr>
                      <w:rFonts w:hint="eastAsia" w:cs="Times New Roman"/>
                      <w:bCs/>
                      <w:caps w:val="0"/>
                      <w:smallCaps w:val="0"/>
                      <w:color w:val="auto"/>
                      <w:sz w:val="21"/>
                      <w:szCs w:val="21"/>
                      <w:highlight w:val="none"/>
                      <w:lang w:val="en-US" w:eastAsia="zh-CN"/>
                    </w:rPr>
                    <w:t>筐</w:t>
                  </w:r>
                </w:p>
              </w:tc>
              <w:tc>
                <w:tcPr>
                  <w:tcW w:w="1240" w:type="dxa"/>
                  <w:shd w:val="clear" w:color="auto" w:fill="auto"/>
                  <w:vAlign w:val="center"/>
                </w:tcPr>
                <w:p w14:paraId="313187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cs="Times New Roman"/>
                      <w:color w:val="auto"/>
                      <w:sz w:val="21"/>
                      <w:szCs w:val="21"/>
                      <w:highlight w:val="none"/>
                      <w:lang w:val="en-US" w:eastAsia="zh-CN"/>
                    </w:rPr>
                    <w:t>2606</w:t>
                  </w:r>
                </w:p>
              </w:tc>
            </w:tr>
            <w:tr w14:paraId="46D6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shd w:val="clear" w:color="auto" w:fill="auto"/>
                  <w:vAlign w:val="center"/>
                </w:tcPr>
                <w:p w14:paraId="0A9670BE">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2</w:t>
                  </w:r>
                </w:p>
              </w:tc>
              <w:tc>
                <w:tcPr>
                  <w:tcW w:w="1771" w:type="dxa"/>
                  <w:shd w:val="clear" w:color="auto" w:fill="auto"/>
                  <w:vAlign w:val="center"/>
                </w:tcPr>
                <w:p w14:paraId="63ED783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颗粒料（pp）</w:t>
                  </w:r>
                </w:p>
              </w:tc>
              <w:tc>
                <w:tcPr>
                  <w:tcW w:w="1282" w:type="dxa"/>
                  <w:shd w:val="clear" w:color="auto" w:fill="auto"/>
                  <w:vAlign w:val="center"/>
                </w:tcPr>
                <w:p w14:paraId="60AC911A">
                  <w:pPr>
                    <w:pStyle w:val="122"/>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bCs/>
                      <w:caps w:val="0"/>
                      <w:smallCaps w:val="0"/>
                      <w:color w:val="auto"/>
                      <w:kern w:val="2"/>
                      <w:sz w:val="21"/>
                      <w:szCs w:val="21"/>
                      <w:highlight w:val="none"/>
                      <w:lang w:val="en-US" w:eastAsia="zh-CN" w:bidi="ar-SA"/>
                    </w:rPr>
                    <w:t>653.3023</w:t>
                  </w:r>
                </w:p>
              </w:tc>
              <w:tc>
                <w:tcPr>
                  <w:tcW w:w="777" w:type="dxa"/>
                  <w:vAlign w:val="center"/>
                </w:tcPr>
                <w:p w14:paraId="5EBE46AA">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2</w:t>
                  </w:r>
                </w:p>
              </w:tc>
              <w:tc>
                <w:tcPr>
                  <w:tcW w:w="1655" w:type="dxa"/>
                  <w:vAlign w:val="center"/>
                </w:tcPr>
                <w:p w14:paraId="15111848">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拌料、上料工序</w:t>
                  </w:r>
                  <w:r>
                    <w:rPr>
                      <w:rFonts w:hint="eastAsia" w:cs="Times New Roman"/>
                      <w:b w:val="0"/>
                      <w:bCs w:val="0"/>
                      <w:color w:val="auto"/>
                      <w:kern w:val="0"/>
                      <w:sz w:val="21"/>
                      <w:szCs w:val="21"/>
                      <w:vertAlign w:val="baseline"/>
                      <w:lang w:val="en-US" w:eastAsia="zh-CN" w:bidi="ar"/>
                    </w:rPr>
                    <w:t>排放</w:t>
                  </w:r>
                  <w:r>
                    <w:rPr>
                      <w:rFonts w:hint="default" w:ascii="Times New Roman" w:hAnsi="Times New Roman" w:eastAsia="宋体" w:cs="Times New Roman"/>
                      <w:b w:val="0"/>
                      <w:bCs w:val="0"/>
                      <w:color w:val="auto"/>
                      <w:kern w:val="0"/>
                      <w:sz w:val="21"/>
                      <w:szCs w:val="21"/>
                      <w:vertAlign w:val="baseline"/>
                      <w:lang w:val="en-US" w:eastAsia="zh-CN" w:bidi="ar"/>
                    </w:rPr>
                    <w:t>的粉尘</w:t>
                  </w:r>
                </w:p>
              </w:tc>
              <w:tc>
                <w:tcPr>
                  <w:tcW w:w="1296" w:type="dxa"/>
                  <w:shd w:val="clear" w:color="auto" w:fill="auto"/>
                  <w:vAlign w:val="center"/>
                </w:tcPr>
                <w:p w14:paraId="30833D3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bCs/>
                      <w:caps w:val="0"/>
                      <w:smallCaps w:val="0"/>
                      <w:color w:val="auto"/>
                      <w:sz w:val="21"/>
                      <w:szCs w:val="21"/>
                      <w:highlight w:val="none"/>
                    </w:rPr>
                    <w:t>无组织排放</w:t>
                  </w:r>
                </w:p>
              </w:tc>
              <w:tc>
                <w:tcPr>
                  <w:tcW w:w="1240" w:type="dxa"/>
                  <w:shd w:val="clear" w:color="auto" w:fill="auto"/>
                  <w:vAlign w:val="center"/>
                </w:tcPr>
                <w:p w14:paraId="795043E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0.0</w:t>
                  </w:r>
                  <w:r>
                    <w:rPr>
                      <w:rFonts w:hint="eastAsia" w:cs="Times New Roman"/>
                      <w:color w:val="auto"/>
                      <w:kern w:val="0"/>
                      <w:sz w:val="21"/>
                      <w:szCs w:val="21"/>
                      <w:highlight w:val="none"/>
                      <w:lang w:val="en-US" w:eastAsia="zh-CN" w:bidi="ar"/>
                    </w:rPr>
                    <w:t>521</w:t>
                  </w:r>
                </w:p>
              </w:tc>
            </w:tr>
            <w:tr w14:paraId="56F3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58F97334">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1771" w:type="dxa"/>
                  <w:shd w:val="clear" w:color="auto" w:fill="auto"/>
                  <w:vAlign w:val="center"/>
                </w:tcPr>
                <w:p w14:paraId="3305B45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p>
              </w:tc>
              <w:tc>
                <w:tcPr>
                  <w:tcW w:w="1282" w:type="dxa"/>
                  <w:shd w:val="clear" w:color="auto" w:fill="auto"/>
                  <w:vAlign w:val="center"/>
                </w:tcPr>
                <w:p w14:paraId="67B63260">
                  <w:pPr>
                    <w:pStyle w:val="122"/>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rPr>
                      <w:rFonts w:hint="default" w:ascii="Times New Roman" w:hAnsi="Times New Roman" w:eastAsia="宋体" w:cs="Times New Roman"/>
                      <w:bCs/>
                      <w:caps w:val="0"/>
                      <w:smallCaps w:val="0"/>
                      <w:color w:val="auto"/>
                      <w:kern w:val="2"/>
                      <w:sz w:val="21"/>
                      <w:szCs w:val="21"/>
                      <w:highlight w:val="none"/>
                      <w:lang w:val="en-US" w:eastAsia="zh-CN" w:bidi="ar-SA"/>
                    </w:rPr>
                  </w:pPr>
                </w:p>
              </w:tc>
              <w:tc>
                <w:tcPr>
                  <w:tcW w:w="777" w:type="dxa"/>
                  <w:vMerge w:val="restart"/>
                  <w:shd w:val="clear" w:color="auto" w:fill="auto"/>
                  <w:vAlign w:val="center"/>
                </w:tcPr>
                <w:p w14:paraId="79A2D9FA">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3</w:t>
                  </w:r>
                </w:p>
              </w:tc>
              <w:tc>
                <w:tcPr>
                  <w:tcW w:w="1655" w:type="dxa"/>
                  <w:vMerge w:val="restart"/>
                  <w:vAlign w:val="center"/>
                </w:tcPr>
                <w:p w14:paraId="193942C7">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aps w:val="0"/>
                      <w:smallCaps w:val="0"/>
                      <w:color w:val="auto"/>
                      <w:sz w:val="21"/>
                      <w:szCs w:val="21"/>
                      <w:highlight w:val="none"/>
                    </w:rPr>
                    <w:t>热熔注塑过程产生的有机废气</w:t>
                  </w:r>
                </w:p>
              </w:tc>
              <w:tc>
                <w:tcPr>
                  <w:tcW w:w="1296" w:type="dxa"/>
                  <w:shd w:val="clear" w:color="auto" w:fill="auto"/>
                  <w:vAlign w:val="center"/>
                </w:tcPr>
                <w:p w14:paraId="6D20041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bCs/>
                      <w:caps w:val="0"/>
                      <w:smallCaps w:val="0"/>
                      <w:color w:val="auto"/>
                      <w:sz w:val="21"/>
                      <w:szCs w:val="21"/>
                      <w:highlight w:val="none"/>
                    </w:rPr>
                    <w:t>有组织排放</w:t>
                  </w:r>
                </w:p>
              </w:tc>
              <w:tc>
                <w:tcPr>
                  <w:tcW w:w="1240" w:type="dxa"/>
                  <w:shd w:val="clear" w:color="auto" w:fill="auto"/>
                  <w:vAlign w:val="center"/>
                </w:tcPr>
                <w:p w14:paraId="214EB0D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color w:val="auto"/>
                      <w:kern w:val="0"/>
                      <w:sz w:val="21"/>
                      <w:szCs w:val="21"/>
                      <w:highlight w:val="none"/>
                      <w:lang w:val="en-US" w:eastAsia="zh-CN" w:bidi="ar"/>
                    </w:rPr>
                    <w:t>2.5858</w:t>
                  </w:r>
                </w:p>
              </w:tc>
            </w:tr>
            <w:tr w14:paraId="6F1E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0171E730">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771" w:type="dxa"/>
                  <w:vAlign w:val="center"/>
                </w:tcPr>
                <w:p w14:paraId="39A183EB">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282" w:type="dxa"/>
                  <w:vAlign w:val="center"/>
                </w:tcPr>
                <w:p w14:paraId="6A1D3E48">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777" w:type="dxa"/>
                  <w:vMerge w:val="continue"/>
                  <w:shd w:val="clear" w:color="auto" w:fill="auto"/>
                  <w:vAlign w:val="center"/>
                </w:tcPr>
                <w:p w14:paraId="68D33CA5">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1655" w:type="dxa"/>
                  <w:vMerge w:val="continue"/>
                  <w:vAlign w:val="center"/>
                </w:tcPr>
                <w:p w14:paraId="6A966B81">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296" w:type="dxa"/>
                  <w:shd w:val="clear" w:color="auto" w:fill="auto"/>
                  <w:vAlign w:val="center"/>
                </w:tcPr>
                <w:p w14:paraId="23D91B7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bCs/>
                      <w:caps w:val="0"/>
                      <w:smallCaps w:val="0"/>
                      <w:color w:val="auto"/>
                      <w:sz w:val="21"/>
                      <w:szCs w:val="21"/>
                      <w:highlight w:val="none"/>
                    </w:rPr>
                    <w:t>无组织排放</w:t>
                  </w:r>
                </w:p>
              </w:tc>
              <w:tc>
                <w:tcPr>
                  <w:tcW w:w="1240" w:type="dxa"/>
                  <w:shd w:val="clear" w:color="auto" w:fill="auto"/>
                  <w:vAlign w:val="center"/>
                </w:tcPr>
                <w:p w14:paraId="0937F63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color w:val="auto"/>
                      <w:kern w:val="0"/>
                      <w:sz w:val="21"/>
                      <w:szCs w:val="21"/>
                      <w:highlight w:val="none"/>
                      <w:lang w:val="en-US" w:eastAsia="zh-CN" w:bidi="ar"/>
                    </w:rPr>
                    <w:t>1.7591</w:t>
                  </w:r>
                </w:p>
              </w:tc>
            </w:tr>
            <w:tr w14:paraId="36F2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595BB9F0">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771" w:type="dxa"/>
                  <w:vAlign w:val="center"/>
                </w:tcPr>
                <w:p w14:paraId="1CD004A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282" w:type="dxa"/>
                  <w:vAlign w:val="center"/>
                </w:tcPr>
                <w:p w14:paraId="26A17B53">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777" w:type="dxa"/>
                  <w:vMerge w:val="continue"/>
                  <w:shd w:val="clear" w:color="auto" w:fill="auto"/>
                  <w:vAlign w:val="center"/>
                </w:tcPr>
                <w:p w14:paraId="058FBBD7">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p>
              </w:tc>
              <w:tc>
                <w:tcPr>
                  <w:tcW w:w="1655" w:type="dxa"/>
                  <w:vMerge w:val="continue"/>
                  <w:vAlign w:val="center"/>
                </w:tcPr>
                <w:p w14:paraId="759C5C61">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296" w:type="dxa"/>
                  <w:shd w:val="clear" w:color="auto" w:fill="auto"/>
                  <w:vAlign w:val="center"/>
                </w:tcPr>
                <w:p w14:paraId="62CDCF5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bCs/>
                      <w:caps w:val="0"/>
                      <w:smallCaps w:val="0"/>
                      <w:color w:val="auto"/>
                      <w:sz w:val="21"/>
                      <w:szCs w:val="21"/>
                      <w:highlight w:val="none"/>
                    </w:rPr>
                    <w:t>活性炭吸附去除</w:t>
                  </w:r>
                </w:p>
              </w:tc>
              <w:tc>
                <w:tcPr>
                  <w:tcW w:w="1240" w:type="dxa"/>
                  <w:shd w:val="clear" w:color="auto" w:fill="auto"/>
                  <w:vAlign w:val="center"/>
                </w:tcPr>
                <w:p w14:paraId="24BBF05E">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color w:val="auto"/>
                      <w:kern w:val="0"/>
                      <w:sz w:val="21"/>
                      <w:szCs w:val="21"/>
                      <w:highlight w:val="none"/>
                      <w:lang w:val="en-US" w:eastAsia="zh-CN" w:bidi="ar"/>
                    </w:rPr>
                    <w:t>2.6914</w:t>
                  </w:r>
                </w:p>
              </w:tc>
            </w:tr>
            <w:tr w14:paraId="4D26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755FE2B7">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771" w:type="dxa"/>
                  <w:vAlign w:val="center"/>
                </w:tcPr>
                <w:p w14:paraId="19E789B2">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282" w:type="dxa"/>
                  <w:vAlign w:val="center"/>
                </w:tcPr>
                <w:p w14:paraId="01772742">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777" w:type="dxa"/>
                  <w:shd w:val="clear" w:color="auto" w:fill="auto"/>
                  <w:vAlign w:val="center"/>
                </w:tcPr>
                <w:p w14:paraId="33E5A5BA">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4</w:t>
                  </w:r>
                </w:p>
              </w:tc>
              <w:tc>
                <w:tcPr>
                  <w:tcW w:w="1655" w:type="dxa"/>
                  <w:shd w:val="clear" w:color="auto" w:fill="auto"/>
                  <w:vAlign w:val="center"/>
                </w:tcPr>
                <w:p w14:paraId="235B1F2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eastAsia="宋体" w:cs="Times New Roman"/>
                      <w:caps w:val="0"/>
                      <w:smallCaps w:val="0"/>
                      <w:color w:val="auto"/>
                      <w:sz w:val="21"/>
                      <w:szCs w:val="21"/>
                      <w:highlight w:val="none"/>
                      <w:lang w:val="en-US" w:eastAsia="zh-CN"/>
                    </w:rPr>
                    <w:t>破碎工段</w:t>
                  </w:r>
                  <w:r>
                    <w:rPr>
                      <w:rFonts w:hint="eastAsia" w:cs="Times New Roman"/>
                      <w:caps w:val="0"/>
                      <w:smallCaps w:val="0"/>
                      <w:color w:val="auto"/>
                      <w:sz w:val="21"/>
                      <w:szCs w:val="21"/>
                      <w:highlight w:val="none"/>
                      <w:lang w:val="en-US" w:eastAsia="zh-CN"/>
                    </w:rPr>
                    <w:t>排放</w:t>
                  </w:r>
                  <w:r>
                    <w:rPr>
                      <w:rFonts w:hint="default" w:ascii="Times New Roman" w:hAnsi="Times New Roman" w:eastAsia="宋体" w:cs="Times New Roman"/>
                      <w:caps w:val="0"/>
                      <w:smallCaps w:val="0"/>
                      <w:color w:val="auto"/>
                      <w:sz w:val="21"/>
                      <w:szCs w:val="21"/>
                      <w:highlight w:val="none"/>
                      <w:lang w:val="en-US" w:eastAsia="zh-CN"/>
                    </w:rPr>
                    <w:t>的粉尘</w:t>
                  </w:r>
                </w:p>
              </w:tc>
              <w:tc>
                <w:tcPr>
                  <w:tcW w:w="1296" w:type="dxa"/>
                  <w:shd w:val="clear" w:color="auto" w:fill="auto"/>
                  <w:vAlign w:val="center"/>
                </w:tcPr>
                <w:p w14:paraId="51A04DA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bCs/>
                      <w:caps w:val="0"/>
                      <w:smallCaps w:val="0"/>
                      <w:color w:val="auto"/>
                      <w:sz w:val="21"/>
                      <w:szCs w:val="21"/>
                      <w:highlight w:val="none"/>
                    </w:rPr>
                    <w:t>无组织排放</w:t>
                  </w:r>
                </w:p>
              </w:tc>
              <w:tc>
                <w:tcPr>
                  <w:tcW w:w="1240" w:type="dxa"/>
                  <w:shd w:val="clear" w:color="auto" w:fill="auto"/>
                  <w:vAlign w:val="center"/>
                </w:tcPr>
                <w:p w14:paraId="68C27E5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10</w:t>
                  </w:r>
                </w:p>
              </w:tc>
            </w:tr>
            <w:tr w14:paraId="1D72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9" w:type="dxa"/>
                  <w:vAlign w:val="center"/>
                </w:tcPr>
                <w:p w14:paraId="5093D7B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771" w:type="dxa"/>
                  <w:vAlign w:val="center"/>
                </w:tcPr>
                <w:p w14:paraId="63BCC915">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1282" w:type="dxa"/>
                  <w:vAlign w:val="center"/>
                </w:tcPr>
                <w:p w14:paraId="65004A4E">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p>
              </w:tc>
              <w:tc>
                <w:tcPr>
                  <w:tcW w:w="777" w:type="dxa"/>
                  <w:vAlign w:val="center"/>
                </w:tcPr>
                <w:p w14:paraId="776E2ECD">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5</w:t>
                  </w:r>
                </w:p>
              </w:tc>
              <w:tc>
                <w:tcPr>
                  <w:tcW w:w="1655" w:type="dxa"/>
                  <w:shd w:val="clear" w:color="auto" w:fill="auto"/>
                  <w:vAlign w:val="center"/>
                </w:tcPr>
                <w:p w14:paraId="77AFAD9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cs="Times New Roman"/>
                      <w:caps w:val="0"/>
                      <w:smallCaps w:val="0"/>
                      <w:color w:val="auto"/>
                      <w:sz w:val="21"/>
                      <w:szCs w:val="21"/>
                      <w:highlight w:val="none"/>
                      <w:lang w:val="en-US" w:eastAsia="zh-CN"/>
                    </w:rPr>
                    <w:t>厂房沉降粉尘</w:t>
                  </w:r>
                </w:p>
              </w:tc>
              <w:tc>
                <w:tcPr>
                  <w:tcW w:w="1296" w:type="dxa"/>
                  <w:shd w:val="clear" w:color="auto" w:fill="auto"/>
                  <w:vAlign w:val="center"/>
                </w:tcPr>
                <w:p w14:paraId="6DCC63E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bCs/>
                      <w:caps w:val="0"/>
                      <w:smallCaps w:val="0"/>
                      <w:color w:val="auto"/>
                      <w:sz w:val="21"/>
                      <w:szCs w:val="21"/>
                      <w:highlight w:val="none"/>
                      <w:lang w:val="en-US" w:eastAsia="zh-CN"/>
                    </w:rPr>
                    <w:t>环卫部门清运</w:t>
                  </w:r>
                </w:p>
              </w:tc>
              <w:tc>
                <w:tcPr>
                  <w:tcW w:w="1240" w:type="dxa"/>
                  <w:shd w:val="clear" w:color="auto" w:fill="auto"/>
                  <w:vAlign w:val="center"/>
                </w:tcPr>
                <w:p w14:paraId="69438C4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kern w:val="2"/>
                      <w:sz w:val="21"/>
                      <w:szCs w:val="21"/>
                      <w:highlight w:val="none"/>
                      <w:lang w:val="en-US" w:eastAsia="zh-CN" w:bidi="ar-SA"/>
                    </w:rPr>
                  </w:pPr>
                  <w:r>
                    <w:rPr>
                      <w:rFonts w:hint="eastAsia" w:cs="Times New Roman"/>
                      <w:bCs/>
                      <w:caps w:val="0"/>
                      <w:smallCaps w:val="0"/>
                      <w:color w:val="auto"/>
                      <w:sz w:val="21"/>
                      <w:szCs w:val="21"/>
                      <w:highlight w:val="none"/>
                      <w:lang w:val="en-US" w:eastAsia="zh-CN"/>
                    </w:rPr>
                    <w:t>0.12</w:t>
                  </w:r>
                </w:p>
              </w:tc>
            </w:tr>
            <w:tr w14:paraId="76FD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40" w:type="dxa"/>
                  <w:gridSpan w:val="2"/>
                  <w:vAlign w:val="center"/>
                </w:tcPr>
                <w:p w14:paraId="56DE24EF">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r>
                    <w:rPr>
                      <w:rFonts w:hint="default" w:ascii="Times New Roman" w:hAnsi="Times New Roman" w:eastAsia="宋体" w:cs="Times New Roman"/>
                      <w:caps w:val="0"/>
                      <w:smallCaps w:val="0"/>
                      <w:color w:val="auto"/>
                      <w:sz w:val="21"/>
                      <w:szCs w:val="21"/>
                      <w:highlight w:val="none"/>
                      <w:lang w:val="en-US" w:eastAsia="zh-CN"/>
                    </w:rPr>
                    <w:t>合计</w:t>
                  </w:r>
                </w:p>
              </w:tc>
              <w:tc>
                <w:tcPr>
                  <w:tcW w:w="1282" w:type="dxa"/>
                  <w:vAlign w:val="center"/>
                </w:tcPr>
                <w:p w14:paraId="6C8EF330">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auto"/>
                    <w:rPr>
                      <w:rFonts w:hint="default" w:ascii="Times New Roman" w:hAnsi="Times New Roman" w:eastAsia="宋体" w:cs="Times New Roman"/>
                      <w:b/>
                      <w:bCs/>
                      <w:color w:val="auto"/>
                      <w:kern w:val="0"/>
                      <w:sz w:val="21"/>
                      <w:szCs w:val="21"/>
                      <w:vertAlign w:val="baseline"/>
                      <w:lang w:val="en-US" w:eastAsia="zh-CN" w:bidi="ar"/>
                    </w:rPr>
                  </w:pPr>
                  <w:r>
                    <w:rPr>
                      <w:rFonts w:hint="eastAsia" w:cs="Times New Roman"/>
                      <w:b w:val="0"/>
                      <w:bCs/>
                      <w:caps w:val="0"/>
                      <w:smallCaps w:val="0"/>
                      <w:color w:val="auto"/>
                      <w:sz w:val="21"/>
                      <w:szCs w:val="21"/>
                      <w:highlight w:val="none"/>
                      <w:lang w:val="en-US" w:eastAsia="zh-CN"/>
                    </w:rPr>
                    <w:t>2613.2094</w:t>
                  </w:r>
                </w:p>
              </w:tc>
              <w:tc>
                <w:tcPr>
                  <w:tcW w:w="3728" w:type="dxa"/>
                  <w:gridSpan w:val="3"/>
                  <w:vAlign w:val="center"/>
                </w:tcPr>
                <w:p w14:paraId="75DDD8D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合计</w:t>
                  </w:r>
                </w:p>
              </w:tc>
              <w:tc>
                <w:tcPr>
                  <w:tcW w:w="1240" w:type="dxa"/>
                  <w:shd w:val="clear" w:color="auto" w:fill="auto"/>
                  <w:vAlign w:val="center"/>
                </w:tcPr>
                <w:p w14:paraId="31FC8AC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bCs/>
                      <w:caps w:val="0"/>
                      <w:smallCaps w:val="0"/>
                      <w:color w:val="auto"/>
                      <w:sz w:val="21"/>
                      <w:szCs w:val="21"/>
                      <w:highlight w:val="none"/>
                      <w:lang w:val="en-US" w:eastAsia="zh-CN"/>
                    </w:rPr>
                  </w:pPr>
                  <w:r>
                    <w:rPr>
                      <w:rFonts w:hint="eastAsia" w:cs="Times New Roman"/>
                      <w:i w:val="0"/>
                      <w:iCs w:val="0"/>
                      <w:caps w:val="0"/>
                      <w:smallCaps w:val="0"/>
                      <w:color w:val="auto"/>
                      <w:kern w:val="0"/>
                      <w:sz w:val="21"/>
                      <w:szCs w:val="21"/>
                      <w:u w:val="none"/>
                      <w:lang w:val="en-US" w:eastAsia="zh-CN" w:bidi="ar"/>
                    </w:rPr>
                    <w:t>2613.2094</w:t>
                  </w:r>
                </w:p>
              </w:tc>
            </w:tr>
          </w:tbl>
          <w:p w14:paraId="71737E0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eastAsia" w:cs="Times New Roman"/>
                <w:b/>
                <w:bCs/>
                <w:color w:val="auto"/>
                <w:sz w:val="24"/>
                <w:lang w:val="en-US" w:eastAsia="zh-CN"/>
              </w:rPr>
              <w:t>10</w:t>
            </w:r>
            <w:r>
              <w:rPr>
                <w:rFonts w:hint="default" w:ascii="Times New Roman" w:hAnsi="Times New Roman" w:eastAsia="宋体" w:cs="Times New Roman"/>
                <w:b/>
                <w:bCs/>
                <w:color w:val="auto"/>
                <w:sz w:val="24"/>
              </w:rPr>
              <w:t>、主要生产设备</w:t>
            </w:r>
          </w:p>
          <w:p w14:paraId="3E6BC80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项目主要设备清单见下表。</w:t>
            </w:r>
          </w:p>
          <w:p w14:paraId="77CEA091">
            <w:pPr>
              <w:pStyle w:val="92"/>
              <w:keepNext w:val="0"/>
              <w:keepLines w:val="0"/>
              <w:suppressLineNumbers w:val="0"/>
              <w:spacing w:before="4" w:beforeAutospacing="0" w:after="4" w:afterAutospacing="0" w:line="36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rPr>
              <w:t xml:space="preserve">  项目主要设备一览表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2462"/>
              <w:gridCol w:w="1677"/>
              <w:gridCol w:w="1250"/>
              <w:gridCol w:w="850"/>
              <w:gridCol w:w="1164"/>
            </w:tblGrid>
            <w:tr w14:paraId="4D6B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6E14F4F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序号</w:t>
                  </w:r>
                </w:p>
              </w:tc>
              <w:tc>
                <w:tcPr>
                  <w:tcW w:w="1428" w:type="pct"/>
                  <w:noWrap w:val="0"/>
                  <w:vAlign w:val="center"/>
                </w:tcPr>
                <w:p w14:paraId="2DB1DA1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设备名称</w:t>
                  </w:r>
                </w:p>
              </w:tc>
              <w:tc>
                <w:tcPr>
                  <w:tcW w:w="973" w:type="pct"/>
                  <w:noWrap w:val="0"/>
                  <w:vAlign w:val="center"/>
                </w:tcPr>
                <w:p w14:paraId="5A0FDFC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bCs/>
                      <w:color w:val="auto"/>
                    </w:rPr>
                    <w:t>规格/型号/功率</w:t>
                  </w:r>
                </w:p>
              </w:tc>
              <w:tc>
                <w:tcPr>
                  <w:tcW w:w="725" w:type="pct"/>
                  <w:noWrap w:val="0"/>
                  <w:vAlign w:val="center"/>
                </w:tcPr>
                <w:p w14:paraId="2CBB742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数量</w:t>
                  </w:r>
                </w:p>
              </w:tc>
              <w:tc>
                <w:tcPr>
                  <w:tcW w:w="493" w:type="pct"/>
                  <w:noWrap w:val="0"/>
                  <w:vAlign w:val="center"/>
                </w:tcPr>
                <w:p w14:paraId="4586A83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单位</w:t>
                  </w:r>
                </w:p>
              </w:tc>
              <w:tc>
                <w:tcPr>
                  <w:tcW w:w="675" w:type="pct"/>
                  <w:noWrap w:val="0"/>
                  <w:vAlign w:val="center"/>
                </w:tcPr>
                <w:p w14:paraId="28DA387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default" w:ascii="Times New Roman" w:hAnsi="Times New Roman" w:eastAsia="宋体" w:cs="Times New Roman"/>
                      <w:b/>
                      <w:color w:val="auto"/>
                      <w:szCs w:val="21"/>
                      <w:lang w:val="en-US" w:eastAsia="zh-CN"/>
                    </w:rPr>
                    <w:t>备注</w:t>
                  </w:r>
                </w:p>
              </w:tc>
            </w:tr>
            <w:tr w14:paraId="1C3C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32EB49A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1</w:t>
                  </w:r>
                </w:p>
              </w:tc>
              <w:tc>
                <w:tcPr>
                  <w:tcW w:w="1428" w:type="pct"/>
                  <w:noWrap w:val="0"/>
                  <w:vAlign w:val="center"/>
                </w:tcPr>
                <w:p w14:paraId="166967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拌料机</w:t>
                  </w:r>
                </w:p>
              </w:tc>
              <w:tc>
                <w:tcPr>
                  <w:tcW w:w="973" w:type="pct"/>
                  <w:noWrap w:val="0"/>
                  <w:vAlign w:val="center"/>
                </w:tcPr>
                <w:p w14:paraId="23642F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KY-2T</w:t>
                  </w:r>
                </w:p>
              </w:tc>
              <w:tc>
                <w:tcPr>
                  <w:tcW w:w="725" w:type="pct"/>
                  <w:noWrap w:val="0"/>
                  <w:vAlign w:val="center"/>
                </w:tcPr>
                <w:p w14:paraId="4F0084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493" w:type="pct"/>
                  <w:noWrap w:val="0"/>
                  <w:vAlign w:val="center"/>
                </w:tcPr>
                <w:p w14:paraId="5182E6E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rPr>
                    <w:t>台</w:t>
                  </w:r>
                </w:p>
              </w:tc>
              <w:tc>
                <w:tcPr>
                  <w:tcW w:w="675" w:type="pct"/>
                  <w:noWrap w:val="0"/>
                  <w:vAlign w:val="center"/>
                </w:tcPr>
                <w:p w14:paraId="6B19AA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6BCD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04CE2ED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2</w:t>
                  </w:r>
                </w:p>
              </w:tc>
              <w:tc>
                <w:tcPr>
                  <w:tcW w:w="1428" w:type="pct"/>
                  <w:noWrap w:val="0"/>
                  <w:vAlign w:val="center"/>
                </w:tcPr>
                <w:p w14:paraId="6E5C51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上料机</w:t>
                  </w:r>
                </w:p>
              </w:tc>
              <w:tc>
                <w:tcPr>
                  <w:tcW w:w="973" w:type="pct"/>
                  <w:noWrap w:val="0"/>
                  <w:vAlign w:val="center"/>
                </w:tcPr>
                <w:p w14:paraId="3B5405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LS160</w:t>
                  </w:r>
                </w:p>
              </w:tc>
              <w:tc>
                <w:tcPr>
                  <w:tcW w:w="725" w:type="pct"/>
                  <w:noWrap w:val="0"/>
                  <w:vAlign w:val="center"/>
                </w:tcPr>
                <w:p w14:paraId="045195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w:t>
                  </w:r>
                </w:p>
              </w:tc>
              <w:tc>
                <w:tcPr>
                  <w:tcW w:w="493" w:type="pct"/>
                  <w:noWrap w:val="0"/>
                  <w:vAlign w:val="center"/>
                </w:tcPr>
                <w:p w14:paraId="0AC62AC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rPr>
                    <w:t>台</w:t>
                  </w:r>
                </w:p>
              </w:tc>
              <w:tc>
                <w:tcPr>
                  <w:tcW w:w="675" w:type="pct"/>
                  <w:noWrap w:val="0"/>
                  <w:vAlign w:val="center"/>
                </w:tcPr>
                <w:p w14:paraId="19D7F2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14F7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vMerge w:val="restart"/>
                  <w:noWrap w:val="0"/>
                  <w:vAlign w:val="center"/>
                </w:tcPr>
                <w:p w14:paraId="64967EA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3</w:t>
                  </w:r>
                </w:p>
              </w:tc>
              <w:tc>
                <w:tcPr>
                  <w:tcW w:w="1428" w:type="pct"/>
                  <w:vMerge w:val="restart"/>
                  <w:noWrap w:val="0"/>
                  <w:vAlign w:val="center"/>
                </w:tcPr>
                <w:p w14:paraId="281316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注塑机</w:t>
                  </w:r>
                </w:p>
              </w:tc>
              <w:tc>
                <w:tcPr>
                  <w:tcW w:w="973" w:type="pct"/>
                  <w:noWrap w:val="0"/>
                  <w:vAlign w:val="center"/>
                </w:tcPr>
                <w:p w14:paraId="643022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KY480</w:t>
                  </w:r>
                </w:p>
              </w:tc>
              <w:tc>
                <w:tcPr>
                  <w:tcW w:w="725" w:type="pct"/>
                  <w:noWrap w:val="0"/>
                  <w:vAlign w:val="center"/>
                </w:tcPr>
                <w:p w14:paraId="64A6C6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w:t>
                  </w:r>
                </w:p>
              </w:tc>
              <w:tc>
                <w:tcPr>
                  <w:tcW w:w="493" w:type="pct"/>
                  <w:noWrap w:val="0"/>
                  <w:vAlign w:val="center"/>
                </w:tcPr>
                <w:p w14:paraId="15CD192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rPr>
                    <w:t>台</w:t>
                  </w:r>
                </w:p>
              </w:tc>
              <w:tc>
                <w:tcPr>
                  <w:tcW w:w="675" w:type="pct"/>
                  <w:noWrap w:val="0"/>
                  <w:vAlign w:val="center"/>
                </w:tcPr>
                <w:p w14:paraId="5770D0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5821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vMerge w:val="continue"/>
                  <w:noWrap w:val="0"/>
                  <w:vAlign w:val="center"/>
                </w:tcPr>
                <w:p w14:paraId="4FDE399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p>
              </w:tc>
              <w:tc>
                <w:tcPr>
                  <w:tcW w:w="1428" w:type="pct"/>
                  <w:vMerge w:val="continue"/>
                  <w:noWrap w:val="0"/>
                  <w:vAlign w:val="center"/>
                </w:tcPr>
                <w:p w14:paraId="58305B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973" w:type="pct"/>
                  <w:noWrap w:val="0"/>
                  <w:vAlign w:val="center"/>
                </w:tcPr>
                <w:p w14:paraId="3F6FE0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KY600</w:t>
                  </w:r>
                </w:p>
              </w:tc>
              <w:tc>
                <w:tcPr>
                  <w:tcW w:w="725" w:type="pct"/>
                  <w:noWrap w:val="0"/>
                  <w:vAlign w:val="center"/>
                </w:tcPr>
                <w:p w14:paraId="1016B3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w:t>
                  </w:r>
                </w:p>
              </w:tc>
              <w:tc>
                <w:tcPr>
                  <w:tcW w:w="493" w:type="pct"/>
                  <w:noWrap w:val="0"/>
                  <w:vAlign w:val="center"/>
                </w:tcPr>
                <w:p w14:paraId="74A309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台</w:t>
                  </w:r>
                </w:p>
              </w:tc>
              <w:tc>
                <w:tcPr>
                  <w:tcW w:w="675" w:type="pct"/>
                  <w:noWrap w:val="0"/>
                  <w:vAlign w:val="center"/>
                </w:tcPr>
                <w:p w14:paraId="197811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5719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025026C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w:t>
                  </w:r>
                </w:p>
              </w:tc>
              <w:tc>
                <w:tcPr>
                  <w:tcW w:w="1428" w:type="pct"/>
                  <w:noWrap w:val="0"/>
                  <w:vAlign w:val="center"/>
                </w:tcPr>
                <w:p w14:paraId="5FF6E9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传送带</w:t>
                  </w:r>
                </w:p>
              </w:tc>
              <w:tc>
                <w:tcPr>
                  <w:tcW w:w="973" w:type="pct"/>
                  <w:noWrap w:val="0"/>
                  <w:vAlign w:val="center"/>
                </w:tcPr>
                <w:p w14:paraId="1674A8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4*0.5</w:t>
                  </w:r>
                </w:p>
              </w:tc>
              <w:tc>
                <w:tcPr>
                  <w:tcW w:w="725" w:type="pct"/>
                  <w:noWrap w:val="0"/>
                  <w:vAlign w:val="center"/>
                </w:tcPr>
                <w:p w14:paraId="15C94F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w:t>
                  </w:r>
                </w:p>
              </w:tc>
              <w:tc>
                <w:tcPr>
                  <w:tcW w:w="493" w:type="pct"/>
                  <w:noWrap w:val="0"/>
                  <w:vAlign w:val="center"/>
                </w:tcPr>
                <w:p w14:paraId="01BC0D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台</w:t>
                  </w:r>
                </w:p>
              </w:tc>
              <w:tc>
                <w:tcPr>
                  <w:tcW w:w="675" w:type="pct"/>
                  <w:noWrap w:val="0"/>
                  <w:vAlign w:val="center"/>
                </w:tcPr>
                <w:p w14:paraId="094B6B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1BDA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750BE1E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w:t>
                  </w:r>
                </w:p>
              </w:tc>
              <w:tc>
                <w:tcPr>
                  <w:tcW w:w="1428" w:type="pct"/>
                  <w:noWrap w:val="0"/>
                  <w:vAlign w:val="center"/>
                </w:tcPr>
                <w:p w14:paraId="0C9A2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破碎机</w:t>
                  </w:r>
                </w:p>
              </w:tc>
              <w:tc>
                <w:tcPr>
                  <w:tcW w:w="973" w:type="pct"/>
                  <w:noWrap w:val="0"/>
                  <w:vAlign w:val="center"/>
                </w:tcPr>
                <w:p w14:paraId="099635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highlight w:val="none"/>
                    </w:rPr>
                    <w:t>650</w:t>
                  </w:r>
                </w:p>
              </w:tc>
              <w:tc>
                <w:tcPr>
                  <w:tcW w:w="725" w:type="pct"/>
                  <w:noWrap w:val="0"/>
                  <w:vAlign w:val="center"/>
                </w:tcPr>
                <w:p w14:paraId="0660B4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c>
                <w:tcPr>
                  <w:tcW w:w="493" w:type="pct"/>
                  <w:noWrap w:val="0"/>
                  <w:vAlign w:val="center"/>
                </w:tcPr>
                <w:p w14:paraId="71BA62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台</w:t>
                  </w:r>
                </w:p>
              </w:tc>
              <w:tc>
                <w:tcPr>
                  <w:tcW w:w="675" w:type="pct"/>
                  <w:noWrap w:val="0"/>
                  <w:vAlign w:val="center"/>
                </w:tcPr>
                <w:p w14:paraId="0BD1E8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53E2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4494A6F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w:t>
                  </w:r>
                </w:p>
              </w:tc>
              <w:tc>
                <w:tcPr>
                  <w:tcW w:w="1428" w:type="pct"/>
                  <w:noWrap w:val="0"/>
                  <w:vAlign w:val="center"/>
                </w:tcPr>
                <w:p w14:paraId="6E5716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lang w:val="en-US" w:eastAsia="zh-CN"/>
                    </w:rPr>
                    <w:t>叉车</w:t>
                  </w:r>
                </w:p>
              </w:tc>
              <w:tc>
                <w:tcPr>
                  <w:tcW w:w="973" w:type="pct"/>
                  <w:noWrap w:val="0"/>
                  <w:vAlign w:val="center"/>
                </w:tcPr>
                <w:p w14:paraId="3E132B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highlight w:val="none"/>
                    </w:rPr>
                    <w:t>3T</w:t>
                  </w:r>
                </w:p>
              </w:tc>
              <w:tc>
                <w:tcPr>
                  <w:tcW w:w="725" w:type="pct"/>
                  <w:noWrap w:val="0"/>
                  <w:vAlign w:val="center"/>
                </w:tcPr>
                <w:p w14:paraId="0E6234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1</w:t>
                  </w:r>
                </w:p>
              </w:tc>
              <w:tc>
                <w:tcPr>
                  <w:tcW w:w="493" w:type="pct"/>
                  <w:noWrap w:val="0"/>
                  <w:vAlign w:val="center"/>
                </w:tcPr>
                <w:p w14:paraId="725EE4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台</w:t>
                  </w:r>
                </w:p>
              </w:tc>
              <w:tc>
                <w:tcPr>
                  <w:tcW w:w="675" w:type="pct"/>
                  <w:noWrap w:val="0"/>
                  <w:vAlign w:val="center"/>
                </w:tcPr>
                <w:p w14:paraId="0DF805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p>
              </w:tc>
            </w:tr>
            <w:tr w14:paraId="6F60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3" w:type="pct"/>
                  <w:noWrap w:val="0"/>
                  <w:vAlign w:val="center"/>
                </w:tcPr>
                <w:p w14:paraId="44478BA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lang w:eastAsia="zh-CN"/>
                    </w:rPr>
                  </w:pPr>
                  <w:r>
                    <w:rPr>
                      <w:rFonts w:hint="default" w:ascii="Times New Roman" w:hAnsi="Times New Roman" w:eastAsia="宋体" w:cs="Times New Roman"/>
                      <w:bCs/>
                      <w:color w:val="auto"/>
                      <w:szCs w:val="21"/>
                      <w:highlight w:val="none"/>
                      <w:lang w:val="en-US" w:eastAsia="zh-CN"/>
                    </w:rPr>
                    <w:t>7</w:t>
                  </w:r>
                </w:p>
              </w:tc>
              <w:tc>
                <w:tcPr>
                  <w:tcW w:w="1428" w:type="pct"/>
                  <w:noWrap w:val="0"/>
                  <w:vAlign w:val="center"/>
                </w:tcPr>
                <w:p w14:paraId="2EB36B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冷却</w:t>
                  </w:r>
                  <w:r>
                    <w:rPr>
                      <w:rFonts w:hint="default" w:ascii="Times New Roman" w:hAnsi="Times New Roman" w:eastAsia="宋体" w:cs="Times New Roman"/>
                      <w:color w:val="auto"/>
                      <w:szCs w:val="21"/>
                      <w:highlight w:val="none"/>
                      <w:lang w:val="en-US" w:eastAsia="zh-CN"/>
                    </w:rPr>
                    <w:t>塔</w:t>
                  </w:r>
                </w:p>
              </w:tc>
              <w:tc>
                <w:tcPr>
                  <w:tcW w:w="973" w:type="pct"/>
                  <w:noWrap w:val="0"/>
                  <w:vAlign w:val="center"/>
                </w:tcPr>
                <w:p w14:paraId="07893C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30T</w:t>
                  </w:r>
                </w:p>
              </w:tc>
              <w:tc>
                <w:tcPr>
                  <w:tcW w:w="725" w:type="pct"/>
                  <w:noWrap w:val="0"/>
                  <w:vAlign w:val="center"/>
                </w:tcPr>
                <w:p w14:paraId="694CFA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w:t>
                  </w:r>
                </w:p>
              </w:tc>
              <w:tc>
                <w:tcPr>
                  <w:tcW w:w="493" w:type="pct"/>
                  <w:noWrap w:val="0"/>
                  <w:vAlign w:val="center"/>
                </w:tcPr>
                <w:p w14:paraId="23D06C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台</w:t>
                  </w:r>
                </w:p>
              </w:tc>
              <w:tc>
                <w:tcPr>
                  <w:tcW w:w="675" w:type="pct"/>
                  <w:noWrap w:val="0"/>
                  <w:vAlign w:val="center"/>
                </w:tcPr>
                <w:p w14:paraId="587729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rPr>
                  </w:pPr>
                </w:p>
              </w:tc>
            </w:tr>
          </w:tbl>
          <w:p w14:paraId="320E59C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eastAsia" w:cs="Times New Roman"/>
                <w:b/>
                <w:bCs/>
                <w:color w:val="auto"/>
                <w:sz w:val="24"/>
                <w:highlight w:val="none"/>
                <w:lang w:val="en-US" w:eastAsia="zh-CN"/>
              </w:rPr>
              <w:t>11</w:t>
            </w:r>
            <w:r>
              <w:rPr>
                <w:rFonts w:hint="default" w:ascii="Times New Roman" w:hAnsi="Times New Roman" w:eastAsia="宋体" w:cs="Times New Roman"/>
                <w:b/>
                <w:bCs/>
                <w:color w:val="auto"/>
                <w:sz w:val="24"/>
                <w:highlight w:val="none"/>
              </w:rPr>
              <w:t>、项目劳动定员及工作制度</w:t>
            </w:r>
          </w:p>
          <w:p w14:paraId="2A0CB4E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劳动定员：项目</w:t>
            </w:r>
            <w:r>
              <w:rPr>
                <w:rFonts w:hint="default" w:ascii="Times New Roman" w:hAnsi="Times New Roman" w:eastAsia="宋体" w:cs="Times New Roman"/>
                <w:color w:val="auto"/>
                <w:sz w:val="24"/>
                <w:lang w:val="en-US" w:eastAsia="zh-CN"/>
              </w:rPr>
              <w:t>员工共计</w:t>
            </w:r>
            <w:r>
              <w:rPr>
                <w:rFonts w:hint="eastAsia" w:cs="Times New Roman"/>
                <w:color w:val="auto"/>
                <w:sz w:val="24"/>
                <w:lang w:val="en-US" w:eastAsia="zh-CN"/>
              </w:rPr>
              <w:t>2</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人，</w:t>
            </w:r>
            <w:r>
              <w:rPr>
                <w:rFonts w:hint="eastAsia" w:cs="Times New Roman"/>
                <w:color w:val="auto"/>
                <w:sz w:val="24"/>
                <w:lang w:val="en-US" w:eastAsia="zh-CN"/>
              </w:rPr>
              <w:t>依托</w:t>
            </w:r>
            <w:r>
              <w:rPr>
                <w:rFonts w:hint="default" w:ascii="Times New Roman" w:hAnsi="Times New Roman" w:eastAsia="宋体" w:cs="Times New Roman"/>
                <w:color w:val="auto"/>
                <w:sz w:val="24"/>
                <w:lang w:eastAsia="zh-CN"/>
              </w:rPr>
              <w:t>云南鹏达冠得有限公司</w:t>
            </w:r>
            <w:r>
              <w:rPr>
                <w:rFonts w:hint="eastAsia" w:ascii="Times New Roman" w:hAnsi="Times New Roman" w:eastAsia="宋体" w:cs="Times New Roman"/>
                <w:color w:val="auto"/>
                <w:sz w:val="24"/>
                <w:lang w:val="en-US" w:eastAsia="zh-CN"/>
              </w:rPr>
              <w:t>已建食堂</w:t>
            </w:r>
            <w:r>
              <w:rPr>
                <w:rFonts w:hint="eastAsia" w:cs="Times New Roman"/>
                <w:color w:val="auto"/>
                <w:sz w:val="24"/>
                <w:lang w:val="en-US" w:eastAsia="zh-CN"/>
              </w:rPr>
              <w:t>为员工提供一餐，</w:t>
            </w:r>
            <w:r>
              <w:rPr>
                <w:rFonts w:hint="default" w:ascii="Times New Roman" w:hAnsi="Times New Roman" w:eastAsia="宋体" w:cs="Times New Roman"/>
                <w:color w:val="auto"/>
                <w:sz w:val="24"/>
              </w:rPr>
              <w:t>不在项目内</w:t>
            </w:r>
            <w:r>
              <w:rPr>
                <w:rFonts w:hint="eastAsia" w:cs="Times New Roman"/>
                <w:color w:val="auto"/>
                <w:sz w:val="24"/>
                <w:lang w:val="en-US" w:eastAsia="zh-CN"/>
              </w:rPr>
              <w:t>住宿</w:t>
            </w:r>
            <w:r>
              <w:rPr>
                <w:rFonts w:hint="default" w:ascii="Times New Roman" w:hAnsi="Times New Roman" w:eastAsia="宋体" w:cs="Times New Roman"/>
                <w:color w:val="auto"/>
                <w:sz w:val="24"/>
              </w:rPr>
              <w:t>。</w:t>
            </w:r>
          </w:p>
          <w:p w14:paraId="27182B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工作制度：</w:t>
            </w:r>
            <w:r>
              <w:rPr>
                <w:rFonts w:hint="default" w:ascii="Times New Roman" w:hAnsi="Times New Roman" w:eastAsia="宋体" w:cs="Times New Roman"/>
                <w:color w:val="auto"/>
                <w:sz w:val="24"/>
                <w:lang w:val="en-US" w:eastAsia="zh-CN"/>
              </w:rPr>
              <w:t>项目</w:t>
            </w:r>
            <w:r>
              <w:rPr>
                <w:rFonts w:hint="default" w:ascii="Times New Roman" w:hAnsi="Times New Roman" w:eastAsia="宋体" w:cs="Times New Roman"/>
                <w:color w:val="auto"/>
                <w:sz w:val="24"/>
              </w:rPr>
              <w:t>年生产300天，</w:t>
            </w:r>
            <w:r>
              <w:rPr>
                <w:rFonts w:hint="eastAsia" w:cs="Times New Roman"/>
                <w:color w:val="auto"/>
                <w:sz w:val="24"/>
                <w:lang w:val="en-US" w:eastAsia="zh-CN"/>
              </w:rPr>
              <w:t>三班制，</w:t>
            </w:r>
            <w:r>
              <w:rPr>
                <w:rFonts w:hint="default" w:ascii="Times New Roman" w:hAnsi="Times New Roman" w:eastAsia="宋体" w:cs="Times New Roman"/>
                <w:color w:val="auto"/>
                <w:sz w:val="24"/>
                <w:lang w:val="en-US" w:eastAsia="zh-CN"/>
              </w:rPr>
              <w:t>每</w:t>
            </w:r>
            <w:r>
              <w:rPr>
                <w:rFonts w:hint="eastAsia" w:cs="Times New Roman"/>
                <w:color w:val="auto"/>
                <w:sz w:val="24"/>
                <w:lang w:val="en-US" w:eastAsia="zh-CN"/>
              </w:rPr>
              <w:t>班</w:t>
            </w:r>
            <w:r>
              <w:rPr>
                <w:rFonts w:hint="default" w:ascii="Times New Roman" w:hAnsi="Times New Roman" w:eastAsia="宋体" w:cs="Times New Roman"/>
                <w:color w:val="auto"/>
                <w:sz w:val="24"/>
              </w:rPr>
              <w:t>工作</w:t>
            </w:r>
            <w:r>
              <w:rPr>
                <w:rFonts w:hint="eastAsia" w:cs="Times New Roman"/>
                <w:color w:val="auto"/>
                <w:sz w:val="24"/>
                <w:lang w:val="en-US" w:eastAsia="zh-CN"/>
              </w:rPr>
              <w:t>8</w:t>
            </w:r>
            <w:r>
              <w:rPr>
                <w:rFonts w:hint="default" w:ascii="Times New Roman" w:hAnsi="Times New Roman" w:eastAsia="宋体" w:cs="Times New Roman"/>
                <w:color w:val="auto"/>
                <w:sz w:val="24"/>
              </w:rPr>
              <w:t>小时</w:t>
            </w:r>
            <w:r>
              <w:rPr>
                <w:rFonts w:hint="eastAsia" w:cs="Times New Roman"/>
                <w:color w:val="auto"/>
                <w:sz w:val="24"/>
                <w:lang w:eastAsia="zh-CN"/>
              </w:rPr>
              <w:t>，</w:t>
            </w:r>
            <w:r>
              <w:rPr>
                <w:rFonts w:hint="eastAsia" w:cs="Times New Roman"/>
                <w:color w:val="auto"/>
                <w:sz w:val="24"/>
                <w:lang w:val="en-US" w:eastAsia="zh-CN"/>
              </w:rPr>
              <w:t>设备全天24小时运行</w:t>
            </w:r>
            <w:r>
              <w:rPr>
                <w:rFonts w:hint="default" w:ascii="Times New Roman" w:hAnsi="Times New Roman" w:eastAsia="宋体" w:cs="Times New Roman"/>
                <w:color w:val="auto"/>
                <w:sz w:val="24"/>
              </w:rPr>
              <w:t>。</w:t>
            </w:r>
          </w:p>
          <w:p w14:paraId="24DB9C7D">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auto"/>
                <w:sz w:val="24"/>
              </w:rPr>
              <w:t>1</w:t>
            </w:r>
            <w:r>
              <w:rPr>
                <w:rFonts w:hint="eastAsia" w:cs="Times New Roman"/>
                <w:b/>
                <w:bCs/>
                <w:color w:val="auto"/>
                <w:sz w:val="24"/>
                <w:lang w:val="en-US" w:eastAsia="zh-CN"/>
              </w:rPr>
              <w:t>2</w:t>
            </w:r>
            <w:r>
              <w:rPr>
                <w:rFonts w:hint="default" w:ascii="Times New Roman" w:hAnsi="Times New Roman" w:eastAsia="宋体" w:cs="Times New Roman"/>
                <w:b/>
                <w:bCs/>
                <w:color w:val="auto"/>
                <w:sz w:val="24"/>
              </w:rPr>
              <w:t>、</w:t>
            </w:r>
            <w:r>
              <w:rPr>
                <w:rFonts w:hint="default" w:ascii="Times New Roman" w:hAnsi="Times New Roman" w:eastAsia="宋体" w:cs="Times New Roman"/>
                <w:b/>
                <w:color w:val="auto"/>
                <w:sz w:val="24"/>
              </w:rPr>
              <w:t>项目施工计划</w:t>
            </w:r>
          </w:p>
          <w:p w14:paraId="536C72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rPr>
            </w:pPr>
            <w:r>
              <w:rPr>
                <w:rFonts w:hint="eastAsia"/>
                <w:color w:val="auto"/>
                <w:sz w:val="24"/>
                <w:u w:val="none"/>
                <w:lang w:val="en-US" w:eastAsia="zh-CN"/>
              </w:rPr>
              <w:t>项目区主要生产设备（3条生产）已入场，但由于其环保手续不齐全及环保设施不完善等原因，项目存在未批先建行为。昆明市生态环境局于2026年9月16日作出《昆明市生态环境局行政处罚事先告知书》（昆生环罚告</w:t>
            </w:r>
            <w:r>
              <w:rPr>
                <w:rFonts w:hint="default" w:ascii="Times New Roman" w:hAnsi="Times New Roman" w:eastAsia="宋体" w:cs="Times New Roman"/>
                <w:b w:val="0"/>
                <w:bCs/>
                <w:color w:val="auto"/>
                <w:sz w:val="24"/>
                <w:szCs w:val="24"/>
                <w:highlight w:val="none"/>
                <w:u w:val="none"/>
                <w:lang w:val="en-US" w:eastAsia="zh-CN"/>
              </w:rPr>
              <w:t>〔202</w:t>
            </w:r>
            <w:r>
              <w:rPr>
                <w:rFonts w:hint="eastAsia" w:ascii="Times New Roman" w:hAnsi="Times New Roman" w:eastAsia="宋体" w:cs="Times New Roman"/>
                <w:b w:val="0"/>
                <w:bCs/>
                <w:color w:val="auto"/>
                <w:sz w:val="24"/>
                <w:szCs w:val="24"/>
                <w:highlight w:val="none"/>
                <w:u w:val="none"/>
                <w:lang w:val="en-US" w:eastAsia="zh-CN"/>
              </w:rPr>
              <w:t>6</w:t>
            </w:r>
            <w:r>
              <w:rPr>
                <w:rFonts w:hint="default" w:ascii="Times New Roman" w:hAnsi="Times New Roman" w:eastAsia="宋体" w:cs="Times New Roman"/>
                <w:b w:val="0"/>
                <w:bCs/>
                <w:color w:val="auto"/>
                <w:sz w:val="24"/>
                <w:szCs w:val="24"/>
                <w:highlight w:val="none"/>
                <w:u w:val="none"/>
                <w:lang w:val="en-US" w:eastAsia="zh-CN"/>
              </w:rPr>
              <w:t>〕</w:t>
            </w:r>
            <w:r>
              <w:rPr>
                <w:rFonts w:hint="eastAsia"/>
                <w:color w:val="auto"/>
                <w:sz w:val="24"/>
                <w:u w:val="none"/>
                <w:lang w:val="en-US" w:eastAsia="zh-CN"/>
              </w:rPr>
              <w:t>11-15号），于2026年10月12日昆明市生态环境局对寻甸亿源塑料制品有限公司下达了《昆明市生态环境局行政处罚决定书》（昆生环罚</w:t>
            </w:r>
            <w:r>
              <w:rPr>
                <w:rFonts w:hint="default" w:ascii="Times New Roman" w:hAnsi="Times New Roman" w:eastAsia="宋体" w:cs="Times New Roman"/>
                <w:b w:val="0"/>
                <w:bCs/>
                <w:color w:val="auto"/>
                <w:sz w:val="24"/>
                <w:szCs w:val="24"/>
                <w:highlight w:val="none"/>
                <w:u w:val="none"/>
                <w:lang w:val="en-US" w:eastAsia="zh-CN"/>
              </w:rPr>
              <w:t>〔202</w:t>
            </w:r>
            <w:r>
              <w:rPr>
                <w:rFonts w:hint="eastAsia" w:ascii="Times New Roman" w:hAnsi="Times New Roman" w:eastAsia="宋体" w:cs="Times New Roman"/>
                <w:b w:val="0"/>
                <w:bCs/>
                <w:color w:val="auto"/>
                <w:sz w:val="24"/>
                <w:szCs w:val="24"/>
                <w:highlight w:val="none"/>
                <w:u w:val="none"/>
                <w:lang w:val="en-US" w:eastAsia="zh-CN"/>
              </w:rPr>
              <w:t>6</w:t>
            </w:r>
            <w:r>
              <w:rPr>
                <w:rFonts w:hint="default" w:ascii="Times New Roman" w:hAnsi="Times New Roman" w:eastAsia="宋体" w:cs="Times New Roman"/>
                <w:b w:val="0"/>
                <w:bCs/>
                <w:color w:val="auto"/>
                <w:sz w:val="24"/>
                <w:szCs w:val="24"/>
                <w:highlight w:val="none"/>
                <w:u w:val="none"/>
                <w:lang w:val="en-US" w:eastAsia="zh-CN"/>
              </w:rPr>
              <w:t>〕</w:t>
            </w:r>
            <w:r>
              <w:rPr>
                <w:rFonts w:hint="eastAsia"/>
                <w:color w:val="auto"/>
                <w:sz w:val="24"/>
                <w:u w:val="none"/>
                <w:lang w:val="en-US" w:eastAsia="zh-CN"/>
              </w:rPr>
              <w:t>11-22号），决定处罚款8000元（大写：捌仟元整）。目前，项目处于停产整改状态，同时办理环评文件（本环评报告），同时寻甸亿源塑料制品有限公司于2026年10月12日已缴纳相关罚款。项目设计安装8条生产线，3条生产线已建成，后续生产线</w:t>
            </w:r>
            <w:r>
              <w:rPr>
                <w:rFonts w:hint="default" w:ascii="Times New Roman" w:hAnsi="Times New Roman" w:eastAsia="宋体" w:cs="Times New Roman"/>
                <w:color w:val="auto"/>
                <w:kern w:val="0"/>
                <w:sz w:val="24"/>
              </w:rPr>
              <w:t>计划</w:t>
            </w:r>
            <w:r>
              <w:rPr>
                <w:rFonts w:hint="default" w:ascii="Times New Roman" w:hAnsi="Times New Roman" w:eastAsia="宋体" w:cs="Times New Roman"/>
                <w:color w:val="auto"/>
                <w:kern w:val="0"/>
                <w:sz w:val="24"/>
                <w:lang w:val="en-US" w:eastAsia="zh-CN"/>
              </w:rPr>
              <w:t>2026</w:t>
            </w:r>
            <w:r>
              <w:rPr>
                <w:rFonts w:hint="default" w:ascii="Times New Roman" w:hAnsi="Times New Roman" w:eastAsia="宋体" w:cs="Times New Roman"/>
                <w:color w:val="auto"/>
                <w:kern w:val="0"/>
                <w:sz w:val="24"/>
              </w:rPr>
              <w:t>年</w:t>
            </w:r>
            <w:r>
              <w:rPr>
                <w:rFonts w:hint="eastAsia" w:cs="Times New Roman"/>
                <w:color w:val="auto"/>
                <w:kern w:val="0"/>
                <w:sz w:val="24"/>
                <w:lang w:val="en-US" w:eastAsia="zh-CN"/>
              </w:rPr>
              <w:t>12</w:t>
            </w:r>
            <w:r>
              <w:rPr>
                <w:rFonts w:hint="default" w:ascii="Times New Roman" w:hAnsi="Times New Roman" w:eastAsia="宋体" w:cs="Times New Roman"/>
                <w:color w:val="auto"/>
                <w:kern w:val="0"/>
                <w:sz w:val="24"/>
              </w:rPr>
              <w:t>月开工建设，</w:t>
            </w:r>
            <w:r>
              <w:rPr>
                <w:rFonts w:hint="default" w:ascii="Times New Roman" w:hAnsi="Times New Roman" w:eastAsia="宋体" w:cs="Times New Roman"/>
                <w:color w:val="auto"/>
                <w:sz w:val="24"/>
                <w:szCs w:val="24"/>
              </w:rPr>
              <w:t>预计</w:t>
            </w:r>
            <w:r>
              <w:rPr>
                <w:rFonts w:hint="default" w:ascii="Times New Roman" w:hAnsi="Times New Roman" w:eastAsia="宋体" w:cs="Times New Roman"/>
                <w:color w:val="auto"/>
                <w:kern w:val="0"/>
                <w:sz w:val="24"/>
                <w:lang w:val="en-US" w:eastAsia="zh-CN"/>
              </w:rPr>
              <w:t>202</w:t>
            </w:r>
            <w:r>
              <w:rPr>
                <w:rFonts w:hint="eastAsia" w:cs="Times New Roman"/>
                <w:color w:val="auto"/>
                <w:kern w:val="0"/>
                <w:sz w:val="24"/>
                <w:lang w:val="en-US" w:eastAsia="zh-CN"/>
              </w:rPr>
              <w:t>7</w:t>
            </w:r>
            <w:r>
              <w:rPr>
                <w:rFonts w:hint="default" w:ascii="Times New Roman" w:hAnsi="Times New Roman" w:eastAsia="宋体" w:cs="Times New Roman"/>
                <w:color w:val="auto"/>
                <w:kern w:val="0"/>
                <w:sz w:val="24"/>
              </w:rPr>
              <w:t>年</w:t>
            </w:r>
            <w:r>
              <w:rPr>
                <w:rFonts w:hint="default" w:ascii="Times New Roman" w:hAnsi="Times New Roman" w:eastAsia="宋体" w:cs="Times New Roman"/>
                <w:color w:val="auto"/>
                <w:kern w:val="0"/>
                <w:sz w:val="24"/>
                <w:lang w:val="en-US" w:eastAsia="zh-CN"/>
              </w:rPr>
              <w:t>1</w:t>
            </w:r>
            <w:r>
              <w:rPr>
                <w:rFonts w:hint="default" w:ascii="Times New Roman" w:hAnsi="Times New Roman" w:eastAsia="宋体" w:cs="Times New Roman"/>
                <w:color w:val="auto"/>
                <w:kern w:val="0"/>
                <w:sz w:val="24"/>
              </w:rPr>
              <w:t>月完工，施工周期</w:t>
            </w:r>
            <w:r>
              <w:rPr>
                <w:rFonts w:hint="default" w:ascii="Times New Roman" w:hAnsi="Times New Roman" w:eastAsia="宋体" w:cs="Times New Roman"/>
                <w:color w:val="auto"/>
                <w:kern w:val="0"/>
                <w:sz w:val="24"/>
                <w:lang w:val="en-US" w:eastAsia="zh-CN"/>
              </w:rPr>
              <w:t>为1</w:t>
            </w:r>
            <w:r>
              <w:rPr>
                <w:rFonts w:hint="default" w:ascii="Times New Roman" w:hAnsi="Times New Roman" w:eastAsia="宋体" w:cs="Times New Roman"/>
                <w:color w:val="auto"/>
                <w:kern w:val="0"/>
                <w:sz w:val="24"/>
              </w:rPr>
              <w:t>个月。</w:t>
            </w:r>
          </w:p>
          <w:p w14:paraId="7511B033">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w:t>
            </w:r>
            <w:r>
              <w:rPr>
                <w:rFonts w:hint="eastAsia" w:cs="Times New Roman"/>
                <w:b/>
                <w:bCs/>
                <w:color w:val="auto"/>
                <w:sz w:val="24"/>
                <w:lang w:val="en-US" w:eastAsia="zh-CN"/>
              </w:rPr>
              <w:t>3</w:t>
            </w:r>
            <w:r>
              <w:rPr>
                <w:rFonts w:hint="default" w:ascii="Times New Roman" w:hAnsi="Times New Roman" w:eastAsia="宋体" w:cs="Times New Roman"/>
                <w:b/>
                <w:bCs/>
                <w:color w:val="auto"/>
                <w:sz w:val="24"/>
              </w:rPr>
              <w:t>、项目平面布局</w:t>
            </w:r>
          </w:p>
          <w:p w14:paraId="647774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rPr>
              <w:t>项目选址位于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rPr>
              <w:t>，租用</w:t>
            </w:r>
            <w:r>
              <w:rPr>
                <w:rFonts w:hint="default" w:ascii="Times New Roman" w:hAnsi="Times New Roman" w:eastAsia="宋体" w:cs="Times New Roman"/>
                <w:color w:val="auto"/>
                <w:sz w:val="24"/>
                <w:lang w:eastAsia="zh-CN"/>
              </w:rPr>
              <w:t>云南鹏达冠得有限公司</w:t>
            </w:r>
            <w:r>
              <w:rPr>
                <w:rFonts w:hint="default" w:ascii="Times New Roman" w:hAnsi="Times New Roman" w:eastAsia="宋体" w:cs="Times New Roman"/>
                <w:color w:val="auto"/>
                <w:sz w:val="24"/>
              </w:rPr>
              <w:t>已建闲置厂房</w:t>
            </w:r>
            <w:r>
              <w:rPr>
                <w:rFonts w:hint="default" w:ascii="Times New Roman" w:hAnsi="Times New Roman" w:eastAsia="宋体" w:cs="Times New Roman"/>
                <w:color w:val="auto"/>
                <w:sz w:val="24"/>
                <w:lang w:val="en-US" w:eastAsia="zh-CN"/>
              </w:rPr>
              <w:t>和办公区</w:t>
            </w:r>
            <w:r>
              <w:rPr>
                <w:rFonts w:hint="default" w:ascii="Times New Roman" w:hAnsi="Times New Roman" w:eastAsia="宋体" w:cs="Times New Roman"/>
                <w:color w:val="auto"/>
                <w:sz w:val="24"/>
              </w:rPr>
              <w:t>进行建设</w:t>
            </w:r>
            <w:r>
              <w:rPr>
                <w:rFonts w:hint="default" w:ascii="Times New Roman" w:hAnsi="Times New Roman" w:eastAsia="宋体" w:cs="Times New Roman"/>
                <w:color w:val="auto"/>
                <w:sz w:val="24"/>
                <w:lang w:eastAsia="zh-CN"/>
              </w:rPr>
              <w:t>。根据项目区平面布置图，</w:t>
            </w:r>
            <w:r>
              <w:rPr>
                <w:rFonts w:hint="eastAsia"/>
                <w:color w:val="auto"/>
                <w:sz w:val="24"/>
                <w:szCs w:val="24"/>
                <w:lang w:val="en-US" w:eastAsia="zh-CN"/>
              </w:rPr>
              <w:t>厂房整体呈矩形，西北至东南向坐落，办公区</w:t>
            </w:r>
            <w:r>
              <w:rPr>
                <w:rFonts w:hint="default" w:ascii="Times New Roman" w:hAnsi="Times New Roman" w:eastAsia="宋体" w:cs="Times New Roman"/>
                <w:color w:val="auto"/>
                <w:sz w:val="24"/>
                <w:szCs w:val="24"/>
                <w:lang w:val="en-US" w:eastAsia="zh-CN"/>
              </w:rPr>
              <w:t>依托</w:t>
            </w:r>
            <w:r>
              <w:rPr>
                <w:rFonts w:hint="default" w:ascii="Times New Roman" w:hAnsi="Times New Roman" w:eastAsia="宋体" w:cs="Times New Roman"/>
                <w:color w:val="auto"/>
                <w:sz w:val="24"/>
                <w:szCs w:val="24"/>
                <w:lang w:eastAsia="zh-CN"/>
              </w:rPr>
              <w:t>云南鹏达冠得有限公司</w:t>
            </w:r>
            <w:r>
              <w:rPr>
                <w:rFonts w:hint="default" w:ascii="Times New Roman" w:hAnsi="Times New Roman" w:eastAsia="宋体" w:cs="Times New Roman"/>
                <w:color w:val="auto"/>
                <w:sz w:val="24"/>
                <w:szCs w:val="24"/>
              </w:rPr>
              <w:t>已建</w:t>
            </w:r>
            <w:r>
              <w:rPr>
                <w:rFonts w:hint="default" w:ascii="Times New Roman" w:hAnsi="Times New Roman" w:eastAsia="宋体" w:cs="Times New Roman"/>
                <w:color w:val="auto"/>
                <w:sz w:val="24"/>
                <w:szCs w:val="24"/>
                <w:lang w:val="en-US" w:eastAsia="zh-CN"/>
              </w:rPr>
              <w:t>综合楼</w:t>
            </w:r>
            <w:r>
              <w:rPr>
                <w:rFonts w:hint="eastAsia" w:ascii="Times New Roman" w:hAnsi="Times New Roman" w:eastAsia="宋体" w:cs="Times New Roman"/>
                <w:color w:val="auto"/>
                <w:sz w:val="24"/>
                <w:szCs w:val="24"/>
                <w:lang w:val="en-US" w:eastAsia="zh-CN"/>
              </w:rPr>
              <w:t>第</w:t>
            </w:r>
            <w:r>
              <w:rPr>
                <w:rFonts w:hint="default" w:ascii="Times New Roman" w:hAnsi="Times New Roman" w:eastAsia="宋体" w:cs="Times New Roman"/>
                <w:color w:val="auto"/>
                <w:sz w:val="24"/>
                <w:szCs w:val="24"/>
                <w:lang w:val="en-US" w:eastAsia="zh-CN"/>
              </w:rPr>
              <w:t>三层</w:t>
            </w:r>
            <w:r>
              <w:rPr>
                <w:rFonts w:hint="eastAsia" w:ascii="Times New Roman" w:hAnsi="Times New Roman" w:eastAsia="宋体" w:cs="Times New Roman"/>
                <w:color w:val="auto"/>
                <w:sz w:val="24"/>
                <w:szCs w:val="24"/>
                <w:lang w:val="en-US" w:eastAsia="zh-CN"/>
              </w:rPr>
              <w:t>楼进行</w:t>
            </w:r>
            <w:r>
              <w:rPr>
                <w:rFonts w:hint="default" w:ascii="Times New Roman" w:hAnsi="Times New Roman" w:eastAsia="宋体" w:cs="Times New Roman"/>
                <w:color w:val="auto"/>
                <w:sz w:val="24"/>
                <w:szCs w:val="24"/>
                <w:lang w:val="en-US" w:eastAsia="zh-CN"/>
              </w:rPr>
              <w:t>设置</w:t>
            </w:r>
            <w:r>
              <w:rPr>
                <w:rFonts w:hint="eastAsia" w:ascii="Times New Roman" w:hAnsi="Times New Roman" w:eastAsia="宋体" w:cs="Times New Roman"/>
                <w:color w:val="auto"/>
                <w:sz w:val="24"/>
                <w:szCs w:val="24"/>
                <w:lang w:val="en-US" w:eastAsia="zh-CN"/>
              </w:rPr>
              <w:t>，</w:t>
            </w:r>
            <w:r>
              <w:rPr>
                <w:rFonts w:hint="eastAsia"/>
                <w:color w:val="auto"/>
                <w:sz w:val="24"/>
                <w:szCs w:val="24"/>
                <w:lang w:val="en-US" w:eastAsia="zh-CN"/>
              </w:rPr>
              <w:t>位于项目区西北侧，属于上风向；生产厂房位于</w:t>
            </w:r>
            <w:r>
              <w:rPr>
                <w:rFonts w:hint="default" w:ascii="Times New Roman" w:hAnsi="Times New Roman" w:eastAsia="宋体" w:cs="Times New Roman"/>
                <w:color w:val="auto"/>
                <w:sz w:val="24"/>
                <w:szCs w:val="24"/>
                <w:lang w:eastAsia="zh-CN"/>
              </w:rPr>
              <w:t>云南鹏达冠得有限公司</w:t>
            </w:r>
            <w:r>
              <w:rPr>
                <w:rFonts w:hint="eastAsia" w:cs="Times New Roman"/>
                <w:color w:val="auto"/>
                <w:sz w:val="24"/>
                <w:szCs w:val="24"/>
                <w:lang w:val="en-US" w:eastAsia="zh-CN"/>
              </w:rPr>
              <w:t>整体权属范围的东北侧厂房，</w:t>
            </w:r>
            <w:r>
              <w:rPr>
                <w:rFonts w:hint="eastAsia"/>
                <w:color w:val="auto"/>
                <w:sz w:val="24"/>
                <w:szCs w:val="24"/>
                <w:lang w:val="en-US" w:eastAsia="zh-CN"/>
              </w:rPr>
              <w:t>生产区位于本次项目租用厂房的南部，主要布置注塑生产，自西北向东南平行布置，依次为注塑生产线1~8；拌料机位于生产区西侧、破碎机位于生产区北侧、冷却塔及循环冷却水池位于厂房西北角，为注塑生产线提供冷却水，废气处理设备位于</w:t>
            </w:r>
            <w:r>
              <w:rPr>
                <w:rFonts w:hint="default" w:ascii="Times New Roman" w:hAnsi="Times New Roman" w:eastAsia="宋体" w:cs="Times New Roman"/>
                <w:color w:val="auto"/>
                <w:sz w:val="24"/>
                <w:szCs w:val="24"/>
              </w:rPr>
              <w:t>生产厂房</w:t>
            </w:r>
            <w:r>
              <w:rPr>
                <w:rFonts w:hint="default" w:ascii="Times New Roman" w:hAnsi="Times New Roman" w:eastAsia="宋体" w:cs="Times New Roman"/>
                <w:color w:val="auto"/>
                <w:sz w:val="24"/>
                <w:szCs w:val="24"/>
                <w:lang w:val="en-US" w:eastAsia="zh-CN"/>
              </w:rPr>
              <w:t>东</w:t>
            </w:r>
            <w:r>
              <w:rPr>
                <w:rFonts w:hint="default" w:ascii="Times New Roman" w:hAnsi="Times New Roman" w:eastAsia="宋体" w:cs="Times New Roman"/>
                <w:color w:val="auto"/>
                <w:sz w:val="24"/>
                <w:szCs w:val="24"/>
              </w:rPr>
              <w:t>南侧</w:t>
            </w:r>
            <w:r>
              <w:rPr>
                <w:rFonts w:hint="eastAsia" w:cs="Times New Roman"/>
                <w:color w:val="auto"/>
                <w:sz w:val="24"/>
                <w:szCs w:val="24"/>
                <w:lang w:val="en-US" w:eastAsia="zh-CN"/>
              </w:rPr>
              <w:t>空地</w:t>
            </w:r>
            <w:r>
              <w:rPr>
                <w:rFonts w:hint="default" w:ascii="Times New Roman" w:hAnsi="Times New Roman" w:eastAsia="宋体" w:cs="Times New Roman"/>
                <w:color w:val="auto"/>
                <w:sz w:val="24"/>
                <w:szCs w:val="24"/>
                <w:lang w:val="en-US" w:eastAsia="zh-CN"/>
              </w:rPr>
              <w:t>；原料区位于</w:t>
            </w:r>
            <w:r>
              <w:rPr>
                <w:rFonts w:hint="eastAsia" w:cs="Times New Roman"/>
                <w:color w:val="auto"/>
                <w:sz w:val="24"/>
                <w:szCs w:val="24"/>
                <w:lang w:val="en-US" w:eastAsia="zh-CN"/>
              </w:rPr>
              <w:t>生产厂房南</w:t>
            </w:r>
            <w:r>
              <w:rPr>
                <w:rFonts w:hint="default" w:ascii="Times New Roman" w:hAnsi="Times New Roman" w:eastAsia="宋体" w:cs="Times New Roman"/>
                <w:color w:val="auto"/>
                <w:sz w:val="24"/>
                <w:szCs w:val="24"/>
                <w:lang w:val="en-US" w:eastAsia="zh-CN"/>
              </w:rPr>
              <w:t>侧</w:t>
            </w:r>
            <w:r>
              <w:rPr>
                <w:rFonts w:hint="eastAsia" w:cs="Times New Roman"/>
                <w:color w:val="auto"/>
                <w:sz w:val="24"/>
                <w:szCs w:val="24"/>
                <w:lang w:val="en-US" w:eastAsia="zh-CN"/>
              </w:rPr>
              <w:t>（生产区东侧）</w:t>
            </w:r>
            <w:r>
              <w:rPr>
                <w:rFonts w:hint="default" w:ascii="Times New Roman" w:hAnsi="Times New Roman" w:eastAsia="宋体" w:cs="Times New Roman"/>
                <w:color w:val="auto"/>
                <w:sz w:val="24"/>
                <w:szCs w:val="24"/>
                <w:lang w:val="en-US" w:eastAsia="zh-CN"/>
              </w:rPr>
              <w:t>；成品区位于</w:t>
            </w:r>
            <w:r>
              <w:rPr>
                <w:rFonts w:hint="eastAsia" w:cs="Times New Roman"/>
                <w:color w:val="auto"/>
                <w:sz w:val="24"/>
                <w:szCs w:val="24"/>
                <w:lang w:val="en-US" w:eastAsia="zh-CN"/>
              </w:rPr>
              <w:t>生产厂房</w:t>
            </w:r>
            <w:r>
              <w:rPr>
                <w:rFonts w:hint="default" w:ascii="Times New Roman" w:hAnsi="Times New Roman" w:eastAsia="宋体" w:cs="Times New Roman"/>
                <w:color w:val="auto"/>
                <w:sz w:val="24"/>
                <w:szCs w:val="24"/>
                <w:lang w:val="en-US" w:eastAsia="zh-CN"/>
              </w:rPr>
              <w:t>北侧；办公区；生产厂房外围为园区道路，物料转运便捷；</w:t>
            </w:r>
            <w:r>
              <w:rPr>
                <w:rFonts w:hint="eastAsia" w:cs="Times New Roman"/>
                <w:color w:val="auto"/>
                <w:sz w:val="24"/>
                <w:szCs w:val="24"/>
                <w:lang w:eastAsia="zh-CN"/>
              </w:rPr>
              <w:t>危废贮存库</w:t>
            </w:r>
            <w:r>
              <w:rPr>
                <w:rFonts w:hint="default" w:ascii="Times New Roman" w:hAnsi="Times New Roman" w:eastAsia="宋体" w:cs="Times New Roman"/>
                <w:color w:val="auto"/>
                <w:sz w:val="24"/>
                <w:szCs w:val="24"/>
              </w:rPr>
              <w:t>位于生产厂房</w:t>
            </w:r>
            <w:r>
              <w:rPr>
                <w:rFonts w:hint="default" w:ascii="Times New Roman" w:hAnsi="Times New Roman" w:eastAsia="宋体" w:cs="Times New Roman"/>
                <w:color w:val="auto"/>
                <w:sz w:val="24"/>
                <w:szCs w:val="24"/>
                <w:lang w:val="en-US" w:eastAsia="zh-CN"/>
              </w:rPr>
              <w:t>东</w:t>
            </w:r>
            <w:r>
              <w:rPr>
                <w:rFonts w:hint="default" w:ascii="Times New Roman" w:hAnsi="Times New Roman" w:eastAsia="宋体" w:cs="Times New Roman"/>
                <w:color w:val="auto"/>
                <w:sz w:val="24"/>
                <w:szCs w:val="24"/>
              </w:rPr>
              <w:t>南侧</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项目厂区平面布置是按工艺要求和总平面布置的一般原则，在满足生产及运输的条件下，力求紧凑布置，项目区物流、人流路线清晰，办公区、生产区、原料区、成品区及环保设施之间分区明确，平面布置满足生产工艺要求、环保要求及消防安全要求。</w:t>
            </w:r>
          </w:p>
          <w:p w14:paraId="11AFD8C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综上，本项目生产厂房平面布置能够满足项目生产要求和相关环保要求。</w:t>
            </w:r>
            <w:r>
              <w:rPr>
                <w:rFonts w:hint="default" w:ascii="Times New Roman" w:hAnsi="Times New Roman" w:eastAsia="宋体" w:cs="Times New Roman"/>
                <w:color w:val="auto"/>
                <w:sz w:val="24"/>
              </w:rPr>
              <w:t>项目平面布局详见附图</w:t>
            </w: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w:t>
            </w:r>
          </w:p>
          <w:p w14:paraId="10798E8B">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eastAsia" w:cs="Times New Roman"/>
                <w:b/>
                <w:bCs/>
                <w:color w:val="auto"/>
                <w:sz w:val="24"/>
                <w:lang w:val="en-US" w:eastAsia="zh-CN"/>
              </w:rPr>
              <w:t>三</w:t>
            </w:r>
            <w:r>
              <w:rPr>
                <w:rFonts w:hint="default" w:ascii="Times New Roman" w:hAnsi="Times New Roman" w:eastAsia="宋体" w:cs="Times New Roman"/>
                <w:b/>
                <w:bCs/>
                <w:color w:val="auto"/>
                <w:sz w:val="24"/>
              </w:rPr>
              <w:t>、项目水平衡</w:t>
            </w:r>
          </w:p>
          <w:p w14:paraId="012455C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项目用水及废水核算过程如下：</w:t>
            </w:r>
          </w:p>
          <w:p w14:paraId="746772A8">
            <w:pPr>
              <w:pStyle w:val="60"/>
              <w:keepNext w:val="0"/>
              <w:keepLines w:val="0"/>
              <w:suppressLineNumbers w:val="0"/>
              <w:spacing w:before="0" w:beforeAutospacing="0" w:after="0" w:afterAutospacing="0"/>
              <w:rPr>
                <w:rFonts w:hint="default" w:ascii="Times New Roman" w:hAnsi="Times New Roman" w:eastAsia="宋体" w:cs="Times New Roman"/>
                <w:b/>
                <w:bCs/>
                <w:color w:val="auto"/>
                <w:sz w:val="24"/>
                <w:szCs w:val="24"/>
              </w:rPr>
            </w:pPr>
            <w:r>
              <w:rPr>
                <w:rFonts w:hint="eastAsia"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val="en-US" w:eastAsia="zh-CN"/>
              </w:rPr>
              <w:t>生活</w:t>
            </w:r>
            <w:r>
              <w:rPr>
                <w:rFonts w:hint="default" w:ascii="Times New Roman" w:hAnsi="Times New Roman" w:eastAsia="宋体" w:cs="Times New Roman"/>
                <w:b/>
                <w:bCs/>
                <w:color w:val="auto"/>
                <w:sz w:val="24"/>
                <w:szCs w:val="24"/>
              </w:rPr>
              <w:t>用水</w:t>
            </w:r>
          </w:p>
          <w:p w14:paraId="07773F5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项目劳动定员20人，年生产300天，均不在项目内住宿，厂区内设置有食堂为员工提供午餐，用水量参照《云南省地方标准 用水定额》（DB53/T168-2026）中国家行政机构有食堂用水定额通用值18m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/（人</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a）。则生活用水量为360m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/a、1.2m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/d；排污系数取0.8，则生活污水产生量为288m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/a、0.96m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/d，其中食堂用水定额通用值为7m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/（人</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a），则食堂用水量为140m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/a、0.467m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/d；排污系数取0.8，则食堂废水产生量为112m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/a、0.37m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d。生活污水依托云南鹏达冠得家具有限公司已建污水系统（化粪池+一体化污水处理设施+蓄水池）进行处理达到相应标准后用于厂区绿化浇灌及洒水降尘；食堂废水先经隔油池预处理后和生活污水一同进入化粪池预处理。</w:t>
            </w:r>
          </w:p>
          <w:p w14:paraId="15F9FECC">
            <w:pPr>
              <w:pStyle w:val="60"/>
              <w:keepNext w:val="0"/>
              <w:keepLines w:val="0"/>
              <w:suppressLineNumbers w:val="0"/>
              <w:spacing w:before="0" w:beforeAutospacing="0" w:after="0" w:afterAutospacing="0"/>
              <w:ind w:firstLine="482" w:firstLineChars="200"/>
              <w:rPr>
                <w:rFonts w:hint="default" w:ascii="Times New Roman" w:hAnsi="Times New Roman" w:eastAsia="宋体" w:cs="Times New Roman"/>
                <w:b/>
                <w:bCs/>
                <w:color w:val="auto"/>
                <w:sz w:val="24"/>
                <w:szCs w:val="24"/>
              </w:rPr>
            </w:pPr>
            <w:r>
              <w:rPr>
                <w:rFonts w:hint="eastAsia" w:eastAsia="宋体" w:cs="Times New Roman"/>
                <w:b/>
                <w:bCs/>
                <w:color w:val="auto"/>
                <w:sz w:val="24"/>
                <w:szCs w:val="24"/>
                <w:lang w:val="en-US" w:eastAsia="zh-CN"/>
              </w:rPr>
              <w:t>2、间接</w:t>
            </w:r>
            <w:r>
              <w:rPr>
                <w:rFonts w:hint="default" w:ascii="Times New Roman" w:hAnsi="Times New Roman" w:eastAsia="宋体" w:cs="Times New Roman"/>
                <w:b/>
                <w:bCs/>
                <w:color w:val="auto"/>
                <w:sz w:val="24"/>
                <w:szCs w:val="24"/>
              </w:rPr>
              <w:t>冷却</w:t>
            </w:r>
            <w:r>
              <w:rPr>
                <w:rFonts w:hint="eastAsia" w:eastAsia="宋体" w:cs="Times New Roman"/>
                <w:b/>
                <w:bCs/>
                <w:color w:val="auto"/>
                <w:sz w:val="24"/>
                <w:szCs w:val="24"/>
                <w:lang w:val="en-US" w:eastAsia="zh-CN"/>
              </w:rPr>
              <w:t>循环</w:t>
            </w:r>
            <w:r>
              <w:rPr>
                <w:rFonts w:hint="default" w:ascii="Times New Roman" w:hAnsi="Times New Roman" w:eastAsia="宋体" w:cs="Times New Roman"/>
                <w:b/>
                <w:bCs/>
                <w:color w:val="auto"/>
                <w:sz w:val="24"/>
                <w:szCs w:val="24"/>
              </w:rPr>
              <w:t>用水</w:t>
            </w:r>
          </w:p>
          <w:p w14:paraId="30424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sz w:val="24"/>
                <w:szCs w:val="24"/>
              </w:rPr>
            </w:pPr>
            <w:r>
              <w:rPr>
                <w:rFonts w:hint="default" w:ascii="Times New Roman" w:hAnsi="Times New Roman" w:eastAsia="宋体" w:cs="Times New Roman"/>
                <w:color w:val="auto"/>
                <w:sz w:val="24"/>
                <w:szCs w:val="24"/>
              </w:rPr>
              <w:t>项目</w:t>
            </w:r>
            <w:r>
              <w:rPr>
                <w:rFonts w:hint="eastAsia" w:eastAsia="宋体" w:cs="Times New Roman"/>
                <w:color w:val="auto"/>
                <w:sz w:val="24"/>
                <w:szCs w:val="24"/>
                <w:lang w:val="en-US" w:eastAsia="zh-CN"/>
              </w:rPr>
              <w:t>注塑工序配套有冷却塔</w:t>
            </w:r>
            <w:r>
              <w:rPr>
                <w:rFonts w:hint="eastAsia" w:cs="Times New Roman"/>
                <w:color w:val="auto"/>
                <w:sz w:val="24"/>
                <w:szCs w:val="24"/>
                <w:lang w:val="en-US" w:eastAsia="zh-CN"/>
              </w:rPr>
              <w:t>及循环</w:t>
            </w:r>
            <w:r>
              <w:rPr>
                <w:rFonts w:hint="eastAsia" w:eastAsia="宋体" w:cs="Times New Roman"/>
                <w:color w:val="auto"/>
                <w:sz w:val="24"/>
                <w:szCs w:val="24"/>
                <w:lang w:val="en-US" w:eastAsia="zh-CN"/>
              </w:rPr>
              <w:t>水池进行生产冷却，</w:t>
            </w:r>
            <w:r>
              <w:rPr>
                <w:rFonts w:hint="default" w:ascii="Times New Roman" w:hAnsi="Times New Roman" w:eastAsia="宋体" w:cs="Times New Roman"/>
                <w:color w:val="auto"/>
                <w:sz w:val="24"/>
                <w:szCs w:val="24"/>
              </w:rPr>
              <w:t>生产用水主要为冷却水，冷却水收集到</w:t>
            </w:r>
            <w:r>
              <w:rPr>
                <w:rFonts w:hint="default" w:ascii="Times New Roman" w:hAnsi="Times New Roman" w:eastAsia="宋体" w:cs="Times New Roman"/>
                <w:color w:val="auto"/>
                <w:sz w:val="24"/>
                <w:szCs w:val="24"/>
                <w:lang w:val="en-US" w:eastAsia="zh-CN"/>
              </w:rPr>
              <w:t>循环水池冷却后</w:t>
            </w:r>
            <w:r>
              <w:rPr>
                <w:rFonts w:hint="default" w:ascii="Times New Roman" w:hAnsi="Times New Roman" w:eastAsia="宋体" w:cs="Times New Roman"/>
                <w:color w:val="auto"/>
                <w:sz w:val="24"/>
                <w:szCs w:val="24"/>
              </w:rPr>
              <w:t>循环使用，</w:t>
            </w:r>
            <w:r>
              <w:rPr>
                <w:rFonts w:hint="eastAsia" w:ascii="宋体" w:hAnsi="宋体" w:eastAsia="宋体" w:cs="宋体"/>
                <w:color w:val="auto"/>
                <w:kern w:val="0"/>
                <w:sz w:val="24"/>
                <w:szCs w:val="24"/>
                <w:lang w:val="en-US" w:eastAsia="zh-CN" w:bidi="ar"/>
              </w:rPr>
              <w:t>循环水池总容积为</w:t>
            </w:r>
            <w:r>
              <w:rPr>
                <w:rFonts w:hint="eastAsia" w:ascii="Times New Roman" w:hAnsi="Times New Roman" w:eastAsia="宋体" w:cs="Times New Roman"/>
                <w:color w:val="auto"/>
                <w:kern w:val="0"/>
                <w:sz w:val="24"/>
                <w:szCs w:val="24"/>
                <w:lang w:val="en-US" w:eastAsia="zh-CN" w:bidi="ar"/>
              </w:rPr>
              <w:t>10</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³，每天工作时间为</w:t>
            </w:r>
            <w:r>
              <w:rPr>
                <w:rFonts w:hint="default" w:ascii="Times New Roman" w:hAnsi="Times New Roman" w:eastAsia="宋体" w:cs="Times New Roman"/>
                <w:color w:val="auto"/>
                <w:kern w:val="0"/>
                <w:sz w:val="24"/>
                <w:szCs w:val="24"/>
                <w:lang w:val="en-US" w:eastAsia="zh-CN" w:bidi="ar"/>
              </w:rPr>
              <w:t>24h</w:t>
            </w:r>
            <w:r>
              <w:rPr>
                <w:rFonts w:hint="eastAsia" w:ascii="Times New Roman" w:hAnsi="Times New Roman" w:eastAsia="宋体" w:cs="Times New Roman"/>
                <w:color w:val="auto"/>
                <w:kern w:val="0"/>
                <w:sz w:val="24"/>
                <w:szCs w:val="24"/>
                <w:lang w:val="en-US" w:eastAsia="zh-CN" w:bidi="ar"/>
              </w:rPr>
              <w:t>，年工作300d</w:t>
            </w:r>
            <w:r>
              <w:rPr>
                <w:rFonts w:hint="eastAsia" w:ascii="宋体" w:hAnsi="宋体" w:eastAsia="宋体" w:cs="宋体"/>
                <w:color w:val="auto"/>
                <w:kern w:val="0"/>
                <w:sz w:val="24"/>
                <w:szCs w:val="24"/>
                <w:lang w:val="en-US" w:eastAsia="zh-CN" w:bidi="ar"/>
              </w:rPr>
              <w:t>，根据设备生产厂家提供的数据，泵的循环水量为</w:t>
            </w:r>
            <w:r>
              <w:rPr>
                <w:rFonts w:hint="eastAsia" w:ascii="Times New Roman" w:hAnsi="Times New Roman" w:eastAsia="宋体" w:cs="Times New Roman"/>
                <w:color w:val="auto"/>
                <w:kern w:val="0"/>
                <w:sz w:val="24"/>
                <w:szCs w:val="24"/>
                <w:lang w:val="en-US" w:eastAsia="zh-CN" w:bidi="ar"/>
              </w:rPr>
              <w:t>30</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³</w:t>
            </w:r>
            <w:r>
              <w:rPr>
                <w:rFonts w:hint="default" w:ascii="Times New Roman" w:hAnsi="Times New Roman" w:eastAsia="宋体" w:cs="Times New Roman"/>
                <w:color w:val="auto"/>
                <w:kern w:val="0"/>
                <w:sz w:val="24"/>
                <w:szCs w:val="24"/>
                <w:lang w:val="en-US" w:eastAsia="zh-CN" w:bidi="ar"/>
              </w:rPr>
              <w:t>/h</w:t>
            </w:r>
            <w:r>
              <w:rPr>
                <w:rFonts w:hint="eastAsia" w:ascii="宋体" w:hAnsi="宋体" w:eastAsia="宋体" w:cs="宋体"/>
                <w:color w:val="auto"/>
                <w:kern w:val="0"/>
                <w:sz w:val="24"/>
                <w:szCs w:val="24"/>
                <w:lang w:val="en-US" w:eastAsia="zh-CN" w:bidi="ar"/>
              </w:rPr>
              <w:t xml:space="preserve">。 </w:t>
            </w:r>
          </w:p>
          <w:p w14:paraId="04A6B9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参考《工业循环冷却水处理设计规范》（</w:t>
            </w:r>
            <w:r>
              <w:rPr>
                <w:rFonts w:hint="default" w:ascii="Times New Roman" w:hAnsi="Times New Roman" w:eastAsia="宋体" w:cs="Times New Roman"/>
                <w:color w:val="auto"/>
                <w:kern w:val="0"/>
                <w:sz w:val="24"/>
                <w:szCs w:val="24"/>
                <w:lang w:val="en-US" w:eastAsia="zh-CN" w:bidi="ar"/>
              </w:rPr>
              <w:t>GB</w:t>
            </w:r>
            <w:r>
              <w:rPr>
                <w:rFonts w:hint="eastAsia" w:cs="Times New Roman"/>
                <w:color w:val="auto"/>
                <w:kern w:val="0"/>
                <w:sz w:val="24"/>
                <w:szCs w:val="24"/>
                <w:lang w:val="en-US" w:eastAsia="zh-CN" w:bidi="ar"/>
              </w:rPr>
              <w:t xml:space="preserve">/T </w:t>
            </w:r>
            <w:r>
              <w:rPr>
                <w:rFonts w:hint="default" w:ascii="Times New Roman" w:hAnsi="Times New Roman" w:eastAsia="宋体" w:cs="Times New Roman"/>
                <w:color w:val="auto"/>
                <w:kern w:val="0"/>
                <w:sz w:val="24"/>
                <w:szCs w:val="24"/>
                <w:lang w:val="en-US" w:eastAsia="zh-CN" w:bidi="ar"/>
              </w:rPr>
              <w:t>50050-20</w:t>
            </w:r>
            <w:r>
              <w:rPr>
                <w:rFonts w:hint="eastAsia" w:cs="Times New Roman"/>
                <w:color w:val="auto"/>
                <w:kern w:val="0"/>
                <w:sz w:val="24"/>
                <w:szCs w:val="24"/>
                <w:lang w:val="en-US" w:eastAsia="zh-CN" w:bidi="ar"/>
              </w:rPr>
              <w:t>1</w:t>
            </w:r>
            <w:r>
              <w:rPr>
                <w:rFonts w:hint="default" w:ascii="Times New Roman" w:hAnsi="Times New Roman" w:eastAsia="宋体" w:cs="Times New Roman"/>
                <w:color w:val="auto"/>
                <w:kern w:val="0"/>
                <w:sz w:val="24"/>
                <w:szCs w:val="24"/>
                <w:lang w:val="en-US" w:eastAsia="zh-CN" w:bidi="ar"/>
              </w:rPr>
              <w:t>7</w:t>
            </w:r>
            <w:r>
              <w:rPr>
                <w:rFonts w:hint="eastAsia" w:ascii="宋体" w:hAnsi="宋体" w:eastAsia="宋体" w:cs="宋体"/>
                <w:color w:val="auto"/>
                <w:kern w:val="0"/>
                <w:sz w:val="24"/>
                <w:szCs w:val="24"/>
                <w:lang w:val="en-US" w:eastAsia="zh-CN" w:bidi="ar"/>
              </w:rPr>
              <w:t>），冷却塔的蒸发损失率可按下列经验公式计算：</w:t>
            </w:r>
          </w:p>
          <w:p w14:paraId="30FA5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color w:val="auto"/>
                <w:sz w:val="24"/>
                <w:szCs w:val="24"/>
              </w:rPr>
            </w:pPr>
            <w:r>
              <w:rPr>
                <w:rFonts w:hint="default" w:ascii="Times New Roman" w:hAnsi="Times New Roman" w:eastAsia="宋体" w:cs="Times New Roman"/>
                <w:color w:val="auto"/>
                <w:kern w:val="0"/>
                <w:sz w:val="24"/>
                <w:szCs w:val="24"/>
                <w:lang w:val="en-US" w:eastAsia="zh-CN" w:bidi="ar"/>
              </w:rPr>
              <w:t>QE=</w:t>
            </w:r>
            <w:r>
              <w:rPr>
                <w:rFonts w:hint="eastAsia" w:cs="Times New Roman"/>
                <w:color w:val="auto"/>
                <w:kern w:val="0"/>
                <w:sz w:val="24"/>
                <w:szCs w:val="24"/>
                <w:lang w:val="en-US" w:eastAsia="zh-CN" w:bidi="ar"/>
              </w:rPr>
              <w:t>k</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t×Qr</w:t>
            </w:r>
          </w:p>
          <w:p w14:paraId="5E0D08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sz w:val="24"/>
                <w:szCs w:val="24"/>
              </w:rPr>
            </w:pPr>
            <w:r>
              <w:rPr>
                <w:rFonts w:hint="eastAsia" w:ascii="宋体" w:hAnsi="宋体" w:eastAsia="宋体" w:cs="宋体"/>
                <w:color w:val="auto"/>
                <w:kern w:val="0"/>
                <w:sz w:val="24"/>
                <w:szCs w:val="24"/>
                <w:lang w:val="en-US" w:eastAsia="zh-CN" w:bidi="ar"/>
              </w:rPr>
              <w:t xml:space="preserve">式中： </w:t>
            </w:r>
          </w:p>
          <w:p w14:paraId="039544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sz w:val="24"/>
                <w:szCs w:val="24"/>
              </w:rPr>
            </w:pPr>
            <w:r>
              <w:rPr>
                <w:rFonts w:hint="default" w:ascii="Times New Roman" w:hAnsi="Times New Roman" w:eastAsia="宋体" w:cs="Times New Roman"/>
                <w:color w:val="auto"/>
                <w:kern w:val="0"/>
                <w:sz w:val="24"/>
                <w:szCs w:val="24"/>
                <w:lang w:val="en-US" w:eastAsia="zh-CN" w:bidi="ar"/>
              </w:rPr>
              <w:t>QE——</w:t>
            </w:r>
            <w:r>
              <w:rPr>
                <w:rFonts w:hint="eastAsia" w:ascii="宋体" w:hAnsi="宋体" w:eastAsia="宋体" w:cs="宋体"/>
                <w:color w:val="auto"/>
                <w:kern w:val="0"/>
                <w:sz w:val="24"/>
                <w:szCs w:val="24"/>
                <w:lang w:val="en-US" w:eastAsia="zh-CN" w:bidi="ar"/>
              </w:rPr>
              <w:t>蒸发量，</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w:t>
            </w:r>
            <w:r>
              <w:rPr>
                <w:rFonts w:hint="eastAsia" w:ascii="宋体" w:hAnsi="宋体" w:eastAsia="宋体" w:cs="宋体"/>
                <w:color w:val="auto"/>
                <w:kern w:val="0"/>
                <w:sz w:val="24"/>
                <w:szCs w:val="24"/>
                <w:lang w:val="en-US" w:eastAsia="zh-CN" w:bidi="ar"/>
              </w:rPr>
              <w:t>；</w:t>
            </w:r>
          </w:p>
          <w:p w14:paraId="360B9D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sz w:val="24"/>
                <w:szCs w:val="24"/>
              </w:rPr>
            </w:pP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t——</w:t>
            </w:r>
            <w:r>
              <w:rPr>
                <w:rFonts w:hint="eastAsia" w:ascii="宋体" w:hAnsi="宋体" w:eastAsia="宋体" w:cs="宋体"/>
                <w:color w:val="auto"/>
                <w:kern w:val="0"/>
                <w:sz w:val="24"/>
                <w:szCs w:val="24"/>
                <w:lang w:val="en-US" w:eastAsia="zh-CN" w:bidi="ar"/>
              </w:rPr>
              <w:t>冷却塔进水与出水温度差，℃；本评价进出水温度差按</w:t>
            </w:r>
            <w:r>
              <w:rPr>
                <w:rFonts w:hint="default" w:ascii="Times New Roman" w:hAnsi="Times New Roman" w:eastAsia="宋体" w:cs="Times New Roman"/>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 xml:space="preserve">℃计； </w:t>
            </w:r>
          </w:p>
          <w:p w14:paraId="7FC283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sz w:val="24"/>
                <w:szCs w:val="24"/>
              </w:rPr>
            </w:pPr>
            <w:r>
              <w:rPr>
                <w:rFonts w:hint="eastAsia" w:cs="Times New Roman"/>
                <w:color w:val="auto"/>
                <w:kern w:val="0"/>
                <w:sz w:val="24"/>
                <w:szCs w:val="24"/>
                <w:lang w:val="en-US" w:eastAsia="zh-CN" w:bidi="ar"/>
              </w:rPr>
              <w:t>k</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系数，</w:t>
            </w:r>
            <w:r>
              <w:rPr>
                <w:rFonts w:hint="default" w:ascii="Times New Roman" w:hAnsi="Times New Roman" w:eastAsia="宋体" w:cs="Times New Roman"/>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℃；本评价按平均环境温度</w:t>
            </w:r>
            <w:r>
              <w:rPr>
                <w:rFonts w:hint="default" w:ascii="Times New Roman" w:hAnsi="Times New Roman" w:eastAsia="宋体" w:cs="Times New Roman"/>
                <w:color w:val="auto"/>
                <w:kern w:val="0"/>
                <w:sz w:val="24"/>
                <w:szCs w:val="24"/>
                <w:lang w:val="en-US" w:eastAsia="zh-CN" w:bidi="ar"/>
              </w:rPr>
              <w:t>25</w:t>
            </w:r>
            <w:r>
              <w:rPr>
                <w:rFonts w:hint="eastAsia" w:ascii="宋体" w:hAnsi="宋体" w:eastAsia="宋体" w:cs="宋体"/>
                <w:color w:val="auto"/>
                <w:kern w:val="0"/>
                <w:sz w:val="24"/>
                <w:szCs w:val="24"/>
                <w:lang w:val="en-US" w:eastAsia="zh-CN" w:bidi="ar"/>
              </w:rPr>
              <w:t>℃计，系数取</w:t>
            </w:r>
            <w:r>
              <w:rPr>
                <w:rFonts w:hint="default" w:ascii="Times New Roman" w:hAnsi="Times New Roman" w:eastAsia="宋体" w:cs="Times New Roman"/>
                <w:color w:val="auto"/>
                <w:kern w:val="0"/>
                <w:sz w:val="24"/>
                <w:szCs w:val="24"/>
                <w:lang w:val="en-US" w:eastAsia="zh-CN" w:bidi="ar"/>
              </w:rPr>
              <w:t>0.00145/</w:t>
            </w:r>
            <w:r>
              <w:rPr>
                <w:rFonts w:hint="eastAsia" w:ascii="宋体" w:hAnsi="宋体" w:eastAsia="宋体" w:cs="宋体"/>
                <w:color w:val="auto"/>
                <w:kern w:val="0"/>
                <w:sz w:val="24"/>
                <w:szCs w:val="24"/>
                <w:lang w:val="en-US" w:eastAsia="zh-CN" w:bidi="ar"/>
              </w:rPr>
              <w:t xml:space="preserve">℃； </w:t>
            </w:r>
          </w:p>
          <w:p w14:paraId="4D255F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Qr——</w:t>
            </w:r>
            <w:r>
              <w:rPr>
                <w:rFonts w:hint="eastAsia" w:ascii="宋体" w:hAnsi="宋体" w:eastAsia="宋体" w:cs="宋体"/>
                <w:color w:val="auto"/>
                <w:kern w:val="0"/>
                <w:sz w:val="24"/>
                <w:szCs w:val="24"/>
                <w:lang w:val="en-US" w:eastAsia="zh-CN" w:bidi="ar"/>
              </w:rPr>
              <w:t>循环冷却水量，</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 xml:space="preserve">/h。 </w:t>
            </w:r>
          </w:p>
          <w:p w14:paraId="7727FD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综上计算可知，本项目冷却塔蒸发水量为0.</w:t>
            </w:r>
            <w:r>
              <w:rPr>
                <w:rFonts w:hint="eastAsia" w:cs="Times New Roman"/>
                <w:color w:val="auto"/>
                <w:kern w:val="0"/>
                <w:sz w:val="24"/>
                <w:szCs w:val="24"/>
                <w:lang w:val="en-US" w:eastAsia="zh-CN" w:bidi="ar"/>
              </w:rPr>
              <w:t>2175</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w:t>
            </w:r>
            <w:r>
              <w:rPr>
                <w:rFonts w:hint="eastAsia" w:cs="Times New Roman"/>
                <w:color w:val="auto"/>
                <w:kern w:val="0"/>
                <w:sz w:val="24"/>
                <w:szCs w:val="24"/>
                <w:lang w:val="en-US" w:eastAsia="zh-CN" w:bidi="ar"/>
              </w:rPr>
              <w:t>5.22</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cs="Times New Roman"/>
                <w:color w:val="auto"/>
                <w:kern w:val="0"/>
                <w:sz w:val="24"/>
                <w:szCs w:val="24"/>
                <w:lang w:val="en-US" w:eastAsia="zh-CN" w:bidi="ar"/>
              </w:rPr>
              <w:t>1566</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 xml:space="preserve">/a。 </w:t>
            </w:r>
          </w:p>
          <w:p w14:paraId="68EED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项目循环水系统水质不受污染，仅水温升高，故循环水经冷却降温后循环使用，本项目需补充水量为</w:t>
            </w:r>
            <w:r>
              <w:rPr>
                <w:rFonts w:hint="eastAsia" w:cs="Times New Roman"/>
                <w:color w:val="auto"/>
                <w:kern w:val="0"/>
                <w:sz w:val="24"/>
                <w:szCs w:val="24"/>
                <w:lang w:val="en-US" w:eastAsia="zh-CN" w:bidi="ar"/>
              </w:rPr>
              <w:t>5.22</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cs="Times New Roman"/>
                <w:color w:val="auto"/>
                <w:kern w:val="0"/>
                <w:sz w:val="24"/>
                <w:szCs w:val="24"/>
                <w:lang w:val="en-US" w:eastAsia="zh-CN" w:bidi="ar"/>
              </w:rPr>
              <w:t>1566</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p>
          <w:p w14:paraId="19FA98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由于循环使用过程中水的污染物（SS</w:t>
            </w:r>
            <w:r>
              <w:rPr>
                <w:rFonts w:hint="eastAsia" w:ascii="Times New Roman" w:hAnsi="Times New Roman" w:eastAsia="宋体" w:cs="Times New Roman"/>
                <w:color w:val="auto"/>
                <w:kern w:val="0"/>
                <w:sz w:val="24"/>
                <w:szCs w:val="24"/>
                <w:lang w:val="en-US" w:eastAsia="zh-CN" w:bidi="ar"/>
              </w:rPr>
              <w:t>、盐度</w:t>
            </w:r>
            <w:r>
              <w:rPr>
                <w:rFonts w:hint="default" w:ascii="Times New Roman" w:hAnsi="Times New Roman" w:eastAsia="宋体" w:cs="Times New Roman"/>
                <w:color w:val="auto"/>
                <w:kern w:val="0"/>
                <w:sz w:val="24"/>
                <w:szCs w:val="24"/>
                <w:lang w:val="en-US" w:eastAsia="zh-CN" w:bidi="ar"/>
              </w:rPr>
              <w:t>）逐渐增多而饱和，一直循环使用会损害设备以及影响用水效果，故本项目循环用水需定期更换，项目注塑冷却水仅为间接冷却，不与原料、注塑体、脱模剂直接接触，主要含少量悬浮物、温度偏高，</w:t>
            </w:r>
            <w:r>
              <w:rPr>
                <w:rFonts w:hint="eastAsia" w:ascii="Times New Roman" w:hAnsi="Times New Roman" w:eastAsia="宋体" w:cs="Times New Roman"/>
                <w:color w:val="auto"/>
                <w:kern w:val="0"/>
                <w:sz w:val="24"/>
                <w:szCs w:val="24"/>
                <w:lang w:val="en-US" w:eastAsia="zh-CN" w:bidi="ar"/>
              </w:rPr>
              <w:t>循环系统不添加阻垢剂、杀菌剂，</w:t>
            </w:r>
            <w:r>
              <w:rPr>
                <w:rFonts w:hint="default" w:ascii="Times New Roman" w:hAnsi="Times New Roman" w:eastAsia="宋体" w:cs="Times New Roman"/>
                <w:color w:val="auto"/>
                <w:kern w:val="0"/>
                <w:sz w:val="24"/>
                <w:szCs w:val="24"/>
                <w:lang w:val="en-US" w:eastAsia="zh-CN" w:bidi="ar"/>
              </w:rPr>
              <w:t>水质接近清净下水，与生活污水水质相容，可接入项目区生活污水一体化处理设施处理。故本项目每年更换的冷却</w:t>
            </w:r>
            <w:r>
              <w:rPr>
                <w:rFonts w:hint="eastAsia" w:cs="Times New Roman"/>
                <w:color w:val="auto"/>
                <w:kern w:val="0"/>
                <w:sz w:val="24"/>
                <w:szCs w:val="24"/>
                <w:lang w:val="en-US" w:eastAsia="zh-CN" w:bidi="ar"/>
              </w:rPr>
              <w:t>循环</w:t>
            </w:r>
            <w:r>
              <w:rPr>
                <w:rFonts w:hint="default" w:ascii="Times New Roman" w:hAnsi="Times New Roman" w:eastAsia="宋体" w:cs="Times New Roman"/>
                <w:color w:val="auto"/>
                <w:kern w:val="0"/>
                <w:sz w:val="24"/>
                <w:szCs w:val="24"/>
                <w:lang w:val="en-US" w:eastAsia="zh-CN" w:bidi="ar"/>
              </w:rPr>
              <w:t>废水依托项目</w:t>
            </w:r>
            <w:r>
              <w:rPr>
                <w:rFonts w:hint="eastAsia" w:ascii="宋体" w:hAnsi="宋体" w:eastAsia="宋体" w:cs="宋体"/>
                <w:color w:val="auto"/>
                <w:kern w:val="0"/>
                <w:sz w:val="24"/>
                <w:szCs w:val="24"/>
                <w:lang w:val="en-US" w:eastAsia="zh-CN" w:bidi="ar"/>
              </w:rPr>
              <w:t>区已建一体化生活污水处理设施处理</w:t>
            </w:r>
            <w:r>
              <w:rPr>
                <w:rFonts w:hint="default" w:ascii="Times New Roman" w:hAnsi="Times New Roman" w:eastAsia="宋体" w:cs="Times New Roman"/>
                <w:color w:val="auto"/>
                <w:sz w:val="24"/>
                <w:szCs w:val="24"/>
                <w:lang w:val="en-US" w:eastAsia="zh-CN"/>
              </w:rPr>
              <w:t>达标后用于厂区绿化浇灌及洒水降尘</w:t>
            </w:r>
            <w:r>
              <w:rPr>
                <w:rFonts w:hint="eastAsia" w:ascii="宋体" w:hAnsi="宋体" w:eastAsia="宋体" w:cs="宋体"/>
                <w:color w:val="auto"/>
                <w:kern w:val="0"/>
                <w:sz w:val="24"/>
                <w:szCs w:val="24"/>
                <w:lang w:val="en-US" w:eastAsia="zh-CN" w:bidi="ar"/>
              </w:rPr>
              <w:t>。</w:t>
            </w:r>
          </w:p>
          <w:p w14:paraId="14CA29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eastAsia" w:ascii="宋体" w:hAnsi="宋体" w:eastAsia="宋体" w:cs="宋体"/>
                <w:color w:val="auto"/>
                <w:kern w:val="0"/>
                <w:sz w:val="24"/>
                <w:szCs w:val="24"/>
                <w:lang w:val="en-US" w:eastAsia="zh-CN" w:bidi="ar"/>
              </w:rPr>
              <w:t>根据《工业循</w:t>
            </w:r>
            <w:r>
              <w:rPr>
                <w:rFonts w:hint="default" w:ascii="Times New Roman" w:hAnsi="Times New Roman" w:eastAsia="宋体" w:cs="Times New Roman"/>
                <w:color w:val="auto"/>
                <w:kern w:val="0"/>
                <w:sz w:val="24"/>
                <w:szCs w:val="24"/>
                <w:lang w:val="en-US" w:eastAsia="zh-CN" w:bidi="ar"/>
              </w:rPr>
              <w:t>环冷却水处理设计规范》（GB</w:t>
            </w:r>
            <w:r>
              <w:rPr>
                <w:rFonts w:hint="default" w:ascii="Times New Roman" w:hAnsi="Times New Roman" w:cs="Times New Roman"/>
                <w:color w:val="auto"/>
                <w:kern w:val="0"/>
                <w:sz w:val="24"/>
                <w:szCs w:val="24"/>
                <w:lang w:val="en-US" w:eastAsia="zh-CN" w:bidi="ar"/>
              </w:rPr>
              <w:t xml:space="preserve">/T </w:t>
            </w:r>
            <w:r>
              <w:rPr>
                <w:rFonts w:hint="default" w:ascii="Times New Roman" w:hAnsi="Times New Roman" w:eastAsia="宋体" w:cs="Times New Roman"/>
                <w:color w:val="auto"/>
                <w:kern w:val="0"/>
                <w:sz w:val="24"/>
                <w:szCs w:val="24"/>
                <w:lang w:val="en-US" w:eastAsia="zh-CN" w:bidi="ar"/>
              </w:rPr>
              <w:t>50050-20</w:t>
            </w:r>
            <w:r>
              <w:rPr>
                <w:rFonts w:hint="default" w:ascii="Times New Roman" w:hAnsi="Times New Roman" w:cs="Times New Roman"/>
                <w:color w:val="auto"/>
                <w:kern w:val="0"/>
                <w:sz w:val="24"/>
                <w:szCs w:val="24"/>
                <w:lang w:val="en-US" w:eastAsia="zh-CN" w:bidi="ar"/>
              </w:rPr>
              <w:t>1</w:t>
            </w:r>
            <w:r>
              <w:rPr>
                <w:rFonts w:hint="default" w:ascii="Times New Roman" w:hAnsi="Times New Roman" w:eastAsia="宋体" w:cs="Times New Roman"/>
                <w:color w:val="auto"/>
                <w:kern w:val="0"/>
                <w:sz w:val="24"/>
                <w:szCs w:val="24"/>
                <w:lang w:val="en-US" w:eastAsia="zh-CN" w:bidi="ar"/>
              </w:rPr>
              <w:t>7），间冷开式系统设计浓缩倍数不宜小于5.0，本项目浓缩倍数取5，则项目定期排污水量＝蒸发损失量/（浓缩倍数-1）＝1566m³/a/（5-1）≈391.5m³/a（1.31m³/d）。</w:t>
            </w:r>
          </w:p>
          <w:p w14:paraId="69A501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冷却水总用水量为：</w:t>
            </w:r>
            <w:r>
              <w:rPr>
                <w:rFonts w:hint="eastAsia" w:ascii="宋体" w:hAnsi="宋体" w:eastAsia="宋体" w:cs="宋体"/>
                <w:color w:val="auto"/>
                <w:kern w:val="0"/>
                <w:sz w:val="24"/>
                <w:szCs w:val="24"/>
                <w:lang w:val="en-US" w:eastAsia="zh-CN" w:bidi="ar"/>
              </w:rPr>
              <w:t>冷却水槽内水量</w:t>
            </w:r>
            <w:r>
              <w:rPr>
                <w:rFonts w:hint="default" w:ascii="Times New Roman" w:hAnsi="Times New Roman" w:eastAsia="宋体" w:cs="Times New Roman"/>
                <w:b/>
                <w:bCs/>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蒸发损耗补水量+</w:t>
            </w:r>
            <w:r>
              <w:rPr>
                <w:rFonts w:hint="default" w:ascii="Times New Roman" w:hAnsi="Times New Roman" w:eastAsia="宋体" w:cs="Times New Roman"/>
                <w:color w:val="auto"/>
                <w:kern w:val="0"/>
                <w:sz w:val="24"/>
                <w:szCs w:val="24"/>
                <w:lang w:val="en-US" w:eastAsia="zh-CN" w:bidi="ar"/>
              </w:rPr>
              <w:t>定期排污水量</w:t>
            </w:r>
            <w:r>
              <w:rPr>
                <w:rFonts w:hint="eastAsia" w:ascii="宋体" w:hAnsi="宋体" w:eastAsia="宋体" w:cs="宋体"/>
                <w:color w:val="auto"/>
                <w:kern w:val="0"/>
                <w:sz w:val="24"/>
                <w:szCs w:val="24"/>
                <w:lang w:val="en-US" w:eastAsia="zh-CN" w:bidi="ar"/>
              </w:rPr>
              <w:t>为：</w:t>
            </w:r>
            <w:r>
              <w:rPr>
                <w:rFonts w:hint="eastAsia" w:ascii="Times New Roman" w:hAnsi="Times New Roman" w:eastAsia="宋体" w:cs="Times New Roman"/>
                <w:color w:val="auto"/>
                <w:kern w:val="0"/>
                <w:sz w:val="24"/>
                <w:szCs w:val="24"/>
                <w:lang w:val="en-US" w:eastAsia="zh-CN" w:bidi="ar"/>
              </w:rPr>
              <w:t>10</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³</w:t>
            </w:r>
            <w:r>
              <w:rPr>
                <w:rFonts w:hint="default" w:ascii="Times New Roman" w:hAnsi="Times New Roman" w:eastAsia="宋体" w:cs="Times New Roman"/>
                <w:color w:val="auto"/>
                <w:kern w:val="0"/>
                <w:sz w:val="24"/>
                <w:szCs w:val="24"/>
                <w:lang w:val="en-US" w:eastAsia="zh-CN" w:bidi="ar"/>
              </w:rPr>
              <w:t>/a+</w:t>
            </w:r>
            <w:r>
              <w:rPr>
                <w:rFonts w:hint="eastAsia" w:cs="Times New Roman"/>
                <w:color w:val="auto"/>
                <w:kern w:val="0"/>
                <w:sz w:val="24"/>
                <w:szCs w:val="24"/>
                <w:lang w:val="en-US" w:eastAsia="zh-CN" w:bidi="ar"/>
              </w:rPr>
              <w:t>1566</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³</w:t>
            </w:r>
            <w:r>
              <w:rPr>
                <w:rFonts w:hint="default" w:ascii="Times New Roman" w:hAnsi="Times New Roman" w:eastAsia="宋体" w:cs="Times New Roman"/>
                <w:color w:val="auto"/>
                <w:kern w:val="0"/>
                <w:sz w:val="24"/>
                <w:szCs w:val="24"/>
                <w:lang w:val="en-US" w:eastAsia="zh-CN" w:bidi="ar"/>
              </w:rPr>
              <w:t>/a</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391.5m³/a=</w:t>
            </w:r>
            <w:r>
              <w:rPr>
                <w:rFonts w:hint="eastAsia" w:cs="Times New Roman"/>
                <w:color w:val="auto"/>
                <w:kern w:val="0"/>
                <w:sz w:val="24"/>
                <w:szCs w:val="24"/>
                <w:lang w:val="en-US" w:eastAsia="zh-CN" w:bidi="ar"/>
              </w:rPr>
              <w:t>1967.5</w:t>
            </w:r>
            <w:r>
              <w:rPr>
                <w:rFonts w:hint="default" w:ascii="Times New Roman" w:hAnsi="Times New Roman" w:eastAsia="宋体" w:cs="Times New Roman"/>
                <w:color w:val="auto"/>
                <w:kern w:val="0"/>
                <w:sz w:val="24"/>
                <w:szCs w:val="24"/>
                <w:lang w:val="en-US" w:eastAsia="zh-CN" w:bidi="ar"/>
              </w:rPr>
              <w:t>m</w:t>
            </w:r>
            <w:r>
              <w:rPr>
                <w:rFonts w:hint="eastAsia" w:ascii="宋体" w:hAnsi="宋体" w:eastAsia="宋体" w:cs="宋体"/>
                <w:color w:val="auto"/>
                <w:kern w:val="0"/>
                <w:sz w:val="24"/>
                <w:szCs w:val="24"/>
                <w:lang w:val="en-US" w:eastAsia="zh-CN" w:bidi="ar"/>
              </w:rPr>
              <w:t>³</w:t>
            </w:r>
            <w:r>
              <w:rPr>
                <w:rFonts w:hint="default" w:ascii="Times New Roman" w:hAnsi="Times New Roman" w:eastAsia="宋体" w:cs="Times New Roman"/>
                <w:color w:val="auto"/>
                <w:kern w:val="0"/>
                <w:sz w:val="24"/>
                <w:szCs w:val="24"/>
                <w:lang w:val="en-US" w:eastAsia="zh-CN" w:bidi="ar"/>
              </w:rPr>
              <w:t>/a</w:t>
            </w:r>
            <w:r>
              <w:rPr>
                <w:rFonts w:hint="eastAsia" w:eastAsia="宋体"/>
                <w:color w:val="auto"/>
                <w:sz w:val="24"/>
                <w:szCs w:val="24"/>
                <w:lang w:eastAsia="zh-CN"/>
              </w:rPr>
              <w:t>。</w:t>
            </w:r>
          </w:p>
          <w:p w14:paraId="442B34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kern w:val="0"/>
                <w:sz w:val="24"/>
                <w:szCs w:val="24"/>
                <w:lang w:val="en-US" w:eastAsia="zh-CN" w:bidi="ar"/>
              </w:rPr>
              <w:t>绿化用水及道路场地洒水</w:t>
            </w:r>
          </w:p>
          <w:p w14:paraId="44EADD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b w:val="0"/>
                <w:bCs w:val="0"/>
                <w:color w:val="auto"/>
                <w:kern w:val="0"/>
                <w:sz w:val="24"/>
                <w:szCs w:val="24"/>
              </w:rPr>
              <w:t>租用</w:t>
            </w:r>
            <w:r>
              <w:rPr>
                <w:rFonts w:hint="default" w:ascii="Times New Roman" w:hAnsi="Times New Roman" w:eastAsia="宋体" w:cs="Times New Roman"/>
                <w:color w:val="auto"/>
                <w:sz w:val="24"/>
                <w:szCs w:val="24"/>
                <w:lang w:eastAsia="zh-CN"/>
              </w:rPr>
              <w:t>云南鹏达冠得有限公司</w:t>
            </w:r>
            <w:r>
              <w:rPr>
                <w:rFonts w:hint="default" w:ascii="Times New Roman" w:hAnsi="Times New Roman" w:eastAsia="宋体" w:cs="Times New Roman"/>
                <w:b w:val="0"/>
                <w:bCs w:val="0"/>
                <w:color w:val="auto"/>
                <w:kern w:val="0"/>
                <w:sz w:val="24"/>
                <w:szCs w:val="24"/>
              </w:rPr>
              <w:t>已建闲置厂房</w:t>
            </w:r>
            <w:r>
              <w:rPr>
                <w:rFonts w:hint="default" w:ascii="Times New Roman" w:hAnsi="Times New Roman" w:eastAsia="宋体" w:cs="Times New Roman"/>
                <w:b w:val="0"/>
                <w:bCs w:val="0"/>
                <w:color w:val="auto"/>
                <w:kern w:val="0"/>
                <w:sz w:val="24"/>
                <w:szCs w:val="24"/>
                <w:lang w:val="en-US" w:eastAsia="zh-CN"/>
              </w:rPr>
              <w:t>和办公区</w:t>
            </w:r>
            <w:r>
              <w:rPr>
                <w:rFonts w:hint="default" w:ascii="Times New Roman" w:hAnsi="Times New Roman" w:eastAsia="宋体" w:cs="Times New Roman"/>
                <w:b w:val="0"/>
                <w:bCs w:val="0"/>
                <w:color w:val="auto"/>
                <w:kern w:val="0"/>
                <w:sz w:val="24"/>
                <w:szCs w:val="24"/>
              </w:rPr>
              <w:t>进行建设</w:t>
            </w:r>
            <w:r>
              <w:rPr>
                <w:rFonts w:hint="default" w:ascii="Times New Roman" w:hAnsi="Times New Roman" w:eastAsia="宋体" w:cs="Times New Roman"/>
                <w:b w:val="0"/>
                <w:bCs w:val="0"/>
                <w:color w:val="auto"/>
                <w:kern w:val="0"/>
                <w:sz w:val="24"/>
                <w:szCs w:val="24"/>
                <w:lang w:eastAsia="zh-CN"/>
              </w:rPr>
              <w:t>，</w:t>
            </w:r>
            <w:r>
              <w:rPr>
                <w:rFonts w:hint="default" w:ascii="Times New Roman" w:hAnsi="Times New Roman" w:eastAsia="宋体" w:cs="Times New Roman"/>
                <w:b w:val="0"/>
                <w:bCs w:val="0"/>
                <w:color w:val="auto"/>
                <w:kern w:val="0"/>
                <w:sz w:val="24"/>
                <w:szCs w:val="24"/>
                <w:lang w:val="en-US" w:eastAsia="zh-CN"/>
              </w:rPr>
              <w:t>项目内已配备有250m</w:t>
            </w:r>
            <w:r>
              <w:rPr>
                <w:rFonts w:hint="default" w:ascii="Times New Roman" w:hAnsi="Times New Roman" w:eastAsia="宋体" w:cs="Times New Roman"/>
                <w:b w:val="0"/>
                <w:bCs w:val="0"/>
                <w:color w:val="auto"/>
                <w:kern w:val="0"/>
                <w:sz w:val="24"/>
                <w:szCs w:val="24"/>
                <w:vertAlign w:val="superscript"/>
                <w:lang w:val="en-US" w:eastAsia="zh-CN"/>
              </w:rPr>
              <w:t>2</w:t>
            </w:r>
            <w:r>
              <w:rPr>
                <w:rFonts w:hint="default" w:ascii="Times New Roman" w:hAnsi="Times New Roman" w:eastAsia="宋体" w:cs="Times New Roman"/>
                <w:b w:val="0"/>
                <w:bCs w:val="0"/>
                <w:color w:val="auto"/>
                <w:kern w:val="0"/>
                <w:sz w:val="24"/>
                <w:szCs w:val="24"/>
                <w:lang w:val="en-US" w:eastAsia="zh-CN"/>
              </w:rPr>
              <w:t>的绿化，本项目不单独新增绿化，故</w:t>
            </w:r>
            <w:r>
              <w:rPr>
                <w:rFonts w:hint="eastAsia" w:ascii="Times New Roman" w:hAnsi="Times New Roman" w:eastAsia="宋体" w:cs="Times New Roman"/>
                <w:b w:val="0"/>
                <w:bCs w:val="0"/>
                <w:color w:val="auto"/>
                <w:kern w:val="0"/>
                <w:sz w:val="24"/>
                <w:szCs w:val="24"/>
                <w:lang w:val="en-US" w:eastAsia="zh-CN"/>
              </w:rPr>
              <w:t>区域的绿化用水不纳入本项目内容，</w:t>
            </w:r>
            <w:r>
              <w:rPr>
                <w:rFonts w:hint="default" w:ascii="Times New Roman" w:hAnsi="Times New Roman" w:eastAsia="宋体" w:cs="Times New Roman"/>
                <w:b w:val="0"/>
                <w:bCs w:val="0"/>
                <w:color w:val="auto"/>
                <w:kern w:val="0"/>
                <w:sz w:val="24"/>
                <w:szCs w:val="24"/>
                <w:lang w:val="en-US" w:eastAsia="zh-CN"/>
              </w:rPr>
              <w:t>本次环评不再进行项目区绿化用水的预测</w:t>
            </w:r>
            <w:r>
              <w:rPr>
                <w:rFonts w:hint="default" w:ascii="Times New Roman" w:hAnsi="Times New Roman" w:eastAsia="宋体" w:cs="Times New Roman"/>
                <w:color w:val="auto"/>
                <w:sz w:val="24"/>
                <w:szCs w:val="24"/>
                <w:lang w:val="en-US" w:eastAsia="zh-CN"/>
              </w:rPr>
              <w:t>。</w:t>
            </w:r>
          </w:p>
          <w:p w14:paraId="4765E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kern w:val="0"/>
                <w:sz w:val="24"/>
                <w:szCs w:val="24"/>
                <w:lang w:val="en-US" w:eastAsia="zh-CN" w:bidi="ar"/>
              </w:rPr>
              <w:t>云南鹏达冠得家具有限公司家具生产项目竣工验收监测表</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云南鹏达冠得家具有限公司</w:t>
            </w:r>
            <w:r>
              <w:rPr>
                <w:rFonts w:hint="default" w:ascii="Times New Roman" w:hAnsi="Times New Roman" w:eastAsia="宋体" w:cs="Times New Roman"/>
                <w:b w:val="0"/>
                <w:bCs w:val="0"/>
                <w:color w:val="auto"/>
                <w:kern w:val="0"/>
                <w:sz w:val="24"/>
                <w:szCs w:val="24"/>
                <w:lang w:val="en-US" w:eastAsia="zh-CN" w:bidi="ar"/>
              </w:rPr>
              <w:t>绿化及道路场地洒水用水量约为4.65m</w:t>
            </w:r>
            <w:r>
              <w:rPr>
                <w:rFonts w:hint="default" w:ascii="Times New Roman" w:hAnsi="Times New Roman" w:eastAsia="宋体" w:cs="Times New Roman"/>
                <w:b w:val="0"/>
                <w:bCs w:val="0"/>
                <w:color w:val="auto"/>
                <w:kern w:val="0"/>
                <w:sz w:val="24"/>
                <w:szCs w:val="24"/>
                <w:vertAlign w:val="superscript"/>
                <w:lang w:val="en-US" w:eastAsia="zh-CN" w:bidi="ar"/>
              </w:rPr>
              <w:t>3</w:t>
            </w:r>
            <w:r>
              <w:rPr>
                <w:rFonts w:hint="default" w:ascii="Times New Roman" w:hAnsi="Times New Roman" w:eastAsia="宋体" w:cs="Times New Roman"/>
                <w:b w:val="0"/>
                <w:bCs w:val="0"/>
                <w:color w:val="auto"/>
                <w:kern w:val="0"/>
                <w:sz w:val="24"/>
                <w:szCs w:val="24"/>
                <w:lang w:val="en-US" w:eastAsia="zh-CN" w:bidi="ar"/>
              </w:rPr>
              <w:t>/d（976.5m</w:t>
            </w:r>
            <w:r>
              <w:rPr>
                <w:rFonts w:hint="default" w:ascii="Times New Roman" w:hAnsi="Times New Roman" w:eastAsia="宋体" w:cs="Times New Roman"/>
                <w:b w:val="0"/>
                <w:bCs w:val="0"/>
                <w:color w:val="auto"/>
                <w:kern w:val="0"/>
                <w:sz w:val="24"/>
                <w:szCs w:val="24"/>
                <w:vertAlign w:val="superscript"/>
                <w:lang w:val="en-US" w:eastAsia="zh-CN" w:bidi="ar"/>
              </w:rPr>
              <w:t>3</w:t>
            </w:r>
            <w:r>
              <w:rPr>
                <w:rFonts w:hint="default" w:ascii="Times New Roman" w:hAnsi="Times New Roman" w:eastAsia="宋体" w:cs="Times New Roman"/>
                <w:b w:val="0"/>
                <w:bCs w:val="0"/>
                <w:color w:val="auto"/>
                <w:kern w:val="0"/>
                <w:sz w:val="24"/>
                <w:szCs w:val="24"/>
                <w:lang w:val="en-US" w:eastAsia="zh-CN" w:bidi="ar"/>
              </w:rPr>
              <w:t>/a）</w:t>
            </w:r>
            <w:r>
              <w:rPr>
                <w:rFonts w:hint="default" w:ascii="Times New Roman" w:hAnsi="Times New Roman" w:eastAsia="宋体" w:cs="Times New Roman"/>
                <w:color w:val="auto"/>
                <w:sz w:val="24"/>
                <w:szCs w:val="24"/>
                <w:lang w:val="en-US" w:eastAsia="zh-CN"/>
              </w:rPr>
              <w:t>，全部蒸发。</w:t>
            </w:r>
          </w:p>
          <w:p w14:paraId="6779BFE2">
            <w:pPr>
              <w:pStyle w:val="60"/>
              <w:keepNext w:val="0"/>
              <w:keepLines w:val="0"/>
              <w:pageBreakBefore w:val="0"/>
              <w:widowControl w:val="0"/>
              <w:suppressLineNumbers w:val="0"/>
              <w:kinsoku/>
              <w:wordWrap w:val="0"/>
              <w:overflowPunct/>
              <w:topLinePunct/>
              <w:autoSpaceDE/>
              <w:autoSpaceDN/>
              <w:bidi w:val="0"/>
              <w:adjustRightInd w:val="0"/>
              <w:snapToGrid/>
              <w:spacing w:before="0" w:beforeAutospacing="0" w:after="0" w:afterAutospacing="0"/>
              <w:ind w:firstLine="482" w:firstLineChars="200"/>
              <w:textAlignment w:val="baseline"/>
              <w:rPr>
                <w:rFonts w:hint="default" w:ascii="Times New Roman" w:hAnsi="Times New Roman" w:eastAsia="宋体" w:cs="Times New Roman"/>
                <w:b/>
                <w:bCs w:val="0"/>
                <w:color w:val="auto"/>
                <w:sz w:val="24"/>
                <w:szCs w:val="24"/>
                <w:lang w:val="en-US" w:eastAsia="zh-CN"/>
              </w:rPr>
            </w:pPr>
            <w:r>
              <w:rPr>
                <w:rFonts w:hint="eastAsia" w:eastAsia="宋体" w:cs="Times New Roman"/>
                <w:b/>
                <w:bCs w:val="0"/>
                <w:color w:val="auto"/>
                <w:sz w:val="24"/>
                <w:szCs w:val="24"/>
                <w:lang w:val="en-US" w:eastAsia="zh-CN"/>
              </w:rPr>
              <w:t>4、</w:t>
            </w:r>
            <w:r>
              <w:rPr>
                <w:rFonts w:hint="default" w:ascii="Times New Roman" w:hAnsi="Times New Roman" w:eastAsia="宋体" w:cs="Times New Roman"/>
                <w:b/>
                <w:bCs w:val="0"/>
                <w:color w:val="auto"/>
                <w:sz w:val="24"/>
                <w:szCs w:val="24"/>
                <w:lang w:val="en-US" w:eastAsia="zh-CN"/>
              </w:rPr>
              <w:t>项目</w:t>
            </w:r>
            <w:r>
              <w:rPr>
                <w:rFonts w:hint="default" w:ascii="Times New Roman" w:hAnsi="Times New Roman" w:eastAsia="宋体" w:cs="Times New Roman"/>
                <w:b/>
                <w:bCs w:val="0"/>
                <w:color w:val="auto"/>
                <w:sz w:val="24"/>
                <w:szCs w:val="24"/>
              </w:rPr>
              <w:t>用水及废水</w:t>
            </w:r>
            <w:r>
              <w:rPr>
                <w:rFonts w:hint="default" w:ascii="Times New Roman" w:hAnsi="Times New Roman" w:eastAsia="宋体" w:cs="Times New Roman"/>
                <w:b/>
                <w:bCs w:val="0"/>
                <w:color w:val="auto"/>
                <w:sz w:val="24"/>
                <w:szCs w:val="24"/>
                <w:lang w:val="en-US" w:eastAsia="zh-CN"/>
              </w:rPr>
              <w:t>产排情况汇总</w:t>
            </w:r>
          </w:p>
          <w:p w14:paraId="0631D1D7">
            <w:pPr>
              <w:pStyle w:val="60"/>
              <w:keepNext w:val="0"/>
              <w:keepLines w:val="0"/>
              <w:pageBreakBefore w:val="0"/>
              <w:widowControl w:val="0"/>
              <w:suppressLineNumbers w:val="0"/>
              <w:kinsoku/>
              <w:wordWrap w:val="0"/>
              <w:overflowPunct/>
              <w:topLinePunct/>
              <w:autoSpaceDE/>
              <w:autoSpaceDN/>
              <w:bidi w:val="0"/>
              <w:adjustRightInd w:val="0"/>
              <w:snapToGrid/>
              <w:spacing w:before="0" w:beforeAutospacing="0" w:after="0" w:afterAutospacing="0"/>
              <w:ind w:firstLine="480" w:firstLineChars="200"/>
              <w:textAlignment w:val="baseline"/>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项目用水及废水产生情况详见表2-</w:t>
            </w:r>
            <w:r>
              <w:rPr>
                <w:rFonts w:hint="eastAsia" w:eastAsia="宋体" w:cs="Times New Roman"/>
                <w:bCs/>
                <w:color w:val="auto"/>
                <w:sz w:val="24"/>
                <w:szCs w:val="24"/>
                <w:lang w:val="en-US" w:eastAsia="zh-CN"/>
              </w:rPr>
              <w:t>7</w:t>
            </w:r>
            <w:r>
              <w:rPr>
                <w:rFonts w:hint="default" w:ascii="Times New Roman" w:hAnsi="Times New Roman" w:eastAsia="宋体" w:cs="Times New Roman"/>
                <w:bCs/>
                <w:color w:val="auto"/>
                <w:sz w:val="24"/>
                <w:szCs w:val="24"/>
              </w:rPr>
              <w:t>。</w:t>
            </w:r>
          </w:p>
          <w:p w14:paraId="2B88D696">
            <w:pPr>
              <w:keepNext w:val="0"/>
              <w:keepLines w:val="0"/>
              <w:suppressLineNumbers w:val="0"/>
              <w:spacing w:before="0" w:beforeAutospacing="0" w:after="0" w:afterAutospacing="0" w:line="360" w:lineRule="auto"/>
              <w:ind w:left="50" w:right="50" w:firstLine="48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color w:val="auto"/>
                <w:sz w:val="21"/>
                <w:szCs w:val="21"/>
              </w:rPr>
              <w:t>表2-</w:t>
            </w:r>
            <w:r>
              <w:rPr>
                <w:rFonts w:hint="eastAsia" w:cs="Times New Roman"/>
                <w:b/>
                <w:bCs/>
                <w:color w:val="auto"/>
                <w:sz w:val="21"/>
                <w:szCs w:val="21"/>
                <w:lang w:val="en-US" w:eastAsia="zh-CN"/>
              </w:rPr>
              <w:t>7</w:t>
            </w:r>
            <w:r>
              <w:rPr>
                <w:rFonts w:hint="default" w:ascii="Times New Roman" w:hAnsi="Times New Roman" w:eastAsia="宋体" w:cs="Times New Roman"/>
                <w:b/>
                <w:bCs/>
                <w:color w:val="auto"/>
                <w:sz w:val="21"/>
                <w:szCs w:val="21"/>
              </w:rPr>
              <w:t xml:space="preserve">  项目用水及废水产生情况统计表</w:t>
            </w:r>
          </w:p>
          <w:tbl>
            <w:tblPr>
              <w:tblStyle w:val="36"/>
              <w:tblW w:w="8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5"/>
              <w:gridCol w:w="682"/>
              <w:gridCol w:w="891"/>
              <w:gridCol w:w="990"/>
              <w:gridCol w:w="1005"/>
              <w:gridCol w:w="1125"/>
              <w:gridCol w:w="1110"/>
              <w:gridCol w:w="2332"/>
            </w:tblGrid>
            <w:tr w14:paraId="6376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237" w:type="dxa"/>
                  <w:gridSpan w:val="2"/>
                  <w:noWrap w:val="0"/>
                  <w:vAlign w:val="center"/>
                </w:tcPr>
                <w:p w14:paraId="5957070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用水项目</w:t>
                  </w:r>
                </w:p>
              </w:tc>
              <w:tc>
                <w:tcPr>
                  <w:tcW w:w="891" w:type="dxa"/>
                  <w:noWrap w:val="0"/>
                  <w:vAlign w:val="center"/>
                </w:tcPr>
                <w:p w14:paraId="7681552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日用水量</w:t>
                  </w:r>
                </w:p>
                <w:p w14:paraId="0EED676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/d）</w:t>
                  </w:r>
                </w:p>
              </w:tc>
              <w:tc>
                <w:tcPr>
                  <w:tcW w:w="990" w:type="dxa"/>
                  <w:noWrap w:val="0"/>
                  <w:vAlign w:val="center"/>
                </w:tcPr>
                <w:p w14:paraId="7C1B27F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年用水日（天）</w:t>
                  </w:r>
                </w:p>
              </w:tc>
              <w:tc>
                <w:tcPr>
                  <w:tcW w:w="1005" w:type="dxa"/>
                  <w:noWrap w:val="0"/>
                  <w:vAlign w:val="center"/>
                </w:tcPr>
                <w:p w14:paraId="0F8304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年用水量</w:t>
                  </w:r>
                </w:p>
                <w:p w14:paraId="6F60945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/a）</w:t>
                  </w:r>
                </w:p>
              </w:tc>
              <w:tc>
                <w:tcPr>
                  <w:tcW w:w="1125" w:type="dxa"/>
                  <w:noWrap w:val="0"/>
                  <w:vAlign w:val="center"/>
                </w:tcPr>
                <w:p w14:paraId="5D13C3B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日产废水量（m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/d）</w:t>
                  </w:r>
                </w:p>
              </w:tc>
              <w:tc>
                <w:tcPr>
                  <w:tcW w:w="1110" w:type="dxa"/>
                  <w:noWrap w:val="0"/>
                  <w:vAlign w:val="center"/>
                </w:tcPr>
                <w:p w14:paraId="711D9B2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年产废水量（m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/a）</w:t>
                  </w:r>
                </w:p>
              </w:tc>
              <w:tc>
                <w:tcPr>
                  <w:tcW w:w="2332" w:type="dxa"/>
                  <w:noWrap w:val="0"/>
                  <w:vAlign w:val="center"/>
                </w:tcPr>
                <w:p w14:paraId="5602E72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处理去向</w:t>
                  </w:r>
                </w:p>
              </w:tc>
            </w:tr>
            <w:tr w14:paraId="02E5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55" w:type="dxa"/>
                  <w:vMerge w:val="restart"/>
                  <w:noWrap w:val="0"/>
                  <w:vAlign w:val="center"/>
                </w:tcPr>
                <w:p w14:paraId="4A73DC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生活用水</w:t>
                  </w:r>
                </w:p>
              </w:tc>
              <w:tc>
                <w:tcPr>
                  <w:tcW w:w="682" w:type="dxa"/>
                  <w:noWrap w:val="0"/>
                  <w:vAlign w:val="center"/>
                </w:tcPr>
                <w:p w14:paraId="294E478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日常用水</w:t>
                  </w:r>
                </w:p>
              </w:tc>
              <w:tc>
                <w:tcPr>
                  <w:tcW w:w="891" w:type="dxa"/>
                  <w:noWrap w:val="0"/>
                  <w:vAlign w:val="center"/>
                </w:tcPr>
                <w:p w14:paraId="238EC9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0.733</w:t>
                  </w:r>
                </w:p>
              </w:tc>
              <w:tc>
                <w:tcPr>
                  <w:tcW w:w="990" w:type="dxa"/>
                  <w:noWrap w:val="0"/>
                  <w:vAlign w:val="center"/>
                </w:tcPr>
                <w:p w14:paraId="43CD14D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1005" w:type="dxa"/>
                  <w:noWrap w:val="0"/>
                  <w:vAlign w:val="center"/>
                </w:tcPr>
                <w:p w14:paraId="10ED47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220</w:t>
                  </w:r>
                </w:p>
              </w:tc>
              <w:tc>
                <w:tcPr>
                  <w:tcW w:w="1125" w:type="dxa"/>
                  <w:noWrap w:val="0"/>
                  <w:vAlign w:val="center"/>
                </w:tcPr>
                <w:p w14:paraId="201E869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0.5864</w:t>
                  </w:r>
                </w:p>
              </w:tc>
              <w:tc>
                <w:tcPr>
                  <w:tcW w:w="1110" w:type="dxa"/>
                  <w:noWrap w:val="0"/>
                  <w:vAlign w:val="center"/>
                </w:tcPr>
                <w:p w14:paraId="58757D8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176</w:t>
                  </w:r>
                </w:p>
              </w:tc>
              <w:tc>
                <w:tcPr>
                  <w:tcW w:w="2332" w:type="dxa"/>
                  <w:noWrap w:val="0"/>
                  <w:vAlign w:val="center"/>
                </w:tcPr>
                <w:p w14:paraId="16A5CC7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生活污水依托已建化粪池预处理后进入已建一体化污水处理设施处理达标后用于厂区绿化浇灌及洒水降尘。</w:t>
                  </w:r>
                </w:p>
              </w:tc>
            </w:tr>
            <w:tr w14:paraId="5243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55" w:type="dxa"/>
                  <w:vMerge w:val="continue"/>
                  <w:noWrap w:val="0"/>
                  <w:vAlign w:val="center"/>
                </w:tcPr>
                <w:p w14:paraId="3A1999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682" w:type="dxa"/>
                  <w:noWrap w:val="0"/>
                  <w:vAlign w:val="center"/>
                </w:tcPr>
                <w:p w14:paraId="3D68D1F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食堂用水</w:t>
                  </w:r>
                </w:p>
              </w:tc>
              <w:tc>
                <w:tcPr>
                  <w:tcW w:w="891" w:type="dxa"/>
                  <w:noWrap w:val="0"/>
                  <w:vAlign w:val="center"/>
                </w:tcPr>
                <w:p w14:paraId="70C7F82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0.467</w:t>
                  </w:r>
                </w:p>
              </w:tc>
              <w:tc>
                <w:tcPr>
                  <w:tcW w:w="990" w:type="dxa"/>
                  <w:noWrap w:val="0"/>
                  <w:vAlign w:val="center"/>
                </w:tcPr>
                <w:p w14:paraId="2C916A3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1005" w:type="dxa"/>
                  <w:noWrap w:val="0"/>
                  <w:vAlign w:val="center"/>
                </w:tcPr>
                <w:p w14:paraId="72D33C4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140</w:t>
                  </w:r>
                </w:p>
              </w:tc>
              <w:tc>
                <w:tcPr>
                  <w:tcW w:w="1125" w:type="dxa"/>
                  <w:noWrap w:val="0"/>
                  <w:vAlign w:val="center"/>
                </w:tcPr>
                <w:p w14:paraId="5CA7DDD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0.3736</w:t>
                  </w:r>
                </w:p>
              </w:tc>
              <w:tc>
                <w:tcPr>
                  <w:tcW w:w="1110" w:type="dxa"/>
                  <w:noWrap w:val="0"/>
                  <w:vAlign w:val="center"/>
                </w:tcPr>
                <w:p w14:paraId="18905C7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112</w:t>
                  </w:r>
                </w:p>
              </w:tc>
              <w:tc>
                <w:tcPr>
                  <w:tcW w:w="2332" w:type="dxa"/>
                  <w:noWrap w:val="0"/>
                  <w:vAlign w:val="center"/>
                </w:tcPr>
                <w:p w14:paraId="60C2AF4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000000"/>
                      <w:kern w:val="0"/>
                      <w:sz w:val="21"/>
                      <w:szCs w:val="21"/>
                      <w:lang w:val="en-US" w:eastAsia="zh-CN" w:bidi="ar"/>
                    </w:rPr>
                    <w:t>依托已建油水分离器</w:t>
                  </w:r>
                  <w:r>
                    <w:rPr>
                      <w:rFonts w:hint="default" w:ascii="Times New Roman" w:hAnsi="Times New Roman" w:eastAsia="宋体" w:cs="Times New Roman"/>
                      <w:color w:val="auto"/>
                      <w:sz w:val="21"/>
                      <w:szCs w:val="21"/>
                      <w:lang w:val="en-US" w:eastAsia="zh-CN"/>
                    </w:rPr>
                    <w:t>处理后和生活污水一同进入化粪池处理然后进入已建一体化污水处理设施处理达标后用于厂区绿化浇灌及洒水降尘。</w:t>
                  </w:r>
                </w:p>
              </w:tc>
            </w:tr>
            <w:tr w14:paraId="42AD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237" w:type="dxa"/>
                  <w:gridSpan w:val="2"/>
                  <w:noWrap w:val="0"/>
                  <w:vAlign w:val="center"/>
                </w:tcPr>
                <w:p w14:paraId="73136B0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冷却用水</w:t>
                  </w:r>
                </w:p>
              </w:tc>
              <w:tc>
                <w:tcPr>
                  <w:tcW w:w="891" w:type="dxa"/>
                  <w:noWrap w:val="0"/>
                  <w:vAlign w:val="center"/>
                </w:tcPr>
                <w:p w14:paraId="1A19BA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eastAsia" w:cs="Times New Roman"/>
                      <w:color w:val="auto"/>
                      <w:kern w:val="0"/>
                      <w:sz w:val="21"/>
                      <w:szCs w:val="21"/>
                      <w:lang w:val="en-US" w:eastAsia="zh-CN" w:bidi="ar"/>
                    </w:rPr>
                    <w:t>6.53</w:t>
                  </w:r>
                </w:p>
              </w:tc>
              <w:tc>
                <w:tcPr>
                  <w:tcW w:w="990" w:type="dxa"/>
                  <w:noWrap w:val="0"/>
                  <w:vAlign w:val="center"/>
                </w:tcPr>
                <w:p w14:paraId="0B0744F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1005" w:type="dxa"/>
                  <w:noWrap w:val="0"/>
                  <w:vAlign w:val="center"/>
                </w:tcPr>
                <w:p w14:paraId="405BD49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1967.5</w:t>
                  </w:r>
                </w:p>
              </w:tc>
              <w:tc>
                <w:tcPr>
                  <w:tcW w:w="1125" w:type="dxa"/>
                  <w:noWrap w:val="0"/>
                  <w:vAlign w:val="center"/>
                </w:tcPr>
                <w:p w14:paraId="634DC6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1.31</w:t>
                  </w:r>
                </w:p>
              </w:tc>
              <w:tc>
                <w:tcPr>
                  <w:tcW w:w="1110" w:type="dxa"/>
                  <w:noWrap w:val="0"/>
                  <w:vAlign w:val="center"/>
                </w:tcPr>
                <w:p w14:paraId="34D87F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391.5</w:t>
                  </w:r>
                </w:p>
              </w:tc>
              <w:tc>
                <w:tcPr>
                  <w:tcW w:w="2332" w:type="dxa"/>
                  <w:noWrap w:val="0"/>
                  <w:vAlign w:val="center"/>
                </w:tcPr>
                <w:p w14:paraId="6F2FA5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 w:val="21"/>
                      <w:szCs w:val="21"/>
                      <w:lang w:val="en-US" w:eastAsia="zh-CN" w:bidi="ar"/>
                    </w:rPr>
                    <w:t>依托</w:t>
                  </w:r>
                  <w:r>
                    <w:rPr>
                      <w:rFonts w:hint="default" w:ascii="Times New Roman" w:hAnsi="Times New Roman" w:eastAsia="宋体" w:cs="Times New Roman"/>
                      <w:color w:val="auto"/>
                      <w:sz w:val="21"/>
                      <w:szCs w:val="21"/>
                      <w:lang w:val="en-US" w:eastAsia="zh-CN"/>
                    </w:rPr>
                    <w:t>已建一体化污水处理设施处理达标后用于厂区绿化浇灌及洒水降尘。</w:t>
                  </w:r>
                </w:p>
              </w:tc>
            </w:tr>
            <w:tr w14:paraId="4DA9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237" w:type="dxa"/>
                  <w:gridSpan w:val="2"/>
                  <w:noWrap w:val="0"/>
                  <w:vAlign w:val="center"/>
                </w:tcPr>
                <w:p w14:paraId="5A91935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合计</w:t>
                  </w:r>
                </w:p>
              </w:tc>
              <w:tc>
                <w:tcPr>
                  <w:tcW w:w="891" w:type="dxa"/>
                  <w:noWrap w:val="0"/>
                  <w:vAlign w:val="center"/>
                </w:tcPr>
                <w:p w14:paraId="51982C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7.73</w:t>
                  </w:r>
                </w:p>
              </w:tc>
              <w:tc>
                <w:tcPr>
                  <w:tcW w:w="990" w:type="dxa"/>
                  <w:noWrap w:val="0"/>
                  <w:vAlign w:val="center"/>
                </w:tcPr>
                <w:p w14:paraId="695F98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kern w:val="0"/>
                      <w:sz w:val="22"/>
                      <w:szCs w:val="22"/>
                      <w:lang w:bidi="ar"/>
                    </w:rPr>
                    <w:t>—</w:t>
                  </w:r>
                </w:p>
              </w:tc>
              <w:tc>
                <w:tcPr>
                  <w:tcW w:w="1005" w:type="dxa"/>
                  <w:noWrap w:val="0"/>
                  <w:vAlign w:val="center"/>
                </w:tcPr>
                <w:p w14:paraId="103F86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2327.5</w:t>
                  </w:r>
                </w:p>
              </w:tc>
              <w:tc>
                <w:tcPr>
                  <w:tcW w:w="1125" w:type="dxa"/>
                  <w:noWrap w:val="0"/>
                  <w:vAlign w:val="center"/>
                </w:tcPr>
                <w:p w14:paraId="3247DB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Cs w:val="21"/>
                      <w:lang w:val="en-US" w:eastAsia="zh-CN"/>
                    </w:rPr>
                    <w:t>2.27</w:t>
                  </w:r>
                </w:p>
              </w:tc>
              <w:tc>
                <w:tcPr>
                  <w:tcW w:w="1110" w:type="dxa"/>
                  <w:noWrap w:val="0"/>
                  <w:vAlign w:val="center"/>
                </w:tcPr>
                <w:p w14:paraId="0613F8E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Cs w:val="21"/>
                      <w:lang w:val="en-US" w:eastAsia="zh-CN"/>
                    </w:rPr>
                    <w:t>679.5</w:t>
                  </w:r>
                </w:p>
              </w:tc>
              <w:tc>
                <w:tcPr>
                  <w:tcW w:w="2332" w:type="dxa"/>
                  <w:noWrap w:val="0"/>
                  <w:vAlign w:val="center"/>
                </w:tcPr>
                <w:p w14:paraId="2B0A19F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w:t>
                  </w:r>
                </w:p>
              </w:tc>
            </w:tr>
          </w:tbl>
          <w:p w14:paraId="10590448">
            <w:pPr>
              <w:pStyle w:val="60"/>
              <w:keepNext w:val="0"/>
              <w:keepLines w:val="0"/>
              <w:pageBreakBefore w:val="0"/>
              <w:widowControl w:val="0"/>
              <w:suppressLineNumbers w:val="0"/>
              <w:kinsoku/>
              <w:wordWrap w:val="0"/>
              <w:overflowPunct/>
              <w:topLinePunct/>
              <w:autoSpaceDE/>
              <w:autoSpaceDN/>
              <w:bidi w:val="0"/>
              <w:adjustRightInd w:val="0"/>
              <w:snapToGrid/>
              <w:spacing w:before="157" w:beforeLines="50" w:beforeAutospacing="0" w:after="0" w:afterAutospacing="0"/>
              <w:ind w:firstLine="482" w:firstLineChars="200"/>
              <w:textAlignment w:val="baseline"/>
              <w:rPr>
                <w:rFonts w:hint="default" w:ascii="Times New Roman" w:hAnsi="Times New Roman" w:eastAsia="宋体" w:cs="Times New Roman"/>
                <w:b/>
                <w:bCs/>
                <w:color w:val="auto"/>
                <w:sz w:val="24"/>
                <w:szCs w:val="24"/>
              </w:rPr>
            </w:pPr>
            <w:r>
              <w:rPr>
                <w:rFonts w:hint="eastAsia"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项目水平衡</w:t>
            </w:r>
          </w:p>
          <w:p w14:paraId="2047B800">
            <w:pPr>
              <w:pStyle w:val="60"/>
              <w:keepNext w:val="0"/>
              <w:keepLines w:val="0"/>
              <w:suppressLineNumbers w:val="0"/>
              <w:spacing w:before="0" w:beforeAutospacing="0" w:after="0" w:afterAutospacing="0"/>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项目水平衡如下图</w:t>
            </w:r>
            <w:r>
              <w:rPr>
                <w:rFonts w:hint="default" w:ascii="Times New Roman" w:hAnsi="Times New Roman" w:eastAsia="宋体" w:cs="Times New Roman"/>
                <w:color w:val="auto"/>
                <w:sz w:val="24"/>
                <w:szCs w:val="24"/>
                <w:lang w:val="en-US" w:eastAsia="zh-CN"/>
              </w:rPr>
              <w:t>所示</w:t>
            </w:r>
            <w:r>
              <w:rPr>
                <w:rFonts w:hint="default" w:ascii="Times New Roman" w:hAnsi="Times New Roman" w:eastAsia="宋体" w:cs="Times New Roman"/>
                <w:color w:val="auto"/>
                <w:sz w:val="24"/>
                <w:szCs w:val="24"/>
              </w:rPr>
              <w:t>：</w:t>
            </w:r>
          </w:p>
          <w:p w14:paraId="150321E8">
            <w:pPr>
              <w:pStyle w:val="60"/>
              <w:keepNext w:val="0"/>
              <w:keepLines w:val="0"/>
              <w:pageBreakBefore w:val="0"/>
              <w:widowControl w:val="0"/>
              <w:suppressLineNumbers w:val="0"/>
              <w:kinsoku/>
              <w:wordWrap w:val="0"/>
              <w:overflowPunct/>
              <w:topLinePunct/>
              <w:autoSpaceDE/>
              <w:autoSpaceDN/>
              <w:bidi w:val="0"/>
              <w:adjustRightInd w:val="0"/>
              <w:snapToGrid/>
              <w:spacing w:before="157" w:beforeLines="50" w:beforeAutospacing="0" w:after="0" w:afterAutospacing="0"/>
              <w:ind w:left="0" w:leftChars="0" w:firstLine="0" w:firstLineChars="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drawing>
                <wp:inline distT="0" distB="0" distL="114300" distR="114300">
                  <wp:extent cx="5271770" cy="5299710"/>
                  <wp:effectExtent l="0" t="0" r="0" b="0"/>
                  <wp:docPr id="62" name="ECB019B1-382A-4266-B25C-5B523AA43C14-1" descr="C:/Users/Administrator/AppData/Local/Temp/wps.fWMCeW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ECB019B1-382A-4266-B25C-5B523AA43C14-1" descr="C:/Users/Administrator/AppData/Local/Temp/wps.fWMCeWwps"/>
                          <pic:cNvPicPr>
                            <a:picLocks noChangeAspect="1"/>
                          </pic:cNvPicPr>
                        </pic:nvPicPr>
                        <pic:blipFill>
                          <a:blip r:embed="rId9"/>
                          <a:stretch>
                            <a:fillRect/>
                          </a:stretch>
                        </pic:blipFill>
                        <pic:spPr>
                          <a:xfrm>
                            <a:off x="0" y="0"/>
                            <a:ext cx="5271770" cy="5299710"/>
                          </a:xfrm>
                          <a:prstGeom prst="rect">
                            <a:avLst/>
                          </a:prstGeom>
                        </pic:spPr>
                      </pic:pic>
                    </a:graphicData>
                  </a:graphic>
                </wp:inline>
              </w:drawing>
            </w:r>
          </w:p>
          <w:p w14:paraId="2AB50818">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60" w:lineRule="auto"/>
              <w:ind w:left="0" w:right="0"/>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图2-1  项目水量平衡图     单位：m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r>
              <w:rPr>
                <w:rFonts w:hint="eastAsia" w:cs="Times New Roman"/>
                <w:color w:val="auto"/>
                <w:sz w:val="21"/>
                <w:szCs w:val="21"/>
                <w:lang w:val="en-US" w:eastAsia="zh-CN"/>
              </w:rPr>
              <w:t>d</w:t>
            </w:r>
          </w:p>
          <w:p w14:paraId="269F868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eastAsia" w:cs="Times New Roman"/>
                <w:b/>
                <w:bCs/>
                <w:color w:val="auto"/>
                <w:sz w:val="24"/>
                <w:lang w:val="en-US" w:eastAsia="zh-CN"/>
              </w:rPr>
              <w:t>四</w:t>
            </w:r>
            <w:r>
              <w:rPr>
                <w:rFonts w:hint="default" w:ascii="Times New Roman" w:hAnsi="Times New Roman" w:eastAsia="宋体" w:cs="Times New Roman"/>
                <w:b/>
                <w:bCs/>
                <w:color w:val="auto"/>
                <w:sz w:val="24"/>
              </w:rPr>
              <w:t>、环保投资</w:t>
            </w:r>
          </w:p>
          <w:p w14:paraId="41EC2A7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color w:val="auto"/>
                <w:sz w:val="24"/>
              </w:rPr>
            </w:pPr>
            <w:r>
              <w:rPr>
                <w:rFonts w:hint="default" w:ascii="Times New Roman" w:hAnsi="Times New Roman" w:eastAsia="宋体" w:cs="Times New Roman"/>
                <w:color w:val="auto"/>
                <w:sz w:val="24"/>
              </w:rPr>
              <w:t>项目总投资</w:t>
            </w:r>
            <w:r>
              <w:rPr>
                <w:rFonts w:hint="default" w:ascii="Times New Roman" w:hAnsi="Times New Roman" w:eastAsia="宋体" w:cs="Times New Roman"/>
                <w:color w:val="auto"/>
                <w:sz w:val="24"/>
                <w:lang w:val="en-US" w:eastAsia="zh-CN"/>
              </w:rPr>
              <w:t>2500</w:t>
            </w:r>
            <w:r>
              <w:rPr>
                <w:rFonts w:hint="default" w:ascii="Times New Roman" w:hAnsi="Times New Roman" w:eastAsia="宋体" w:cs="Times New Roman"/>
                <w:color w:val="auto"/>
                <w:sz w:val="24"/>
              </w:rPr>
              <w:t>万元，其中环保投</w:t>
            </w:r>
            <w:r>
              <w:rPr>
                <w:rFonts w:hint="default" w:ascii="Times New Roman" w:hAnsi="Times New Roman" w:eastAsia="宋体" w:cs="Times New Roman"/>
                <w:color w:val="auto"/>
                <w:sz w:val="24"/>
                <w:highlight w:val="none"/>
              </w:rPr>
              <w:t>资</w:t>
            </w:r>
            <w:r>
              <w:rPr>
                <w:rFonts w:hint="default" w:ascii="Times New Roman" w:hAnsi="Times New Roman" w:eastAsia="宋体" w:cs="Times New Roman"/>
                <w:color w:val="auto"/>
                <w:sz w:val="24"/>
                <w:highlight w:val="none"/>
                <w:lang w:val="en-US" w:eastAsia="zh-CN"/>
              </w:rPr>
              <w:t>28</w:t>
            </w:r>
            <w:r>
              <w:rPr>
                <w:rFonts w:hint="default" w:ascii="Times New Roman" w:hAnsi="Times New Roman" w:eastAsia="宋体" w:cs="Times New Roman"/>
                <w:color w:val="auto"/>
                <w:sz w:val="24"/>
                <w:highlight w:val="none"/>
              </w:rPr>
              <w:t>.7万元，占总投资</w:t>
            </w:r>
            <w:r>
              <w:rPr>
                <w:rFonts w:hint="default" w:ascii="Times New Roman" w:hAnsi="Times New Roman" w:eastAsia="宋体" w:cs="Times New Roman"/>
                <w:color w:val="auto"/>
                <w:sz w:val="24"/>
                <w:highlight w:val="none"/>
                <w:lang w:val="en-US" w:eastAsia="zh-CN"/>
              </w:rPr>
              <w:t>1.148</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rPr>
              <w:t>环保投资见下表。</w:t>
            </w:r>
          </w:p>
          <w:p w14:paraId="2BD98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rPr>
              <w:t>表</w:t>
            </w:r>
            <w:r>
              <w:rPr>
                <w:rFonts w:hint="eastAsia" w:cs="Times New Roman"/>
                <w:b/>
                <w:color w:val="auto"/>
                <w:sz w:val="21"/>
                <w:szCs w:val="21"/>
                <w:lang w:val="en-US" w:eastAsia="zh-CN"/>
              </w:rPr>
              <w:t>2-8</w:t>
            </w:r>
            <w:r>
              <w:rPr>
                <w:rFonts w:hint="default" w:ascii="Times New Roman" w:hAnsi="Times New Roman" w:eastAsia="宋体" w:cs="Times New Roman"/>
                <w:b/>
                <w:color w:val="auto"/>
                <w:sz w:val="21"/>
                <w:szCs w:val="21"/>
              </w:rPr>
              <w:t xml:space="preserve">  项目环保投资一览表</w:t>
            </w:r>
            <w:r>
              <w:rPr>
                <w:rFonts w:hint="default" w:ascii="Times New Roman" w:hAnsi="Times New Roman" w:eastAsia="宋体" w:cs="Times New Roman"/>
                <w:b/>
                <w:color w:val="auto"/>
                <w:sz w:val="21"/>
                <w:szCs w:val="21"/>
                <w:lang w:val="en-US" w:eastAsia="zh-CN"/>
              </w:rPr>
              <w:t xml:space="preserve">   </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915"/>
              <w:gridCol w:w="1536"/>
              <w:gridCol w:w="3444"/>
              <w:gridCol w:w="990"/>
              <w:gridCol w:w="918"/>
            </w:tblGrid>
            <w:tr w14:paraId="7B09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9" w:type="dxa"/>
                  <w:tcBorders>
                    <w:bottom w:val="single" w:color="auto" w:sz="4" w:space="0"/>
                  </w:tcBorders>
                  <w:noWrap w:val="0"/>
                  <w:vAlign w:val="center"/>
                </w:tcPr>
                <w:p w14:paraId="169E28F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lang w:eastAsia="zh-CN"/>
                    </w:rPr>
                  </w:pPr>
                  <w:r>
                    <w:rPr>
                      <w:rFonts w:hint="default" w:ascii="Times New Roman" w:hAnsi="Times New Roman" w:eastAsia="宋体" w:cs="Times New Roman"/>
                      <w:b/>
                      <w:bCs/>
                      <w:color w:val="auto"/>
                      <w:sz w:val="21"/>
                      <w:szCs w:val="21"/>
                      <w:lang w:val="en-US" w:eastAsia="zh-CN"/>
                    </w:rPr>
                    <w:t>时段</w:t>
                  </w:r>
                </w:p>
              </w:tc>
              <w:tc>
                <w:tcPr>
                  <w:tcW w:w="915" w:type="dxa"/>
                  <w:tcBorders>
                    <w:bottom w:val="single" w:color="auto" w:sz="4" w:space="0"/>
                  </w:tcBorders>
                  <w:noWrap w:val="0"/>
                  <w:vAlign w:val="center"/>
                </w:tcPr>
                <w:p w14:paraId="5E4395A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color w:val="auto"/>
                      <w:szCs w:val="21"/>
                      <w:lang w:val="en-US" w:eastAsia="zh-CN"/>
                    </w:rPr>
                    <w:t>类别</w:t>
                  </w:r>
                </w:p>
              </w:tc>
              <w:tc>
                <w:tcPr>
                  <w:tcW w:w="1536" w:type="dxa"/>
                  <w:tcBorders>
                    <w:bottom w:val="single" w:color="auto" w:sz="4" w:space="0"/>
                  </w:tcBorders>
                  <w:noWrap w:val="0"/>
                  <w:vAlign w:val="center"/>
                </w:tcPr>
                <w:p w14:paraId="51D7567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default" w:ascii="Times New Roman" w:hAnsi="Times New Roman" w:eastAsia="宋体" w:cs="Times New Roman"/>
                      <w:b/>
                      <w:color w:val="auto"/>
                      <w:szCs w:val="21"/>
                      <w:lang w:val="en-US" w:eastAsia="zh-CN"/>
                    </w:rPr>
                    <w:t>污染源</w:t>
                  </w:r>
                </w:p>
              </w:tc>
              <w:tc>
                <w:tcPr>
                  <w:tcW w:w="3444" w:type="dxa"/>
                  <w:tcBorders>
                    <w:bottom w:val="single" w:color="auto" w:sz="4" w:space="0"/>
                  </w:tcBorders>
                  <w:noWrap w:val="0"/>
                  <w:vAlign w:val="center"/>
                </w:tcPr>
                <w:p w14:paraId="4E9BC5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环保投资项目</w:t>
                  </w:r>
                </w:p>
              </w:tc>
              <w:tc>
                <w:tcPr>
                  <w:tcW w:w="990" w:type="dxa"/>
                  <w:tcBorders>
                    <w:bottom w:val="single" w:color="auto" w:sz="4" w:space="0"/>
                  </w:tcBorders>
                  <w:noWrap w:val="0"/>
                  <w:vAlign w:val="center"/>
                </w:tcPr>
                <w:p w14:paraId="31E05A5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投资</w:t>
                  </w:r>
                </w:p>
                <w:p w14:paraId="3589B87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（万元）</w:t>
                  </w:r>
                </w:p>
              </w:tc>
              <w:tc>
                <w:tcPr>
                  <w:tcW w:w="918" w:type="dxa"/>
                  <w:tcBorders>
                    <w:bottom w:val="single" w:color="auto" w:sz="4" w:space="0"/>
                  </w:tcBorders>
                  <w:noWrap w:val="0"/>
                  <w:vAlign w:val="center"/>
                </w:tcPr>
                <w:p w14:paraId="00EE70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备注</w:t>
                  </w:r>
                </w:p>
              </w:tc>
            </w:tr>
            <w:tr w14:paraId="4579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9" w:type="dxa"/>
                  <w:vMerge w:val="restart"/>
                  <w:noWrap w:val="0"/>
                  <w:vAlign w:val="center"/>
                </w:tcPr>
                <w:p w14:paraId="0283A13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施工期</w:t>
                  </w:r>
                </w:p>
              </w:tc>
              <w:tc>
                <w:tcPr>
                  <w:tcW w:w="915" w:type="dxa"/>
                  <w:tcBorders>
                    <w:bottom w:val="single" w:color="auto" w:sz="4" w:space="0"/>
                  </w:tcBorders>
                  <w:noWrap w:val="0"/>
                  <w:vAlign w:val="center"/>
                </w:tcPr>
                <w:p w14:paraId="7F294C4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废气</w:t>
                  </w:r>
                </w:p>
              </w:tc>
              <w:tc>
                <w:tcPr>
                  <w:tcW w:w="1536" w:type="dxa"/>
                  <w:tcBorders>
                    <w:bottom w:val="single" w:color="auto" w:sz="4" w:space="0"/>
                  </w:tcBorders>
                  <w:noWrap w:val="0"/>
                  <w:vAlign w:val="center"/>
                </w:tcPr>
                <w:p w14:paraId="6E3BF94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粉尘</w:t>
                  </w:r>
                </w:p>
              </w:tc>
              <w:tc>
                <w:tcPr>
                  <w:tcW w:w="3444" w:type="dxa"/>
                  <w:tcBorders>
                    <w:bottom w:val="single" w:color="auto" w:sz="4" w:space="0"/>
                  </w:tcBorders>
                  <w:noWrap w:val="0"/>
                  <w:vAlign w:val="center"/>
                </w:tcPr>
                <w:p w14:paraId="32B26DC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val="0"/>
                      <w:bCs w:val="0"/>
                      <w:color w:val="auto"/>
                      <w:szCs w:val="21"/>
                      <w:lang w:eastAsia="zh-CN"/>
                    </w:rPr>
                  </w:pPr>
                  <w:r>
                    <w:rPr>
                      <w:rFonts w:hint="default" w:ascii="Times New Roman" w:hAnsi="Times New Roman" w:eastAsia="宋体" w:cs="Times New Roman"/>
                      <w:color w:val="auto"/>
                      <w:sz w:val="21"/>
                      <w:szCs w:val="21"/>
                    </w:rPr>
                    <w:t>定时清扫、洒水降尘</w:t>
                  </w:r>
                  <w:r>
                    <w:rPr>
                      <w:rFonts w:hint="eastAsia" w:ascii="Times New Roman" w:hAnsi="Times New Roman" w:eastAsia="宋体" w:cs="Times New Roman"/>
                      <w:color w:val="auto"/>
                      <w:sz w:val="21"/>
                      <w:szCs w:val="21"/>
                      <w:lang w:eastAsia="zh-CN"/>
                    </w:rPr>
                    <w:t>。</w:t>
                  </w:r>
                </w:p>
              </w:tc>
              <w:tc>
                <w:tcPr>
                  <w:tcW w:w="990" w:type="dxa"/>
                  <w:tcBorders>
                    <w:bottom w:val="single" w:color="auto" w:sz="4" w:space="0"/>
                  </w:tcBorders>
                  <w:noWrap w:val="0"/>
                  <w:vAlign w:val="center"/>
                </w:tcPr>
                <w:p w14:paraId="56F6E94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918" w:type="dxa"/>
                  <w:tcBorders>
                    <w:bottom w:val="single" w:color="auto" w:sz="4" w:space="0"/>
                  </w:tcBorders>
                  <w:noWrap w:val="0"/>
                  <w:vAlign w:val="center"/>
                </w:tcPr>
                <w:p w14:paraId="2F45D1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r>
            <w:tr w14:paraId="3B77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9" w:type="dxa"/>
                  <w:vMerge w:val="continue"/>
                  <w:noWrap w:val="0"/>
                  <w:vAlign w:val="center"/>
                </w:tcPr>
                <w:p w14:paraId="442AEE6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p>
              </w:tc>
              <w:tc>
                <w:tcPr>
                  <w:tcW w:w="915" w:type="dxa"/>
                  <w:tcBorders>
                    <w:bottom w:val="single" w:color="auto" w:sz="4" w:space="0"/>
                  </w:tcBorders>
                  <w:noWrap w:val="0"/>
                  <w:vAlign w:val="center"/>
                </w:tcPr>
                <w:p w14:paraId="4E6CCC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废水</w:t>
                  </w:r>
                </w:p>
              </w:tc>
              <w:tc>
                <w:tcPr>
                  <w:tcW w:w="1536" w:type="dxa"/>
                  <w:tcBorders>
                    <w:bottom w:val="single" w:color="auto" w:sz="4" w:space="0"/>
                  </w:tcBorders>
                  <w:noWrap w:val="0"/>
                  <w:vAlign w:val="center"/>
                </w:tcPr>
                <w:p w14:paraId="281DEF1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lang w:eastAsia="zh-CN"/>
                    </w:rPr>
                    <w:t>施工人员生活污水</w:t>
                  </w:r>
                </w:p>
              </w:tc>
              <w:tc>
                <w:tcPr>
                  <w:tcW w:w="3444" w:type="dxa"/>
                  <w:tcBorders>
                    <w:bottom w:val="single" w:color="auto" w:sz="4" w:space="0"/>
                  </w:tcBorders>
                  <w:noWrap w:val="0"/>
                  <w:vAlign w:val="center"/>
                </w:tcPr>
                <w:p w14:paraId="4FD05A0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rPr>
                    <w:t>项目租用厂房已配套建设了</w:t>
                  </w:r>
                  <w:r>
                    <w:rPr>
                      <w:rFonts w:hint="default" w:ascii="Times New Roman" w:hAnsi="Times New Roman" w:eastAsia="宋体" w:cs="Times New Roman"/>
                      <w:color w:val="auto"/>
                      <w:szCs w:val="21"/>
                      <w:lang w:val="en-US" w:eastAsia="zh-CN"/>
                    </w:rPr>
                    <w:t>污水处理系统</w:t>
                  </w:r>
                  <w:r>
                    <w:rPr>
                      <w:rFonts w:hint="default" w:ascii="Times New Roman" w:hAnsi="Times New Roman" w:eastAsia="宋体" w:cs="Times New Roman"/>
                      <w:b w:val="0"/>
                      <w:bCs w:val="0"/>
                      <w:color w:val="auto"/>
                      <w:szCs w:val="21"/>
                    </w:rPr>
                    <w:t>，施工人员生活污水</w:t>
                  </w:r>
                  <w:r>
                    <w:rPr>
                      <w:rFonts w:hint="eastAsia" w:cs="Times New Roman"/>
                      <w:b w:val="0"/>
                      <w:bCs w:val="0"/>
                      <w:color w:val="auto"/>
                      <w:szCs w:val="21"/>
                      <w:lang w:val="en-US" w:eastAsia="zh-CN"/>
                    </w:rPr>
                    <w:t>依托该</w:t>
                  </w:r>
                  <w:r>
                    <w:rPr>
                      <w:rFonts w:hint="default" w:ascii="Times New Roman" w:hAnsi="Times New Roman" w:eastAsia="宋体" w:cs="Times New Roman"/>
                      <w:color w:val="auto"/>
                      <w:szCs w:val="21"/>
                      <w:lang w:val="en-US" w:eastAsia="zh-CN"/>
                    </w:rPr>
                    <w:t>污水处理系统</w:t>
                  </w:r>
                  <w:r>
                    <w:rPr>
                      <w:rFonts w:hint="default" w:ascii="Times New Roman" w:hAnsi="Times New Roman" w:eastAsia="宋体" w:cs="Times New Roman"/>
                      <w:color w:val="auto"/>
                      <w:szCs w:val="21"/>
                    </w:rPr>
                    <w:t>处理</w:t>
                  </w:r>
                  <w:r>
                    <w:rPr>
                      <w:rFonts w:hint="default" w:ascii="Times New Roman" w:hAnsi="Times New Roman" w:eastAsia="宋体" w:cs="Times New Roman"/>
                      <w:color w:val="000000"/>
                      <w:kern w:val="0"/>
                      <w:sz w:val="21"/>
                      <w:szCs w:val="21"/>
                      <w:lang w:val="en-US" w:eastAsia="zh-CN" w:bidi="ar"/>
                    </w:rPr>
                    <w:t>达标后晴天回用作为绿化浇灌、道路洒水</w:t>
                  </w:r>
                  <w:r>
                    <w:rPr>
                      <w:rFonts w:hint="eastAsia" w:ascii="Times New Roman" w:hAnsi="Times New Roman" w:eastAsia="宋体" w:cs="Times New Roman"/>
                      <w:b w:val="0"/>
                      <w:bCs w:val="0"/>
                      <w:color w:val="auto"/>
                      <w:szCs w:val="21"/>
                      <w:lang w:eastAsia="zh-CN"/>
                    </w:rPr>
                    <w:t>。</w:t>
                  </w:r>
                </w:p>
              </w:tc>
              <w:tc>
                <w:tcPr>
                  <w:tcW w:w="990" w:type="dxa"/>
                  <w:tcBorders>
                    <w:bottom w:val="single" w:color="auto" w:sz="4" w:space="0"/>
                  </w:tcBorders>
                  <w:noWrap w:val="0"/>
                  <w:vAlign w:val="center"/>
                </w:tcPr>
                <w:p w14:paraId="4760BD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918" w:type="dxa"/>
                  <w:tcBorders>
                    <w:bottom w:val="single" w:color="auto" w:sz="4" w:space="0"/>
                  </w:tcBorders>
                  <w:noWrap w:val="0"/>
                  <w:vAlign w:val="center"/>
                </w:tcPr>
                <w:p w14:paraId="2B35B8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r>
            <w:tr w14:paraId="0A03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9" w:type="dxa"/>
                  <w:vMerge w:val="continue"/>
                  <w:noWrap w:val="0"/>
                  <w:vAlign w:val="center"/>
                </w:tcPr>
                <w:p w14:paraId="673E3F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p>
              </w:tc>
              <w:tc>
                <w:tcPr>
                  <w:tcW w:w="915" w:type="dxa"/>
                  <w:tcBorders>
                    <w:bottom w:val="single" w:color="auto" w:sz="4" w:space="0"/>
                  </w:tcBorders>
                  <w:noWrap w:val="0"/>
                  <w:vAlign w:val="center"/>
                </w:tcPr>
                <w:p w14:paraId="778D46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噪声</w:t>
                  </w:r>
                </w:p>
              </w:tc>
              <w:tc>
                <w:tcPr>
                  <w:tcW w:w="1536" w:type="dxa"/>
                  <w:tcBorders>
                    <w:bottom w:val="single" w:color="auto" w:sz="4" w:space="0"/>
                  </w:tcBorders>
                  <w:noWrap w:val="0"/>
                  <w:vAlign w:val="center"/>
                </w:tcPr>
                <w:p w14:paraId="01CB537D">
                  <w:pPr>
                    <w:pStyle w:val="1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4"/>
                      <w:sz w:val="21"/>
                      <w:szCs w:val="21"/>
                      <w:lang w:val="en-US" w:eastAsia="zh-CN" w:bidi="ar-SA"/>
                    </w:rPr>
                  </w:pPr>
                  <w:r>
                    <w:rPr>
                      <w:rFonts w:hint="default" w:ascii="Times New Roman" w:hAnsi="Times New Roman" w:eastAsia="宋体" w:cs="Times New Roman"/>
                      <w:color w:val="auto"/>
                      <w:sz w:val="21"/>
                      <w:szCs w:val="21"/>
                    </w:rPr>
                    <w:t>施工噪声</w:t>
                  </w:r>
                </w:p>
              </w:tc>
              <w:tc>
                <w:tcPr>
                  <w:tcW w:w="3444" w:type="dxa"/>
                  <w:tcBorders>
                    <w:bottom w:val="single" w:color="auto" w:sz="4" w:space="0"/>
                  </w:tcBorders>
                  <w:noWrap w:val="0"/>
                  <w:vAlign w:val="center"/>
                </w:tcPr>
                <w:p w14:paraId="34D7A176">
                  <w:pPr>
                    <w:pStyle w:val="1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24"/>
                      <w:sz w:val="21"/>
                      <w:szCs w:val="21"/>
                      <w:lang w:val="en-US" w:eastAsia="zh-CN" w:bidi="ar-SA"/>
                    </w:rPr>
                  </w:pPr>
                  <w:r>
                    <w:rPr>
                      <w:rFonts w:hint="default" w:ascii="Times New Roman" w:hAnsi="Times New Roman" w:eastAsia="宋体" w:cs="Times New Roman"/>
                      <w:color w:val="auto"/>
                      <w:sz w:val="21"/>
                      <w:szCs w:val="21"/>
                    </w:rPr>
                    <w:t>厂房隔声</w:t>
                  </w:r>
                  <w:r>
                    <w:rPr>
                      <w:rFonts w:hint="eastAsia" w:ascii="Times New Roman" w:hAnsi="Times New Roman" w:eastAsia="宋体" w:cs="Times New Roman"/>
                      <w:color w:val="auto"/>
                      <w:sz w:val="21"/>
                      <w:szCs w:val="21"/>
                      <w:lang w:eastAsia="zh-CN"/>
                    </w:rPr>
                    <w:t>。</w:t>
                  </w:r>
                </w:p>
              </w:tc>
              <w:tc>
                <w:tcPr>
                  <w:tcW w:w="990" w:type="dxa"/>
                  <w:tcBorders>
                    <w:bottom w:val="single" w:color="auto" w:sz="4" w:space="0"/>
                  </w:tcBorders>
                  <w:noWrap w:val="0"/>
                  <w:vAlign w:val="center"/>
                </w:tcPr>
                <w:p w14:paraId="0CB4A2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918" w:type="dxa"/>
                  <w:tcBorders>
                    <w:bottom w:val="single" w:color="auto" w:sz="4" w:space="0"/>
                  </w:tcBorders>
                  <w:noWrap w:val="0"/>
                  <w:vAlign w:val="center"/>
                </w:tcPr>
                <w:p w14:paraId="0CF09A0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r>
            <w:tr w14:paraId="2E55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9" w:type="dxa"/>
                  <w:vMerge w:val="continue"/>
                  <w:noWrap w:val="0"/>
                  <w:vAlign w:val="center"/>
                </w:tcPr>
                <w:p w14:paraId="711630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p>
              </w:tc>
              <w:tc>
                <w:tcPr>
                  <w:tcW w:w="915" w:type="dxa"/>
                  <w:vMerge w:val="restart"/>
                  <w:noWrap w:val="0"/>
                  <w:vAlign w:val="center"/>
                </w:tcPr>
                <w:p w14:paraId="534FAEA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固废</w:t>
                  </w:r>
                </w:p>
              </w:tc>
              <w:tc>
                <w:tcPr>
                  <w:tcW w:w="1536" w:type="dxa"/>
                  <w:tcBorders>
                    <w:bottom w:val="single" w:color="auto" w:sz="4" w:space="0"/>
                  </w:tcBorders>
                  <w:noWrap w:val="0"/>
                  <w:vAlign w:val="center"/>
                </w:tcPr>
                <w:p w14:paraId="73AA9077">
                  <w:pPr>
                    <w:pStyle w:val="1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4"/>
                      <w:sz w:val="21"/>
                      <w:szCs w:val="21"/>
                      <w:lang w:val="en-US" w:eastAsia="zh-CN" w:bidi="ar-SA"/>
                    </w:rPr>
                  </w:pPr>
                  <w:r>
                    <w:rPr>
                      <w:rFonts w:hint="default" w:ascii="Times New Roman" w:hAnsi="Times New Roman" w:eastAsia="宋体" w:cs="Times New Roman"/>
                      <w:color w:val="auto"/>
                      <w:sz w:val="21"/>
                      <w:szCs w:val="21"/>
                      <w:lang w:val="en-US" w:eastAsia="zh-CN"/>
                    </w:rPr>
                    <w:t>建筑</w:t>
                  </w:r>
                  <w:r>
                    <w:rPr>
                      <w:rFonts w:hint="default" w:ascii="Times New Roman" w:hAnsi="Times New Roman" w:eastAsia="宋体" w:cs="Times New Roman"/>
                      <w:color w:val="auto"/>
                      <w:sz w:val="21"/>
                      <w:szCs w:val="21"/>
                    </w:rPr>
                    <w:t>垃圾</w:t>
                  </w:r>
                </w:p>
              </w:tc>
              <w:tc>
                <w:tcPr>
                  <w:tcW w:w="3444" w:type="dxa"/>
                  <w:tcBorders>
                    <w:bottom w:val="single" w:color="auto" w:sz="4" w:space="0"/>
                  </w:tcBorders>
                  <w:noWrap w:val="0"/>
                  <w:vAlign w:val="center"/>
                </w:tcPr>
                <w:p w14:paraId="705311F6">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rPr>
                    <w:t>集中收集后可回收利用的部分综合利用，不能回收利用的运至指定地点处置</w:t>
                  </w:r>
                  <w:r>
                    <w:rPr>
                      <w:rFonts w:hint="eastAsia" w:ascii="Times New Roman" w:hAnsi="Times New Roman" w:eastAsia="宋体" w:cs="Times New Roman"/>
                      <w:b w:val="0"/>
                      <w:bCs w:val="0"/>
                      <w:color w:val="auto"/>
                      <w:szCs w:val="21"/>
                      <w:lang w:eastAsia="zh-CN"/>
                    </w:rPr>
                    <w:t>。</w:t>
                  </w:r>
                </w:p>
              </w:tc>
              <w:tc>
                <w:tcPr>
                  <w:tcW w:w="990" w:type="dxa"/>
                  <w:tcBorders>
                    <w:bottom w:val="single" w:color="auto" w:sz="4" w:space="0"/>
                  </w:tcBorders>
                  <w:noWrap w:val="0"/>
                  <w:vAlign w:val="center"/>
                </w:tcPr>
                <w:p w14:paraId="5E77FFB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1.0</w:t>
                  </w:r>
                </w:p>
              </w:tc>
              <w:tc>
                <w:tcPr>
                  <w:tcW w:w="918" w:type="dxa"/>
                  <w:tcBorders>
                    <w:bottom w:val="single" w:color="auto" w:sz="4" w:space="0"/>
                  </w:tcBorders>
                  <w:noWrap w:val="0"/>
                  <w:vAlign w:val="center"/>
                </w:tcPr>
                <w:p w14:paraId="346A707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新建</w:t>
                  </w:r>
                </w:p>
              </w:tc>
            </w:tr>
            <w:tr w14:paraId="1BDD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9" w:type="dxa"/>
                  <w:vMerge w:val="continue"/>
                  <w:noWrap w:val="0"/>
                  <w:vAlign w:val="center"/>
                </w:tcPr>
                <w:p w14:paraId="4B6C0F7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 w:val="21"/>
                      <w:szCs w:val="21"/>
                      <w:lang w:val="en-US" w:eastAsia="zh-CN"/>
                    </w:rPr>
                  </w:pPr>
                </w:p>
              </w:tc>
              <w:tc>
                <w:tcPr>
                  <w:tcW w:w="915" w:type="dxa"/>
                  <w:vMerge w:val="continue"/>
                  <w:tcBorders>
                    <w:bottom w:val="single" w:color="auto" w:sz="4" w:space="0"/>
                  </w:tcBorders>
                  <w:noWrap w:val="0"/>
                  <w:vAlign w:val="center"/>
                </w:tcPr>
                <w:p w14:paraId="7E2A72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p>
              </w:tc>
              <w:tc>
                <w:tcPr>
                  <w:tcW w:w="1536" w:type="dxa"/>
                  <w:tcBorders>
                    <w:bottom w:val="single" w:color="auto" w:sz="4" w:space="0"/>
                  </w:tcBorders>
                  <w:noWrap w:val="0"/>
                  <w:vAlign w:val="center"/>
                </w:tcPr>
                <w:p w14:paraId="7EBF0FD9">
                  <w:pPr>
                    <w:pStyle w:val="1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4"/>
                      <w:sz w:val="21"/>
                      <w:szCs w:val="21"/>
                      <w:lang w:val="en-US" w:eastAsia="zh-CN" w:bidi="ar-SA"/>
                    </w:rPr>
                  </w:pPr>
                  <w:r>
                    <w:rPr>
                      <w:rFonts w:hint="default" w:ascii="Times New Roman" w:hAnsi="Times New Roman" w:eastAsia="宋体" w:cs="Times New Roman"/>
                      <w:color w:val="auto"/>
                      <w:sz w:val="21"/>
                      <w:szCs w:val="21"/>
                    </w:rPr>
                    <w:t>生活垃圾</w:t>
                  </w:r>
                </w:p>
              </w:tc>
              <w:tc>
                <w:tcPr>
                  <w:tcW w:w="3444" w:type="dxa"/>
                  <w:tcBorders>
                    <w:bottom w:val="single" w:color="auto" w:sz="4" w:space="0"/>
                  </w:tcBorders>
                  <w:noWrap w:val="0"/>
                  <w:vAlign w:val="center"/>
                </w:tcPr>
                <w:p w14:paraId="7D47624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经垃圾桶收集后委托环卫部门清运处置</w:t>
                  </w:r>
                  <w:r>
                    <w:rPr>
                      <w:rFonts w:hint="eastAsia" w:ascii="Times New Roman" w:hAnsi="Times New Roman" w:eastAsia="宋体" w:cs="Times New Roman"/>
                      <w:b w:val="0"/>
                      <w:bCs w:val="0"/>
                      <w:color w:val="auto"/>
                      <w:szCs w:val="21"/>
                      <w:lang w:val="en-US" w:eastAsia="zh-CN"/>
                    </w:rPr>
                    <w:t>。</w:t>
                  </w:r>
                </w:p>
              </w:tc>
              <w:tc>
                <w:tcPr>
                  <w:tcW w:w="990" w:type="dxa"/>
                  <w:tcBorders>
                    <w:bottom w:val="single" w:color="auto" w:sz="4" w:space="0"/>
                  </w:tcBorders>
                  <w:noWrap w:val="0"/>
                  <w:vAlign w:val="center"/>
                </w:tcPr>
                <w:p w14:paraId="09DD66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0.1</w:t>
                  </w:r>
                </w:p>
              </w:tc>
              <w:tc>
                <w:tcPr>
                  <w:tcW w:w="918" w:type="dxa"/>
                  <w:tcBorders>
                    <w:bottom w:val="single" w:color="auto" w:sz="4" w:space="0"/>
                  </w:tcBorders>
                  <w:noWrap w:val="0"/>
                  <w:vAlign w:val="center"/>
                </w:tcPr>
                <w:p w14:paraId="08C4ABD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新建</w:t>
                  </w:r>
                </w:p>
              </w:tc>
            </w:tr>
            <w:tr w14:paraId="4193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restart"/>
                  <w:noWrap w:val="0"/>
                  <w:vAlign w:val="center"/>
                </w:tcPr>
                <w:p w14:paraId="0A8502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运营期</w:t>
                  </w:r>
                </w:p>
              </w:tc>
              <w:tc>
                <w:tcPr>
                  <w:tcW w:w="915" w:type="dxa"/>
                  <w:noWrap w:val="0"/>
                  <w:vAlign w:val="center"/>
                </w:tcPr>
                <w:p w14:paraId="544533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废气</w:t>
                  </w:r>
                </w:p>
              </w:tc>
              <w:tc>
                <w:tcPr>
                  <w:tcW w:w="1536" w:type="dxa"/>
                  <w:noWrap w:val="0"/>
                  <w:vAlign w:val="center"/>
                </w:tcPr>
                <w:p w14:paraId="025E89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注塑废气</w:t>
                  </w:r>
                </w:p>
              </w:tc>
              <w:tc>
                <w:tcPr>
                  <w:tcW w:w="3444" w:type="dxa"/>
                  <w:noWrap w:val="0"/>
                  <w:vAlign w:val="center"/>
                </w:tcPr>
                <w:p w14:paraId="62B34C01">
                  <w:pPr>
                    <w:pStyle w:val="85"/>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集气罩+</w:t>
                  </w:r>
                  <w:r>
                    <w:rPr>
                      <w:rFonts w:hint="default" w:ascii="Times New Roman" w:hAnsi="Times New Roman" w:eastAsia="宋体" w:cs="Times New Roman"/>
                      <w:color w:val="auto"/>
                      <w:szCs w:val="21"/>
                      <w:lang w:val="en-US" w:eastAsia="zh-CN"/>
                    </w:rPr>
                    <w:t>三级活性炭吸附装置</w:t>
                  </w:r>
                  <w:r>
                    <w:rPr>
                      <w:rFonts w:hint="default" w:ascii="Times New Roman" w:hAnsi="Times New Roman" w:eastAsia="宋体" w:cs="Times New Roman"/>
                      <w:color w:val="auto"/>
                      <w:szCs w:val="21"/>
                    </w:rPr>
                    <w:t>+15m高排气筒</w:t>
                  </w:r>
                  <w:r>
                    <w:rPr>
                      <w:rFonts w:hint="eastAsia" w:ascii="Times New Roman" w:hAnsi="Times New Roman" w:eastAsia="宋体" w:cs="Times New Roman"/>
                      <w:color w:val="auto"/>
                      <w:szCs w:val="21"/>
                      <w:lang w:eastAsia="zh-CN"/>
                    </w:rPr>
                    <w:t>。</w:t>
                  </w:r>
                </w:p>
              </w:tc>
              <w:tc>
                <w:tcPr>
                  <w:tcW w:w="990" w:type="dxa"/>
                  <w:noWrap w:val="0"/>
                  <w:vAlign w:val="center"/>
                </w:tcPr>
                <w:p w14:paraId="3DA8E01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w:t>
                  </w:r>
                </w:p>
              </w:tc>
              <w:tc>
                <w:tcPr>
                  <w:tcW w:w="918" w:type="dxa"/>
                  <w:noWrap w:val="0"/>
                  <w:vAlign w:val="center"/>
                </w:tcPr>
                <w:p w14:paraId="40EEEB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新建</w:t>
                  </w:r>
                </w:p>
              </w:tc>
            </w:tr>
            <w:tr w14:paraId="538C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continue"/>
                  <w:noWrap w:val="0"/>
                  <w:vAlign w:val="center"/>
                </w:tcPr>
                <w:p w14:paraId="5635126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915" w:type="dxa"/>
                  <w:vMerge w:val="restart"/>
                  <w:noWrap w:val="0"/>
                  <w:vAlign w:val="center"/>
                </w:tcPr>
                <w:p w14:paraId="7407960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废水</w:t>
                  </w:r>
                </w:p>
              </w:tc>
              <w:tc>
                <w:tcPr>
                  <w:tcW w:w="1536" w:type="dxa"/>
                  <w:noWrap w:val="0"/>
                  <w:vAlign w:val="center"/>
                </w:tcPr>
                <w:p w14:paraId="22F460C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冷却水</w:t>
                  </w:r>
                </w:p>
              </w:tc>
              <w:tc>
                <w:tcPr>
                  <w:tcW w:w="3444" w:type="dxa"/>
                  <w:noWrap w:val="0"/>
                  <w:vAlign w:val="center"/>
                </w:tcPr>
                <w:p w14:paraId="392633B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冷却水循环收集系统（</w:t>
                  </w:r>
                  <w:r>
                    <w:rPr>
                      <w:rFonts w:hint="default" w:ascii="Times New Roman" w:hAnsi="Times New Roman" w:eastAsia="宋体" w:cs="Times New Roman"/>
                      <w:color w:val="auto"/>
                      <w:szCs w:val="21"/>
                      <w:lang w:val="en-US" w:eastAsia="zh-CN"/>
                    </w:rPr>
                    <w:t>循环水池10</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lang w:val="en-US" w:eastAsia="zh-CN"/>
                    </w:rPr>
                    <w:t>3</w:t>
                  </w:r>
                  <w:r>
                    <w:rPr>
                      <w:rFonts w:hint="default" w:ascii="Times New Roman" w:hAnsi="Times New Roman" w:eastAsia="宋体" w:cs="Times New Roman"/>
                      <w:color w:val="auto"/>
                      <w:szCs w:val="21"/>
                    </w:rPr>
                    <w:t>）</w:t>
                  </w:r>
                </w:p>
              </w:tc>
              <w:tc>
                <w:tcPr>
                  <w:tcW w:w="990" w:type="dxa"/>
                  <w:noWrap w:val="0"/>
                  <w:vAlign w:val="center"/>
                </w:tcPr>
                <w:p w14:paraId="340FCA5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5</w:t>
                  </w:r>
                </w:p>
              </w:tc>
              <w:tc>
                <w:tcPr>
                  <w:tcW w:w="918" w:type="dxa"/>
                  <w:noWrap w:val="0"/>
                  <w:vAlign w:val="center"/>
                </w:tcPr>
                <w:p w14:paraId="2BBF1E3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新建</w:t>
                  </w:r>
                </w:p>
              </w:tc>
            </w:tr>
            <w:tr w14:paraId="74C2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continue"/>
                  <w:noWrap w:val="0"/>
                  <w:vAlign w:val="center"/>
                </w:tcPr>
                <w:p w14:paraId="4688798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915" w:type="dxa"/>
                  <w:vMerge w:val="continue"/>
                  <w:noWrap w:val="0"/>
                  <w:vAlign w:val="center"/>
                </w:tcPr>
                <w:p w14:paraId="2367C5F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p>
              </w:tc>
              <w:tc>
                <w:tcPr>
                  <w:tcW w:w="1536" w:type="dxa"/>
                  <w:noWrap w:val="0"/>
                  <w:vAlign w:val="center"/>
                </w:tcPr>
                <w:p w14:paraId="0D1715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生活污水</w:t>
                  </w:r>
                </w:p>
              </w:tc>
              <w:tc>
                <w:tcPr>
                  <w:tcW w:w="3444" w:type="dxa"/>
                  <w:noWrap w:val="0"/>
                  <w:vAlign w:val="center"/>
                </w:tcPr>
                <w:p w14:paraId="2400193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项目租用厂房已配套建设了</w:t>
                  </w:r>
                  <w:r>
                    <w:rPr>
                      <w:rFonts w:hint="default" w:ascii="Times New Roman" w:hAnsi="Times New Roman" w:eastAsia="宋体" w:cs="Times New Roman"/>
                      <w:color w:val="auto"/>
                      <w:szCs w:val="21"/>
                      <w:lang w:val="en-US" w:eastAsia="zh-CN"/>
                    </w:rPr>
                    <w:t>1个油水分离器，</w:t>
                  </w:r>
                  <w:r>
                    <w:rPr>
                      <w:rFonts w:hint="default" w:ascii="Times New Roman" w:hAnsi="Times New Roman" w:eastAsia="宋体" w:cs="Times New Roman"/>
                      <w:color w:val="000000"/>
                      <w:kern w:val="0"/>
                      <w:sz w:val="21"/>
                      <w:szCs w:val="21"/>
                      <w:lang w:val="en-US" w:eastAsia="zh-CN" w:bidi="ar"/>
                    </w:rPr>
                    <w:t>容积为0.5m</w:t>
                  </w:r>
                  <w:r>
                    <w:rPr>
                      <w:rFonts w:hint="default" w:ascii="Times New Roman" w:hAnsi="Times New Roman" w:eastAsia="宋体" w:cs="Times New Roman"/>
                      <w:color w:val="000000"/>
                      <w:kern w:val="0"/>
                      <w:sz w:val="21"/>
                      <w:szCs w:val="21"/>
                      <w:vertAlign w:val="superscript"/>
                      <w:lang w:val="en-US" w:eastAsia="zh-CN" w:bidi="ar"/>
                    </w:rPr>
                    <w:t>3</w:t>
                  </w:r>
                  <w:r>
                    <w:rPr>
                      <w:rFonts w:hint="default"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rPr>
                    <w:t>1个化粪池，容积为</w:t>
                  </w:r>
                  <w:r>
                    <w:rPr>
                      <w:rFonts w:hint="default" w:ascii="Times New Roman" w:hAnsi="Times New Roman" w:eastAsia="宋体" w:cs="Times New Roman"/>
                      <w:color w:val="auto"/>
                      <w:szCs w:val="21"/>
                      <w:lang w:val="en-US" w:eastAsia="zh-CN"/>
                    </w:rPr>
                    <w:t>5</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1个一体化污水处理设施，</w:t>
                  </w:r>
                  <w:r>
                    <w:rPr>
                      <w:rFonts w:hint="default" w:ascii="Times New Roman" w:hAnsi="Times New Roman" w:eastAsia="宋体" w:cs="Times New Roman"/>
                      <w:color w:val="000000"/>
                      <w:kern w:val="0"/>
                      <w:sz w:val="21"/>
                      <w:szCs w:val="21"/>
                      <w:lang w:val="en-US" w:eastAsia="zh-CN" w:bidi="ar"/>
                    </w:rPr>
                    <w:t>规模</w:t>
                  </w:r>
                  <w:r>
                    <w:rPr>
                      <w:rFonts w:hint="eastAsia" w:cs="Times New Roman"/>
                      <w:color w:val="000000"/>
                      <w:kern w:val="0"/>
                      <w:sz w:val="21"/>
                      <w:szCs w:val="21"/>
                      <w:lang w:val="en-US" w:eastAsia="zh-CN" w:bidi="ar"/>
                    </w:rPr>
                    <w:t>8</w:t>
                  </w:r>
                  <w:r>
                    <w:rPr>
                      <w:rFonts w:hint="default" w:ascii="Times New Roman" w:hAnsi="Times New Roman" w:eastAsia="宋体" w:cs="Times New Roman"/>
                      <w:color w:val="000000"/>
                      <w:kern w:val="0"/>
                      <w:sz w:val="21"/>
                      <w:szCs w:val="21"/>
                      <w:lang w:val="en-US" w:eastAsia="zh-CN" w:bidi="ar"/>
                    </w:rPr>
                    <w:t>m</w:t>
                  </w:r>
                  <w:r>
                    <w:rPr>
                      <w:rFonts w:hint="default" w:ascii="Times New Roman" w:hAnsi="Times New Roman" w:eastAsia="宋体" w:cs="Times New Roman"/>
                      <w:color w:val="000000"/>
                      <w:kern w:val="0"/>
                      <w:sz w:val="21"/>
                      <w:szCs w:val="21"/>
                      <w:vertAlign w:val="superscript"/>
                      <w:lang w:val="en-US" w:eastAsia="zh-CN" w:bidi="ar"/>
                    </w:rPr>
                    <w:t>3</w:t>
                  </w:r>
                  <w:r>
                    <w:rPr>
                      <w:rFonts w:hint="default" w:ascii="Times New Roman" w:hAnsi="Times New Roman" w:eastAsia="宋体" w:cs="Times New Roman"/>
                      <w:color w:val="000000"/>
                      <w:kern w:val="0"/>
                      <w:sz w:val="21"/>
                      <w:szCs w:val="21"/>
                      <w:lang w:val="en-US" w:eastAsia="zh-CN" w:bidi="ar"/>
                    </w:rPr>
                    <w:t xml:space="preserve"> /d </w:t>
                  </w:r>
                  <w:r>
                    <w:rPr>
                      <w:rFonts w:hint="default" w:ascii="Times New Roman" w:hAnsi="Times New Roman" w:eastAsia="宋体" w:cs="Times New Roman"/>
                      <w:color w:val="000000"/>
                      <w:kern w:val="0"/>
                      <w:sz w:val="21"/>
                      <w:szCs w:val="21"/>
                      <w:vertAlign w:val="baseline"/>
                      <w:lang w:val="en-US" w:eastAsia="zh-CN" w:bidi="ar"/>
                    </w:rPr>
                    <w:t>；</w:t>
                  </w:r>
                  <w:r>
                    <w:rPr>
                      <w:rFonts w:hint="default" w:ascii="Times New Roman" w:hAnsi="Times New Roman" w:eastAsia="宋体" w:cs="Times New Roman"/>
                      <w:color w:val="auto"/>
                      <w:szCs w:val="21"/>
                    </w:rPr>
                    <w:t>1个</w:t>
                  </w:r>
                  <w:r>
                    <w:rPr>
                      <w:rFonts w:hint="default" w:ascii="Times New Roman" w:hAnsi="Times New Roman" w:eastAsia="宋体" w:cs="Times New Roman"/>
                      <w:color w:val="auto"/>
                      <w:szCs w:val="21"/>
                      <w:lang w:val="en-US" w:eastAsia="zh-CN"/>
                    </w:rPr>
                    <w:t>蓄水池</w:t>
                  </w:r>
                  <w:r>
                    <w:rPr>
                      <w:rFonts w:hint="default" w:ascii="Times New Roman" w:hAnsi="Times New Roman" w:eastAsia="宋体" w:cs="Times New Roman"/>
                      <w:color w:val="auto"/>
                      <w:szCs w:val="21"/>
                    </w:rPr>
                    <w:t>，</w:t>
                  </w:r>
                  <w:r>
                    <w:rPr>
                      <w:rFonts w:hint="default" w:ascii="Times New Roman" w:hAnsi="Times New Roman" w:eastAsia="宋体" w:cs="Times New Roman"/>
                      <w:color w:val="000000"/>
                      <w:kern w:val="0"/>
                      <w:sz w:val="21"/>
                      <w:szCs w:val="21"/>
                      <w:lang w:val="en-US" w:eastAsia="zh-CN" w:bidi="ar"/>
                    </w:rPr>
                    <w:t>容积为 30m</w:t>
                  </w:r>
                  <w:r>
                    <w:rPr>
                      <w:rFonts w:hint="default" w:ascii="Times New Roman" w:hAnsi="Times New Roman" w:eastAsia="宋体" w:cs="Times New Roman"/>
                      <w:color w:val="000000"/>
                      <w:kern w:val="0"/>
                      <w:sz w:val="21"/>
                      <w:szCs w:val="21"/>
                      <w:vertAlign w:val="superscript"/>
                      <w:lang w:val="en-US" w:eastAsia="zh-CN" w:bidi="ar"/>
                    </w:rPr>
                    <w:t>3</w:t>
                  </w:r>
                  <w:r>
                    <w:rPr>
                      <w:rFonts w:hint="default" w:ascii="Times New Roman" w:hAnsi="Times New Roman" w:eastAsia="宋体" w:cs="Times New Roman"/>
                      <w:color w:val="000000"/>
                      <w:kern w:val="0"/>
                      <w:sz w:val="21"/>
                      <w:szCs w:val="21"/>
                      <w:vertAlign w:val="baseline"/>
                      <w:lang w:val="en-US" w:eastAsia="zh-CN" w:bidi="ar"/>
                    </w:rPr>
                    <w:t>。</w:t>
                  </w:r>
                  <w:r>
                    <w:rPr>
                      <w:rFonts w:hint="default" w:ascii="Times New Roman" w:hAnsi="Times New Roman" w:eastAsia="宋体" w:cs="Times New Roman"/>
                      <w:color w:val="auto"/>
                      <w:szCs w:val="21"/>
                    </w:rPr>
                    <w:t>生活污水</w:t>
                  </w:r>
                  <w:r>
                    <w:rPr>
                      <w:rFonts w:hint="default" w:ascii="Times New Roman" w:hAnsi="Times New Roman" w:eastAsia="宋体" w:cs="Times New Roman"/>
                      <w:color w:val="auto"/>
                      <w:szCs w:val="21"/>
                      <w:lang w:val="en-US" w:eastAsia="zh-CN"/>
                    </w:rPr>
                    <w:t>依托租用厂房配套的污水处理系统</w:t>
                  </w:r>
                  <w:r>
                    <w:rPr>
                      <w:rFonts w:hint="default" w:ascii="Times New Roman" w:hAnsi="Times New Roman" w:eastAsia="宋体" w:cs="Times New Roman"/>
                      <w:color w:val="auto"/>
                      <w:szCs w:val="21"/>
                    </w:rPr>
                    <w:t>处理</w:t>
                  </w:r>
                  <w:r>
                    <w:rPr>
                      <w:rFonts w:hint="default" w:ascii="Times New Roman" w:hAnsi="Times New Roman" w:eastAsia="宋体" w:cs="Times New Roman"/>
                      <w:color w:val="000000"/>
                      <w:kern w:val="0"/>
                      <w:sz w:val="21"/>
                      <w:szCs w:val="21"/>
                      <w:lang w:val="en-US" w:eastAsia="zh-CN" w:bidi="ar"/>
                    </w:rPr>
                    <w:t>达标后晴天回用作为绿化浇灌、道路洒水，雨天暂存于项目内设置的蓄水池。</w:t>
                  </w:r>
                </w:p>
              </w:tc>
              <w:tc>
                <w:tcPr>
                  <w:tcW w:w="990" w:type="dxa"/>
                  <w:noWrap w:val="0"/>
                  <w:vAlign w:val="center"/>
                </w:tcPr>
                <w:p w14:paraId="1EB4ED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w:t>
                  </w:r>
                </w:p>
              </w:tc>
              <w:tc>
                <w:tcPr>
                  <w:tcW w:w="918" w:type="dxa"/>
                  <w:noWrap w:val="0"/>
                  <w:vAlign w:val="center"/>
                </w:tcPr>
                <w:p w14:paraId="391ED9A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租用厂房已配套建设</w:t>
                  </w:r>
                  <w:r>
                    <w:rPr>
                      <w:rFonts w:hint="eastAsia" w:cs="Times New Roman"/>
                      <w:b w:val="0"/>
                      <w:bCs w:val="0"/>
                      <w:color w:val="auto"/>
                      <w:kern w:val="2"/>
                      <w:sz w:val="21"/>
                      <w:szCs w:val="21"/>
                      <w:lang w:val="en-US" w:eastAsia="zh-CN" w:bidi="ar-SA"/>
                    </w:rPr>
                    <w:t>（项目依托）</w:t>
                  </w:r>
                </w:p>
              </w:tc>
            </w:tr>
            <w:tr w14:paraId="261C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continue"/>
                  <w:noWrap w:val="0"/>
                  <w:vAlign w:val="center"/>
                </w:tcPr>
                <w:p w14:paraId="49E079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915" w:type="dxa"/>
                  <w:noWrap w:val="0"/>
                  <w:vAlign w:val="center"/>
                </w:tcPr>
                <w:p w14:paraId="1901F8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1536" w:type="dxa"/>
                  <w:noWrap w:val="0"/>
                  <w:vAlign w:val="center"/>
                </w:tcPr>
                <w:p w14:paraId="4B7AF5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设备噪声</w:t>
                  </w:r>
                </w:p>
              </w:tc>
              <w:tc>
                <w:tcPr>
                  <w:tcW w:w="3444" w:type="dxa"/>
                  <w:noWrap w:val="0"/>
                  <w:vAlign w:val="center"/>
                </w:tcPr>
                <w:p w14:paraId="4AFDD79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设备减震、消声降噪等</w:t>
                  </w:r>
                  <w:r>
                    <w:rPr>
                      <w:rFonts w:hint="eastAsia" w:ascii="Times New Roman" w:hAnsi="Times New Roman" w:eastAsia="宋体" w:cs="Times New Roman"/>
                      <w:color w:val="auto"/>
                      <w:szCs w:val="21"/>
                      <w:lang w:eastAsia="zh-CN"/>
                    </w:rPr>
                    <w:t>。</w:t>
                  </w:r>
                </w:p>
              </w:tc>
              <w:tc>
                <w:tcPr>
                  <w:tcW w:w="990" w:type="dxa"/>
                  <w:noWrap w:val="0"/>
                  <w:vAlign w:val="center"/>
                </w:tcPr>
                <w:p w14:paraId="5F399FE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1.0</w:t>
                  </w:r>
                </w:p>
              </w:tc>
              <w:tc>
                <w:tcPr>
                  <w:tcW w:w="918" w:type="dxa"/>
                  <w:noWrap w:val="0"/>
                  <w:vAlign w:val="center"/>
                </w:tcPr>
                <w:p w14:paraId="53D5AE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新建</w:t>
                  </w:r>
                </w:p>
              </w:tc>
            </w:tr>
            <w:tr w14:paraId="5F0E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continue"/>
                  <w:noWrap w:val="0"/>
                  <w:vAlign w:val="center"/>
                </w:tcPr>
                <w:p w14:paraId="40E67A4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915" w:type="dxa"/>
                  <w:vMerge w:val="restart"/>
                  <w:noWrap w:val="0"/>
                  <w:vAlign w:val="center"/>
                </w:tcPr>
                <w:p w14:paraId="5AB159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固废</w:t>
                  </w:r>
                </w:p>
              </w:tc>
              <w:tc>
                <w:tcPr>
                  <w:tcW w:w="1536" w:type="dxa"/>
                  <w:noWrap w:val="0"/>
                  <w:vAlign w:val="center"/>
                </w:tcPr>
                <w:p w14:paraId="58538F0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生活垃圾</w:t>
                  </w:r>
                </w:p>
              </w:tc>
              <w:tc>
                <w:tcPr>
                  <w:tcW w:w="3444" w:type="dxa"/>
                  <w:noWrap w:val="0"/>
                  <w:vAlign w:val="center"/>
                </w:tcPr>
                <w:p w14:paraId="64F3E2E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生活垃圾</w:t>
                  </w:r>
                  <w:r>
                    <w:rPr>
                      <w:rFonts w:hint="eastAsia" w:ascii="Times New Roman" w:hAnsi="Times New Roman" w:eastAsia="宋体" w:cs="Times New Roman"/>
                      <w:color w:val="auto"/>
                      <w:szCs w:val="21"/>
                      <w:lang w:val="en-US" w:eastAsia="zh-CN"/>
                    </w:rPr>
                    <w:t>收集</w:t>
                  </w:r>
                  <w:r>
                    <w:rPr>
                      <w:rFonts w:hint="default" w:ascii="Times New Roman" w:hAnsi="Times New Roman" w:eastAsia="宋体" w:cs="Times New Roman"/>
                      <w:color w:val="auto"/>
                      <w:szCs w:val="21"/>
                    </w:rPr>
                    <w:t>桶</w:t>
                  </w:r>
                  <w:r>
                    <w:rPr>
                      <w:rFonts w:hint="eastAsia" w:ascii="Times New Roman" w:hAnsi="Times New Roman" w:eastAsia="宋体" w:cs="Times New Roman"/>
                      <w:color w:val="auto"/>
                      <w:szCs w:val="21"/>
                      <w:lang w:eastAsia="zh-CN"/>
                    </w:rPr>
                    <w:t>。</w:t>
                  </w:r>
                </w:p>
              </w:tc>
              <w:tc>
                <w:tcPr>
                  <w:tcW w:w="990" w:type="dxa"/>
                  <w:noWrap w:val="0"/>
                  <w:vAlign w:val="center"/>
                </w:tcPr>
                <w:p w14:paraId="7095A6D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0.1</w:t>
                  </w:r>
                </w:p>
              </w:tc>
              <w:tc>
                <w:tcPr>
                  <w:tcW w:w="918" w:type="dxa"/>
                  <w:noWrap w:val="0"/>
                  <w:vAlign w:val="center"/>
                </w:tcPr>
                <w:p w14:paraId="09789B4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新建</w:t>
                  </w:r>
                </w:p>
              </w:tc>
            </w:tr>
            <w:tr w14:paraId="6F91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continue"/>
                  <w:noWrap w:val="0"/>
                  <w:vAlign w:val="center"/>
                </w:tcPr>
                <w:p w14:paraId="0DB7E57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915" w:type="dxa"/>
                  <w:vMerge w:val="continue"/>
                  <w:noWrap w:val="0"/>
                  <w:vAlign w:val="center"/>
                </w:tcPr>
                <w:p w14:paraId="5658B75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1536" w:type="dxa"/>
                  <w:noWrap w:val="0"/>
                  <w:vAlign w:val="center"/>
                </w:tcPr>
                <w:p w14:paraId="1B4E522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kern w:val="0"/>
                      <w:sz w:val="21"/>
                      <w:szCs w:val="21"/>
                      <w:lang w:val="en-US" w:eastAsia="zh-CN" w:bidi="ar"/>
                    </w:rPr>
                    <w:t>废润滑油</w:t>
                  </w:r>
                  <w:r>
                    <w:rPr>
                      <w:rFonts w:hint="eastAsia" w:cs="Times New Roman"/>
                      <w:color w:val="auto"/>
                      <w:kern w:val="0"/>
                      <w:sz w:val="21"/>
                      <w:szCs w:val="21"/>
                      <w:lang w:val="en-US" w:eastAsia="zh-CN" w:bidi="ar"/>
                    </w:rPr>
                    <w:t>、</w:t>
                  </w:r>
                  <w:r>
                    <w:rPr>
                      <w:rFonts w:hint="eastAsia" w:ascii="Times New Roman" w:hAnsi="Times New Roman" w:eastAsia="Times New Roman" w:cs="宋体"/>
                      <w:b w:val="0"/>
                      <w:bCs w:val="0"/>
                      <w:color w:val="auto"/>
                      <w:sz w:val="21"/>
                      <w:szCs w:val="21"/>
                      <w:lang w:val="en-US" w:eastAsia="zh-CN" w:bidi="ar-SA"/>
                    </w:rPr>
                    <w:t>含油废手套抹布、</w:t>
                  </w:r>
                  <w:r>
                    <w:rPr>
                      <w:rFonts w:hint="eastAsia" w:cs="Times New Roman"/>
                      <w:color w:val="auto"/>
                      <w:kern w:val="0"/>
                      <w:sz w:val="21"/>
                      <w:szCs w:val="21"/>
                      <w:lang w:val="en-US" w:eastAsia="zh-CN" w:bidi="ar"/>
                    </w:rPr>
                    <w:t>废柴油桶、废脱模剂瓶、废活</w:t>
                  </w:r>
                  <w:r>
                    <w:rPr>
                      <w:rFonts w:hint="eastAsia" w:cs="Times New Roman"/>
                      <w:color w:val="000000"/>
                      <w:kern w:val="0"/>
                      <w:sz w:val="21"/>
                      <w:szCs w:val="21"/>
                      <w:lang w:val="en-US" w:eastAsia="zh-CN" w:bidi="ar"/>
                    </w:rPr>
                    <w:t>性炭</w:t>
                  </w:r>
                </w:p>
              </w:tc>
              <w:tc>
                <w:tcPr>
                  <w:tcW w:w="3444" w:type="dxa"/>
                  <w:noWrap w:val="0"/>
                  <w:vAlign w:val="center"/>
                </w:tcPr>
                <w:p w14:paraId="013A00E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1间</w:t>
                  </w:r>
                  <w:r>
                    <w:rPr>
                      <w:rFonts w:hint="eastAsia" w:cs="Times New Roman"/>
                      <w:color w:val="auto"/>
                      <w:szCs w:val="21"/>
                      <w:lang w:val="en-US" w:eastAsia="zh-CN"/>
                    </w:rPr>
                    <w:t>10</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r>
                    <w:rPr>
                      <w:rFonts w:hint="default" w:ascii="Times New Roman" w:hAnsi="Times New Roman" w:eastAsia="宋体" w:cs="Times New Roman"/>
                      <w:color w:val="auto"/>
                      <w:szCs w:val="21"/>
                    </w:rPr>
                    <w:t>的</w:t>
                  </w:r>
                  <w:r>
                    <w:rPr>
                      <w:rFonts w:hint="eastAsia" w:cs="Times New Roman"/>
                      <w:color w:val="auto"/>
                      <w:szCs w:val="21"/>
                      <w:lang w:eastAsia="zh-CN"/>
                    </w:rPr>
                    <w:t>危废贮存库</w:t>
                  </w:r>
                  <w:r>
                    <w:rPr>
                      <w:rFonts w:hint="eastAsia" w:ascii="Times New Roman" w:hAnsi="Times New Roman" w:eastAsia="宋体" w:cs="Times New Roman"/>
                      <w:color w:val="auto"/>
                      <w:szCs w:val="21"/>
                      <w:lang w:eastAsia="zh-CN"/>
                    </w:rPr>
                    <w:t>。</w:t>
                  </w:r>
                </w:p>
              </w:tc>
              <w:tc>
                <w:tcPr>
                  <w:tcW w:w="990" w:type="dxa"/>
                  <w:noWrap w:val="0"/>
                  <w:vAlign w:val="center"/>
                </w:tcPr>
                <w:p w14:paraId="2E193A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2.0</w:t>
                  </w:r>
                </w:p>
              </w:tc>
              <w:tc>
                <w:tcPr>
                  <w:tcW w:w="918" w:type="dxa"/>
                  <w:noWrap w:val="0"/>
                  <w:vAlign w:val="center"/>
                </w:tcPr>
                <w:p w14:paraId="16100B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新建</w:t>
                  </w:r>
                </w:p>
              </w:tc>
            </w:tr>
            <w:tr w14:paraId="30CB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9" w:type="dxa"/>
                  <w:vMerge w:val="continue"/>
                  <w:noWrap w:val="0"/>
                  <w:vAlign w:val="center"/>
                </w:tcPr>
                <w:p w14:paraId="585B422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2451" w:type="dxa"/>
                  <w:gridSpan w:val="2"/>
                  <w:noWrap w:val="0"/>
                  <w:vAlign w:val="center"/>
                </w:tcPr>
                <w:p w14:paraId="1F9AEFD7">
                  <w:pPr>
                    <w:keepNext w:val="0"/>
                    <w:keepLines w:val="0"/>
                    <w:suppressLineNumbers w:val="0"/>
                    <w:wordWrap w:val="0"/>
                    <w:adjustRightInd w:val="0"/>
                    <w:snapToGrid w:val="0"/>
                    <w:spacing w:before="0" w:beforeAutospacing="0" w:after="0" w:afterAutospacing="0"/>
                    <w:ind w:left="120" w:leftChars="0" w:right="120" w:rightChars="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环境保护管理</w:t>
                  </w:r>
                </w:p>
              </w:tc>
              <w:tc>
                <w:tcPr>
                  <w:tcW w:w="3444" w:type="dxa"/>
                  <w:noWrap w:val="0"/>
                  <w:vAlign w:val="center"/>
                </w:tcPr>
                <w:p w14:paraId="3940FBE3">
                  <w:pPr>
                    <w:keepNext w:val="0"/>
                    <w:keepLines w:val="0"/>
                    <w:suppressLineNumbers w:val="0"/>
                    <w:wordWrap w:val="0"/>
                    <w:spacing w:before="0" w:beforeAutospacing="0" w:after="0" w:afterAutospacing="0"/>
                    <w:ind w:left="120" w:leftChars="0" w:right="120" w:rightChars="0"/>
                    <w:jc w:val="center"/>
                    <w:rPr>
                      <w:rFonts w:hint="eastAsia" w:ascii="Times New Roman" w:hAnsi="Times New Roman" w:eastAsia="宋体" w:cs="Times New Roman"/>
                      <w:bCs/>
                      <w:color w:val="000000"/>
                      <w:kern w:val="0"/>
                      <w:sz w:val="21"/>
                      <w:szCs w:val="21"/>
                      <w:lang w:val="en-US" w:eastAsia="zh-CN" w:bidi="ar-SA"/>
                    </w:rPr>
                  </w:pPr>
                  <w:r>
                    <w:rPr>
                      <w:rFonts w:hint="default" w:ascii="Times New Roman" w:hAnsi="Times New Roman" w:eastAsia="宋体" w:cs="Times New Roman"/>
                      <w:color w:val="000000"/>
                      <w:szCs w:val="21"/>
                    </w:rPr>
                    <w:t>包括台账管理、环保设施维护等</w:t>
                  </w:r>
                  <w:r>
                    <w:rPr>
                      <w:rFonts w:hint="eastAsia" w:ascii="Times New Roman" w:hAnsi="Times New Roman" w:eastAsia="宋体" w:cs="Times New Roman"/>
                      <w:color w:val="000000"/>
                      <w:szCs w:val="21"/>
                      <w:lang w:eastAsia="zh-CN"/>
                    </w:rPr>
                    <w:t>。</w:t>
                  </w:r>
                </w:p>
              </w:tc>
              <w:tc>
                <w:tcPr>
                  <w:tcW w:w="990" w:type="dxa"/>
                  <w:noWrap w:val="0"/>
                  <w:vAlign w:val="center"/>
                </w:tcPr>
                <w:p w14:paraId="6E470BD2">
                  <w:pPr>
                    <w:keepNext w:val="0"/>
                    <w:keepLines w:val="0"/>
                    <w:suppressLineNumbers w:val="0"/>
                    <w:wordWrap w:val="0"/>
                    <w:spacing w:before="0" w:beforeAutospacing="0" w:after="0" w:afterAutospacing="0"/>
                    <w:ind w:left="120" w:leftChars="0" w:right="120" w:rightChars="0"/>
                    <w:jc w:val="center"/>
                    <w:rPr>
                      <w:rFonts w:hint="default" w:ascii="Times New Roman" w:hAnsi="Times New Roman" w:eastAsia="宋体" w:cs="Times New Roman"/>
                      <w:bCs/>
                      <w:color w:val="000000"/>
                      <w:kern w:val="0"/>
                      <w:sz w:val="21"/>
                      <w:szCs w:val="21"/>
                      <w:lang w:val="en-US" w:eastAsia="zh-CN" w:bidi="ar-SA"/>
                    </w:rPr>
                  </w:pPr>
                  <w:r>
                    <w:rPr>
                      <w:rFonts w:hint="default" w:ascii="Times New Roman" w:hAnsi="Times New Roman" w:eastAsia="宋体" w:cs="Times New Roman"/>
                      <w:color w:val="000000"/>
                      <w:szCs w:val="21"/>
                    </w:rPr>
                    <w:t>1.5</w:t>
                  </w:r>
                </w:p>
              </w:tc>
              <w:tc>
                <w:tcPr>
                  <w:tcW w:w="918" w:type="dxa"/>
                  <w:noWrap w:val="0"/>
                  <w:vAlign w:val="center"/>
                </w:tcPr>
                <w:p w14:paraId="7AF12D4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新建</w:t>
                  </w:r>
                </w:p>
              </w:tc>
            </w:tr>
            <w:tr w14:paraId="282F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34" w:type="dxa"/>
                  <w:gridSpan w:val="4"/>
                  <w:noWrap w:val="0"/>
                  <w:vAlign w:val="center"/>
                </w:tcPr>
                <w:p w14:paraId="7365B6C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合计</w:t>
                  </w:r>
                </w:p>
              </w:tc>
              <w:tc>
                <w:tcPr>
                  <w:tcW w:w="990" w:type="dxa"/>
                  <w:noWrap w:val="0"/>
                  <w:vAlign w:val="center"/>
                </w:tcPr>
                <w:p w14:paraId="4BD75A8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default" w:ascii="Times New Roman" w:hAnsi="Times New Roman" w:eastAsia="宋体" w:cs="Times New Roman"/>
                      <w:b/>
                      <w:color w:val="auto"/>
                      <w:szCs w:val="21"/>
                      <w:lang w:val="en-US" w:eastAsia="zh-CN"/>
                    </w:rPr>
                    <w:t>28.7</w:t>
                  </w:r>
                </w:p>
              </w:tc>
              <w:tc>
                <w:tcPr>
                  <w:tcW w:w="918" w:type="dxa"/>
                  <w:noWrap w:val="0"/>
                  <w:vAlign w:val="center"/>
                </w:tcPr>
                <w:p w14:paraId="6DB2A4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bl>
          <w:p w14:paraId="42D1CE6B">
            <w:pPr>
              <w:pStyle w:val="92"/>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60" w:lineRule="auto"/>
              <w:ind w:left="0" w:right="0"/>
              <w:jc w:val="both"/>
              <w:textAlignment w:val="auto"/>
              <w:rPr>
                <w:rFonts w:hint="default" w:ascii="Times New Roman" w:hAnsi="Times New Roman" w:eastAsia="宋体" w:cs="Times New Roman"/>
                <w:b/>
                <w:bCs/>
                <w:color w:val="000000"/>
                <w:kern w:val="0"/>
                <w:sz w:val="21"/>
                <w:szCs w:val="21"/>
                <w:lang w:val="en-US" w:eastAsia="zh-CN" w:bidi="ar"/>
              </w:rPr>
            </w:pPr>
          </w:p>
        </w:tc>
      </w:tr>
      <w:tr w14:paraId="3270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7" w:hRule="atLeast"/>
          <w:jc w:val="center"/>
        </w:trPr>
        <w:tc>
          <w:tcPr>
            <w:tcW w:w="490" w:type="dxa"/>
            <w:noWrap w:val="0"/>
            <w:vAlign w:val="center"/>
          </w:tcPr>
          <w:p w14:paraId="75057BA4">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工艺流程和产排污环节</w:t>
            </w:r>
          </w:p>
        </w:tc>
        <w:tc>
          <w:tcPr>
            <w:tcW w:w="8844" w:type="dxa"/>
            <w:noWrap w:val="0"/>
            <w:vAlign w:val="top"/>
          </w:tcPr>
          <w:p w14:paraId="5CABF866">
            <w:pPr>
              <w:pStyle w:val="60"/>
              <w:keepNext w:val="0"/>
              <w:keepLines w:val="0"/>
              <w:pageBreakBefore w:val="0"/>
              <w:widowControl w:val="0"/>
              <w:suppressLineNumbers w:val="0"/>
              <w:kinsoku/>
              <w:wordWrap w:val="0"/>
              <w:overflowPunct/>
              <w:topLinePunct/>
              <w:autoSpaceDE/>
              <w:autoSpaceDN/>
              <w:bidi w:val="0"/>
              <w:adjustRightInd w:val="0"/>
              <w:snapToGrid/>
              <w:spacing w:before="157" w:beforeLines="50" w:beforeAutospacing="0" w:after="0" w:afterAutospacing="0"/>
              <w:ind w:firstLine="482" w:firstLineChars="200"/>
              <w:jc w:val="both"/>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1、工艺流程及产污环节</w:t>
            </w:r>
          </w:p>
          <w:p w14:paraId="017CB1AE">
            <w:pPr>
              <w:pStyle w:val="60"/>
              <w:keepNext w:val="0"/>
              <w:keepLines w:val="0"/>
              <w:suppressLineNumbers w:val="0"/>
              <w:spacing w:before="0" w:beforeAutospacing="0" w:after="0" w:afterAutospacing="0"/>
              <w:ind w:left="488" w:firstLine="0"/>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0"/>
                <w:sz w:val="24"/>
                <w:szCs w:val="24"/>
              </w:rPr>
              <w:t>（一）施工期工艺流程及产污环节</w:t>
            </w:r>
          </w:p>
          <w:p w14:paraId="4A5D6AC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项目租用</w:t>
            </w:r>
            <w:r>
              <w:rPr>
                <w:rFonts w:hint="default" w:ascii="Times New Roman" w:hAnsi="Times New Roman" w:eastAsia="宋体" w:cs="Times New Roman"/>
                <w:color w:val="auto"/>
                <w:sz w:val="24"/>
                <w:lang w:eastAsia="zh-CN"/>
              </w:rPr>
              <w:t>云南鹏达冠得有限公司</w:t>
            </w:r>
            <w:r>
              <w:rPr>
                <w:rFonts w:hint="default" w:ascii="Times New Roman" w:hAnsi="Times New Roman" w:eastAsia="宋体" w:cs="Times New Roman"/>
                <w:color w:val="auto"/>
                <w:sz w:val="24"/>
              </w:rPr>
              <w:t>已建厂房</w:t>
            </w:r>
            <w:r>
              <w:rPr>
                <w:rFonts w:hint="default" w:ascii="Times New Roman" w:hAnsi="Times New Roman" w:eastAsia="宋体" w:cs="Times New Roman"/>
                <w:color w:val="auto"/>
                <w:sz w:val="24"/>
                <w:lang w:val="en-US" w:eastAsia="zh-CN"/>
              </w:rPr>
              <w:t>和办公区</w:t>
            </w:r>
            <w:r>
              <w:rPr>
                <w:rFonts w:hint="default" w:ascii="Times New Roman" w:hAnsi="Times New Roman" w:eastAsia="宋体" w:cs="Times New Roman"/>
                <w:color w:val="auto"/>
                <w:sz w:val="24"/>
              </w:rPr>
              <w:t>进行建设，施工期主要进行厂房的适应性改造及生产设备、环保设备安装，施工场地内不设施工营地。施工期产生的污染物主要为施工扬尘、施工噪声、废弃包装材料及施工人员生活废水和生活垃圾等。施工期的工艺流程及产污环节见图2-</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w:t>
            </w:r>
          </w:p>
          <w:p w14:paraId="31627596">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color w:val="auto"/>
                <w:sz w:val="24"/>
              </w:rPr>
              <w:object>
                <v:shape id="_x0000_i1025" o:spt="75" type="#_x0000_t75" style="height:136.45pt;width:431.4pt;" o:ole="t" filled="f" o:preferrelative="t" stroked="f" coordsize="21600,21600">
                  <v:path/>
                  <v:fill on="f" focussize="0,0"/>
                  <v:stroke on="f"/>
                  <v:imagedata r:id="rId11" o:title=""/>
                  <o:lock v:ext="edit" aspectratio="f"/>
                  <w10:wrap type="none"/>
                  <w10:anchorlock/>
                </v:shape>
                <o:OLEObject Type="Embed" ProgID="Visio.Drawing.11" ShapeID="_x0000_i1025" DrawAspect="Content" ObjectID="_1468075725" r:id="rId10">
                  <o:LockedField>false</o:LockedField>
                </o:OLEObject>
              </w:object>
            </w:r>
            <w:r>
              <w:rPr>
                <w:rFonts w:hint="default" w:ascii="Times New Roman" w:hAnsi="Times New Roman" w:eastAsia="宋体" w:cs="Times New Roman"/>
                <w:b/>
                <w:color w:val="auto"/>
                <w:sz w:val="21"/>
                <w:szCs w:val="21"/>
              </w:rPr>
              <w:t>图2-</w:t>
            </w:r>
            <w:r>
              <w:rPr>
                <w:rFonts w:hint="default" w:ascii="Times New Roman" w:hAnsi="Times New Roman" w:eastAsia="宋体" w:cs="Times New Roman"/>
                <w:b/>
                <w:color w:val="auto"/>
                <w:sz w:val="21"/>
                <w:szCs w:val="21"/>
                <w:lang w:val="en-US" w:eastAsia="zh-CN"/>
              </w:rPr>
              <w:t>2</w:t>
            </w:r>
            <w:r>
              <w:rPr>
                <w:rFonts w:hint="default" w:ascii="Times New Roman" w:hAnsi="Times New Roman" w:eastAsia="宋体" w:cs="Times New Roman"/>
                <w:b/>
                <w:color w:val="auto"/>
                <w:sz w:val="21"/>
                <w:szCs w:val="21"/>
              </w:rPr>
              <w:t xml:space="preserve">  项目施工期产污环节示意图</w:t>
            </w:r>
          </w:p>
          <w:p w14:paraId="523605BD">
            <w:pPr>
              <w:pStyle w:val="59"/>
              <w:keepNext w:val="0"/>
              <w:keepLines w:val="0"/>
              <w:suppressLineNumbers w:val="0"/>
              <w:spacing w:before="0" w:beforeAutospacing="0" w:after="0" w:afterAutospacing="0"/>
              <w:ind w:firstLine="472"/>
              <w:jc w:val="both"/>
              <w:rPr>
                <w:rFonts w:hint="default" w:ascii="Times New Roman" w:hAnsi="Times New Roman" w:eastAsia="宋体" w:cs="Times New Roman"/>
                <w:color w:val="auto"/>
              </w:rPr>
            </w:pPr>
            <w:r>
              <w:rPr>
                <w:rFonts w:hint="default" w:ascii="Times New Roman" w:hAnsi="Times New Roman" w:eastAsia="宋体" w:cs="Times New Roman"/>
                <w:b/>
                <w:color w:val="auto"/>
                <w:kern w:val="0"/>
                <w:sz w:val="24"/>
                <w:szCs w:val="24"/>
              </w:rPr>
              <w:t>（二）运营期工艺流程及产污环节</w:t>
            </w:r>
          </w:p>
          <w:p w14:paraId="6F4AF5D2">
            <w:pPr>
              <w:pStyle w:val="59"/>
              <w:keepNext w:val="0"/>
              <w:keepLines w:val="0"/>
              <w:suppressLineNumbers w:val="0"/>
              <w:spacing w:before="0" w:beforeAutospacing="0" w:after="0" w:afterAutospacing="0"/>
              <w:ind w:firstLine="472"/>
              <w:jc w:val="both"/>
              <w:rPr>
                <w:rFonts w:hint="default" w:ascii="Times New Roman" w:hAnsi="Times New Roman" w:eastAsia="宋体" w:cs="Times New Roman"/>
                <w:b/>
                <w:color w:val="auto"/>
                <w:kern w:val="0"/>
                <w:sz w:val="24"/>
                <w:szCs w:val="24"/>
              </w:rPr>
            </w:pPr>
            <w:r>
              <w:rPr>
                <w:rFonts w:hint="default" w:ascii="Times New Roman" w:hAnsi="Times New Roman" w:eastAsia="宋体" w:cs="Times New Roman"/>
                <w:b/>
                <w:color w:val="auto"/>
                <w:kern w:val="0"/>
                <w:sz w:val="24"/>
                <w:szCs w:val="24"/>
              </w:rPr>
              <w:t>1、工艺流程</w:t>
            </w:r>
          </w:p>
          <w:p w14:paraId="49A12628">
            <w:pPr>
              <w:pStyle w:val="24"/>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lang w:eastAsia="zh-CN"/>
              </w:rPr>
            </w:pP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sz w:val="24"/>
                <w:lang w:val="en-US" w:eastAsia="zh-CN"/>
              </w:rPr>
              <w:t>主要生产塑料框</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szCs w:val="24"/>
              </w:rPr>
              <w:t>工艺流程为</w:t>
            </w:r>
            <w:r>
              <w:rPr>
                <w:rFonts w:hint="default" w:ascii="Times New Roman" w:hAnsi="Times New Roman" w:eastAsia="宋体" w:cs="Times New Roman"/>
                <w:color w:val="auto"/>
                <w:sz w:val="24"/>
                <w:szCs w:val="24"/>
                <w:lang w:val="en-US" w:eastAsia="zh-CN"/>
              </w:rPr>
              <w:t>拌料</w:t>
            </w:r>
            <w:r>
              <w:rPr>
                <w:rFonts w:hint="default" w:ascii="Times New Roman" w:hAnsi="Times New Roman" w:eastAsia="宋体" w:cs="Times New Roman"/>
                <w:color w:val="auto"/>
                <w:sz w:val="24"/>
                <w:szCs w:val="24"/>
              </w:rPr>
              <w:t>、上料、</w:t>
            </w:r>
            <w:r>
              <w:rPr>
                <w:rFonts w:hint="eastAsia" w:ascii="Times New Roman" w:hAnsi="Times New Roman" w:eastAsia="宋体" w:cs="Times New Roman"/>
                <w:color w:val="auto"/>
                <w:sz w:val="24"/>
                <w:szCs w:val="24"/>
                <w:lang w:val="en-US" w:eastAsia="zh-CN"/>
              </w:rPr>
              <w:t>热熔</w:t>
            </w:r>
            <w:r>
              <w:rPr>
                <w:rFonts w:hint="default" w:ascii="Times New Roman" w:hAnsi="Times New Roman" w:eastAsia="宋体" w:cs="Times New Roman"/>
                <w:color w:val="auto"/>
                <w:sz w:val="24"/>
                <w:szCs w:val="24"/>
                <w:lang w:val="en-US" w:eastAsia="zh-CN"/>
              </w:rPr>
              <w:t>、注塑成型</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冷却定型、取件、</w:t>
            </w:r>
            <w:r>
              <w:rPr>
                <w:rFonts w:hint="default" w:ascii="Times New Roman" w:hAnsi="Times New Roman" w:eastAsia="宋体" w:cs="Times New Roman"/>
                <w:color w:val="auto"/>
                <w:sz w:val="24"/>
                <w:szCs w:val="24"/>
              </w:rPr>
              <w:t>检验、</w:t>
            </w:r>
            <w:r>
              <w:rPr>
                <w:rFonts w:hint="default" w:ascii="Times New Roman" w:hAnsi="Times New Roman" w:eastAsia="宋体" w:cs="Times New Roman"/>
                <w:color w:val="auto"/>
                <w:sz w:val="24"/>
                <w:szCs w:val="24"/>
                <w:lang w:val="en-US" w:eastAsia="zh-CN"/>
              </w:rPr>
              <w:t>成品</w:t>
            </w:r>
            <w:r>
              <w:rPr>
                <w:rFonts w:hint="default" w:ascii="Times New Roman" w:hAnsi="Times New Roman" w:eastAsia="宋体" w:cs="Times New Roman"/>
                <w:color w:val="auto"/>
                <w:sz w:val="24"/>
                <w:szCs w:val="24"/>
              </w:rPr>
              <w:t>入库，具体工艺流程如下图所示。</w:t>
            </w:r>
          </w:p>
          <w:p w14:paraId="2725820C">
            <w:pPr>
              <w:pStyle w:val="24"/>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inline distT="0" distB="0" distL="114300" distR="114300">
                  <wp:extent cx="5443220" cy="6630670"/>
                  <wp:effectExtent l="0" t="0" r="0" b="0"/>
                  <wp:docPr id="63" name="ECB019B1-382A-4266-B25C-5B523AA43C14-2" descr="C:/Users/Administrator/AppData/Local/Temp/wps.VUDcIJ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ECB019B1-382A-4266-B25C-5B523AA43C14-2" descr="C:/Users/Administrator/AppData/Local/Temp/wps.VUDcIJwps"/>
                          <pic:cNvPicPr>
                            <a:picLocks noChangeAspect="1"/>
                          </pic:cNvPicPr>
                        </pic:nvPicPr>
                        <pic:blipFill>
                          <a:blip r:embed="rId12"/>
                          <a:stretch>
                            <a:fillRect/>
                          </a:stretch>
                        </pic:blipFill>
                        <pic:spPr>
                          <a:xfrm>
                            <a:off x="0" y="0"/>
                            <a:ext cx="5443220" cy="6630670"/>
                          </a:xfrm>
                          <a:prstGeom prst="rect">
                            <a:avLst/>
                          </a:prstGeom>
                        </pic:spPr>
                      </pic:pic>
                    </a:graphicData>
                  </a:graphic>
                </wp:inline>
              </w:drawing>
            </w:r>
          </w:p>
          <w:p w14:paraId="69C661C3">
            <w:pPr>
              <w:pStyle w:val="59"/>
              <w:keepNext w:val="0"/>
              <w:keepLines w:val="0"/>
              <w:suppressLineNumbers w:val="0"/>
              <w:spacing w:before="0" w:beforeAutospacing="0" w:after="0" w:afterAutospacing="0"/>
              <w:ind w:left="0" w:lef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图</w:t>
            </w:r>
            <w:r>
              <w:rPr>
                <w:rFonts w:hint="default" w:ascii="Times New Roman" w:hAnsi="Times New Roman" w:eastAsia="宋体" w:cs="Times New Roman"/>
                <w:b/>
                <w:bCs/>
                <w:color w:val="auto"/>
                <w:sz w:val="21"/>
                <w:szCs w:val="21"/>
                <w:lang w:val="en-US" w:eastAsia="zh-CN"/>
              </w:rPr>
              <w:t>2-3  塑料框</w:t>
            </w:r>
            <w:r>
              <w:rPr>
                <w:rFonts w:hint="default" w:ascii="Times New Roman" w:hAnsi="Times New Roman" w:eastAsia="宋体" w:cs="Times New Roman"/>
                <w:b/>
                <w:bCs/>
                <w:color w:val="auto"/>
                <w:sz w:val="21"/>
                <w:szCs w:val="21"/>
              </w:rPr>
              <w:t>生产工艺流程及产污环节示意图</w:t>
            </w:r>
          </w:p>
          <w:p w14:paraId="3B8E6BC7">
            <w:pPr>
              <w:keepNext w:val="0"/>
              <w:keepLines w:val="0"/>
              <w:suppressLineNumbers w:val="0"/>
              <w:tabs>
                <w:tab w:val="center" w:pos="4433"/>
              </w:tabs>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rPr>
              <w:t>生产工艺流程</w:t>
            </w:r>
            <w:r>
              <w:rPr>
                <w:rFonts w:hint="default" w:ascii="Times New Roman" w:hAnsi="Times New Roman" w:eastAsia="宋体" w:cs="Times New Roman"/>
                <w:color w:val="auto"/>
                <w:sz w:val="24"/>
                <w:szCs w:val="24"/>
                <w:lang w:val="en-US" w:eastAsia="zh-CN"/>
              </w:rPr>
              <w:t>简介</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rPr>
              <w:tab/>
            </w:r>
          </w:p>
          <w:p w14:paraId="422F0DB1">
            <w:pPr>
              <w:pStyle w:val="122"/>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aps w:val="0"/>
                <w:smallCaps w:val="0"/>
                <w:color w:val="auto"/>
                <w:sz w:val="24"/>
                <w:szCs w:val="20"/>
                <w:lang w:val="en-US" w:eastAsia="zh-CN"/>
              </w:rPr>
            </w:pPr>
            <w:r>
              <w:rPr>
                <w:rFonts w:hint="default" w:ascii="Times New Roman" w:hAnsi="Times New Roman" w:eastAsia="宋体" w:cs="Times New Roman"/>
                <w:caps w:val="0"/>
                <w:smallCaps w:val="0"/>
                <w:color w:val="auto"/>
                <w:sz w:val="24"/>
                <w:szCs w:val="20"/>
              </w:rPr>
              <w:t>①拌料</w:t>
            </w:r>
          </w:p>
          <w:p w14:paraId="62BF443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rPr>
              <w:t>项目外购来的</w:t>
            </w:r>
            <w:r>
              <w:rPr>
                <w:rFonts w:hint="default" w:ascii="Times New Roman" w:hAnsi="Times New Roman" w:eastAsia="宋体" w:cs="Times New Roman"/>
                <w:caps w:val="0"/>
                <w:smallCaps w:val="0"/>
                <w:color w:val="auto"/>
                <w:sz w:val="24"/>
                <w:szCs w:val="20"/>
                <w:lang w:val="en-US" w:eastAsia="zh-CN"/>
              </w:rPr>
              <w:t>母料和颗粒料根据产品需求按照一定的比例</w:t>
            </w:r>
            <w:r>
              <w:rPr>
                <w:rFonts w:hint="default" w:ascii="Times New Roman" w:hAnsi="Times New Roman" w:eastAsia="宋体" w:cs="Times New Roman"/>
                <w:caps w:val="0"/>
                <w:smallCaps w:val="0"/>
                <w:color w:val="auto"/>
                <w:sz w:val="24"/>
                <w:szCs w:val="20"/>
              </w:rPr>
              <w:t>在密闭</w:t>
            </w:r>
            <w:r>
              <w:rPr>
                <w:rFonts w:hint="default" w:ascii="Times New Roman" w:hAnsi="Times New Roman" w:eastAsia="宋体" w:cs="Times New Roman"/>
                <w:caps w:val="0"/>
                <w:smallCaps w:val="0"/>
                <w:color w:val="auto"/>
                <w:sz w:val="24"/>
                <w:szCs w:val="20"/>
                <w:lang w:val="en-US" w:eastAsia="zh-CN"/>
              </w:rPr>
              <w:t>拌料</w:t>
            </w:r>
            <w:r>
              <w:rPr>
                <w:rFonts w:hint="default" w:ascii="Times New Roman" w:hAnsi="Times New Roman" w:eastAsia="宋体" w:cs="Times New Roman"/>
                <w:caps w:val="0"/>
                <w:smallCaps w:val="0"/>
                <w:color w:val="auto"/>
                <w:sz w:val="24"/>
                <w:szCs w:val="20"/>
              </w:rPr>
              <w:t>机内进行搅拌均匀。项目进购</w:t>
            </w:r>
            <w:r>
              <w:rPr>
                <w:rFonts w:hint="eastAsia" w:ascii="Times New Roman" w:hAnsi="Times New Roman" w:eastAsia="宋体" w:cs="Times New Roman"/>
                <w:caps w:val="0"/>
                <w:smallCaps w:val="0"/>
                <w:color w:val="auto"/>
                <w:sz w:val="24"/>
                <w:szCs w:val="20"/>
                <w:lang w:val="en-US" w:eastAsia="zh-CN"/>
              </w:rPr>
              <w:t>的</w:t>
            </w:r>
            <w:r>
              <w:rPr>
                <w:rFonts w:hint="default" w:ascii="Times New Roman" w:hAnsi="Times New Roman" w:eastAsia="宋体" w:cs="Times New Roman"/>
                <w:caps w:val="0"/>
                <w:smallCaps w:val="0"/>
                <w:color w:val="auto"/>
                <w:sz w:val="24"/>
                <w:szCs w:val="20"/>
                <w:lang w:val="en-US" w:eastAsia="zh-CN"/>
              </w:rPr>
              <w:t>母料和颗粒料</w:t>
            </w:r>
            <w:r>
              <w:rPr>
                <w:rFonts w:hint="default" w:ascii="Times New Roman" w:hAnsi="Times New Roman" w:eastAsia="宋体" w:cs="Times New Roman"/>
                <w:caps w:val="0"/>
                <w:smallCaps w:val="0"/>
                <w:color w:val="auto"/>
                <w:sz w:val="24"/>
                <w:szCs w:val="20"/>
              </w:rPr>
              <w:t>均为颗粒状，粒径在4-6mm；</w:t>
            </w:r>
            <w:r>
              <w:rPr>
                <w:rFonts w:hint="eastAsia" w:cs="Times New Roman"/>
                <w:caps w:val="0"/>
                <w:smallCaps w:val="0"/>
                <w:color w:val="auto"/>
                <w:sz w:val="24"/>
                <w:szCs w:val="20"/>
                <w:lang w:val="en-US" w:eastAsia="zh-CN"/>
              </w:rPr>
              <w:t>原料通过人工投料方式投入拌料机，拌料机整体密闭作业，</w:t>
            </w:r>
            <w:r>
              <w:rPr>
                <w:rFonts w:hint="default" w:ascii="Times New Roman" w:hAnsi="Times New Roman" w:eastAsia="宋体" w:cs="Times New Roman"/>
                <w:caps w:val="0"/>
                <w:smallCaps w:val="0"/>
                <w:color w:val="auto"/>
                <w:sz w:val="24"/>
                <w:szCs w:val="20"/>
              </w:rPr>
              <w:t>搅拌过程在密闭装置内进行，</w:t>
            </w:r>
            <w:r>
              <w:rPr>
                <w:rFonts w:hint="eastAsia" w:cs="Times New Roman"/>
                <w:caps w:val="0"/>
                <w:smallCaps w:val="0"/>
                <w:color w:val="auto"/>
                <w:sz w:val="24"/>
                <w:szCs w:val="20"/>
                <w:lang w:val="en-US" w:eastAsia="zh-CN"/>
              </w:rPr>
              <w:t>该过程</w:t>
            </w:r>
            <w:r>
              <w:rPr>
                <w:rFonts w:hint="default" w:ascii="Times New Roman" w:hAnsi="Times New Roman" w:eastAsia="宋体" w:cs="Times New Roman"/>
                <w:caps w:val="0"/>
                <w:smallCaps w:val="0"/>
                <w:color w:val="auto"/>
                <w:sz w:val="24"/>
                <w:szCs w:val="20"/>
                <w:lang w:val="en-US" w:eastAsia="zh-CN"/>
              </w:rPr>
              <w:t>溢出的</w:t>
            </w:r>
            <w:r>
              <w:rPr>
                <w:rFonts w:hint="default" w:ascii="Times New Roman" w:hAnsi="Times New Roman" w:eastAsia="宋体" w:cs="Times New Roman"/>
                <w:b w:val="0"/>
                <w:bCs w:val="0"/>
                <w:color w:val="auto"/>
                <w:sz w:val="24"/>
                <w:szCs w:val="24"/>
                <w:lang w:val="en-US" w:eastAsia="zh-CN"/>
              </w:rPr>
              <w:t>粉尘量较小，</w:t>
            </w:r>
            <w:r>
              <w:rPr>
                <w:rFonts w:hint="eastAsia"/>
                <w:color w:val="auto"/>
                <w:sz w:val="24"/>
                <w:szCs w:val="24"/>
                <w:lang w:val="en-US" w:eastAsia="zh-CN"/>
              </w:rPr>
              <w:t>经厂房沉降后</w:t>
            </w:r>
            <w:r>
              <w:rPr>
                <w:rFonts w:hint="default" w:ascii="Times New Roman" w:hAnsi="Times New Roman" w:eastAsia="宋体" w:cs="Times New Roman"/>
                <w:b w:val="0"/>
                <w:bCs w:val="0"/>
                <w:color w:val="auto"/>
                <w:sz w:val="24"/>
                <w:szCs w:val="24"/>
                <w:lang w:val="en-US" w:eastAsia="zh-CN"/>
              </w:rPr>
              <w:t>呈无组织排放</w:t>
            </w:r>
            <w:r>
              <w:rPr>
                <w:rFonts w:hint="default" w:ascii="Times New Roman" w:hAnsi="Times New Roman" w:eastAsia="宋体" w:cs="Times New Roman"/>
                <w:caps w:val="0"/>
                <w:smallCaps w:val="0"/>
                <w:color w:val="auto"/>
                <w:sz w:val="24"/>
                <w:szCs w:val="20"/>
              </w:rPr>
              <w:t>。此过程产生</w:t>
            </w:r>
            <w:r>
              <w:rPr>
                <w:rFonts w:hint="eastAsia" w:cs="Times New Roman"/>
                <w:caps w:val="0"/>
                <w:smallCaps w:val="0"/>
                <w:color w:val="auto"/>
                <w:sz w:val="24"/>
                <w:szCs w:val="20"/>
                <w:lang w:val="en-US" w:eastAsia="zh-CN"/>
              </w:rPr>
              <w:t>原料</w:t>
            </w:r>
            <w:r>
              <w:rPr>
                <w:rFonts w:hint="default" w:ascii="Times New Roman" w:hAnsi="Times New Roman" w:eastAsia="宋体" w:cs="Times New Roman"/>
                <w:caps w:val="0"/>
                <w:smallCaps w:val="0"/>
                <w:color w:val="auto"/>
                <w:sz w:val="24"/>
                <w:szCs w:val="20"/>
              </w:rPr>
              <w:t>包装</w:t>
            </w:r>
            <w:r>
              <w:rPr>
                <w:rFonts w:hint="eastAsia" w:cs="Times New Roman"/>
                <w:caps w:val="0"/>
                <w:smallCaps w:val="0"/>
                <w:color w:val="auto"/>
                <w:sz w:val="24"/>
                <w:szCs w:val="20"/>
                <w:lang w:val="en-US" w:eastAsia="zh-CN"/>
              </w:rPr>
              <w:t>袋暂时在厂内放置，该过程会有</w:t>
            </w:r>
            <w:r>
              <w:rPr>
                <w:rFonts w:hint="default" w:ascii="Times New Roman" w:hAnsi="Times New Roman" w:eastAsia="宋体" w:cs="Times New Roman"/>
                <w:caps w:val="0"/>
                <w:smallCaps w:val="0"/>
                <w:color w:val="auto"/>
                <w:sz w:val="24"/>
                <w:szCs w:val="20"/>
              </w:rPr>
              <w:t>设备噪声</w:t>
            </w:r>
            <w:r>
              <w:rPr>
                <w:rFonts w:hint="eastAsia" w:cs="Times New Roman"/>
                <w:caps w:val="0"/>
                <w:smallCaps w:val="0"/>
                <w:color w:val="auto"/>
                <w:sz w:val="24"/>
                <w:szCs w:val="20"/>
                <w:lang w:val="en-US" w:eastAsia="zh-CN"/>
              </w:rPr>
              <w:t>产生</w:t>
            </w:r>
            <w:r>
              <w:rPr>
                <w:rFonts w:hint="default" w:ascii="Times New Roman" w:hAnsi="Times New Roman" w:eastAsia="宋体" w:cs="Times New Roman"/>
                <w:caps w:val="0"/>
                <w:smallCaps w:val="0"/>
                <w:color w:val="auto"/>
                <w:sz w:val="24"/>
                <w:szCs w:val="20"/>
              </w:rPr>
              <w:t>。</w:t>
            </w:r>
          </w:p>
          <w:p w14:paraId="40E37C2F">
            <w:pPr>
              <w:pStyle w:val="122"/>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aps w:val="0"/>
                <w:smallCaps w:val="0"/>
                <w:color w:val="auto"/>
                <w:sz w:val="24"/>
                <w:szCs w:val="24"/>
              </w:rPr>
            </w:pPr>
            <w:r>
              <w:rPr>
                <w:rFonts w:hint="default" w:ascii="Times New Roman" w:hAnsi="Times New Roman" w:eastAsia="宋体" w:cs="Times New Roman"/>
                <w:caps w:val="0"/>
                <w:smallCaps w:val="0"/>
                <w:color w:val="auto"/>
                <w:sz w:val="24"/>
                <w:szCs w:val="24"/>
              </w:rPr>
              <w:t>②上料</w:t>
            </w:r>
          </w:p>
          <w:p w14:paraId="50A8CA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rPr>
            </w:pPr>
            <w:r>
              <w:rPr>
                <w:rFonts w:hint="eastAsia" w:ascii="宋体" w:hAnsi="宋体" w:eastAsia="宋体" w:cs="宋体"/>
                <w:color w:val="auto"/>
                <w:kern w:val="0"/>
                <w:sz w:val="24"/>
                <w:szCs w:val="24"/>
                <w:lang w:val="en-US" w:eastAsia="zh-CN" w:bidi="ar"/>
              </w:rPr>
              <w:t>拌料机混好的原料通过拌料机放料管道进入原料包装袋内</w:t>
            </w:r>
            <w:r>
              <w:rPr>
                <w:rFonts w:hint="eastAsia"/>
                <w:color w:val="auto"/>
                <w:sz w:val="24"/>
                <w:szCs w:val="24"/>
                <w:lang w:val="en-US" w:eastAsia="zh-CN"/>
              </w:rPr>
              <w:t>进行封闭袋装后</w:t>
            </w:r>
            <w:r>
              <w:rPr>
                <w:rFonts w:hint="default" w:ascii="Times New Roman" w:hAnsi="Times New Roman" w:eastAsia="宋体" w:cs="Times New Roman"/>
                <w:caps w:val="0"/>
                <w:smallCaps w:val="0"/>
                <w:color w:val="auto"/>
                <w:sz w:val="24"/>
                <w:szCs w:val="24"/>
              </w:rPr>
              <w:t>通过</w:t>
            </w:r>
            <w:r>
              <w:rPr>
                <w:rFonts w:hint="default" w:ascii="Times New Roman" w:hAnsi="Times New Roman" w:eastAsia="宋体" w:cs="Times New Roman"/>
                <w:caps w:val="0"/>
                <w:smallCaps w:val="0"/>
                <w:color w:val="auto"/>
                <w:sz w:val="24"/>
                <w:szCs w:val="24"/>
                <w:lang w:val="en-US" w:eastAsia="zh-CN"/>
              </w:rPr>
              <w:t>叉车转移</w:t>
            </w:r>
            <w:r>
              <w:rPr>
                <w:rFonts w:hint="eastAsia" w:ascii="宋体" w:hAnsi="宋体" w:eastAsia="宋体" w:cs="宋体"/>
                <w:color w:val="auto"/>
                <w:kern w:val="0"/>
                <w:sz w:val="24"/>
                <w:szCs w:val="24"/>
                <w:lang w:val="en-US" w:eastAsia="zh-CN" w:bidi="ar"/>
              </w:rPr>
              <w:t>至上料机</w:t>
            </w:r>
            <w:r>
              <w:rPr>
                <w:rFonts w:hint="eastAsia" w:cs="Times New Roman"/>
                <w:caps w:val="0"/>
                <w:smallCaps w:val="0"/>
                <w:color w:val="auto"/>
                <w:sz w:val="24"/>
                <w:szCs w:val="24"/>
                <w:lang w:val="en-US" w:eastAsia="zh-CN"/>
              </w:rPr>
              <w:t>，然后通过</w:t>
            </w:r>
            <w:r>
              <w:rPr>
                <w:rFonts w:hint="eastAsia"/>
                <w:color w:val="auto"/>
                <w:sz w:val="24"/>
                <w:szCs w:val="24"/>
                <w:lang w:val="en-US" w:eastAsia="zh-CN"/>
              </w:rPr>
              <w:t>提升机提升至</w:t>
            </w:r>
            <w:r>
              <w:rPr>
                <w:rFonts w:hint="default" w:ascii="Times New Roman" w:hAnsi="Times New Roman" w:eastAsia="宋体" w:cs="Times New Roman"/>
                <w:caps w:val="0"/>
                <w:smallCaps w:val="0"/>
                <w:color w:val="auto"/>
                <w:sz w:val="24"/>
                <w:szCs w:val="24"/>
              </w:rPr>
              <w:t>注塑机料仓内，上料系统为全</w:t>
            </w:r>
            <w:r>
              <w:rPr>
                <w:rFonts w:hint="default" w:ascii="Times New Roman" w:hAnsi="Times New Roman" w:eastAsia="宋体" w:cs="Times New Roman"/>
                <w:caps w:val="0"/>
                <w:smallCaps w:val="0"/>
                <w:color w:val="auto"/>
                <w:sz w:val="24"/>
                <w:szCs w:val="24"/>
                <w:lang w:val="en-US" w:eastAsia="zh-CN"/>
              </w:rPr>
              <w:t>密闭，</w:t>
            </w:r>
            <w:r>
              <w:rPr>
                <w:rFonts w:hint="eastAsia" w:cs="Times New Roman"/>
                <w:caps w:val="0"/>
                <w:smallCaps w:val="0"/>
                <w:color w:val="auto"/>
                <w:sz w:val="24"/>
                <w:szCs w:val="24"/>
                <w:lang w:val="en-US" w:eastAsia="zh-CN"/>
              </w:rPr>
              <w:t>该过程</w:t>
            </w:r>
            <w:r>
              <w:rPr>
                <w:rFonts w:hint="default" w:ascii="Times New Roman" w:hAnsi="Times New Roman" w:eastAsia="宋体" w:cs="Times New Roman"/>
                <w:caps w:val="0"/>
                <w:smallCaps w:val="0"/>
                <w:color w:val="auto"/>
                <w:sz w:val="24"/>
                <w:szCs w:val="24"/>
                <w:lang w:val="en-US" w:eastAsia="zh-CN"/>
              </w:rPr>
              <w:t>溢出的</w:t>
            </w:r>
            <w:r>
              <w:rPr>
                <w:rFonts w:hint="default" w:ascii="Times New Roman" w:hAnsi="Times New Roman" w:eastAsia="宋体" w:cs="Times New Roman"/>
                <w:b w:val="0"/>
                <w:bCs w:val="0"/>
                <w:color w:val="auto"/>
                <w:sz w:val="24"/>
                <w:szCs w:val="24"/>
                <w:lang w:val="en-US" w:eastAsia="zh-CN"/>
              </w:rPr>
              <w:t>粉尘量较小，呈无组织排放</w:t>
            </w:r>
            <w:r>
              <w:rPr>
                <w:rFonts w:hint="default" w:ascii="Times New Roman" w:hAnsi="Times New Roman" w:eastAsia="宋体" w:cs="Times New Roman"/>
                <w:color w:val="auto"/>
                <w:sz w:val="24"/>
                <w:szCs w:val="24"/>
              </w:rPr>
              <w:t>。</w:t>
            </w:r>
            <w:r>
              <w:rPr>
                <w:rFonts w:hint="default" w:ascii="Times New Roman" w:hAnsi="Times New Roman" w:eastAsia="宋体" w:cs="Times New Roman"/>
                <w:caps w:val="0"/>
                <w:smallCaps w:val="0"/>
                <w:color w:val="auto"/>
                <w:sz w:val="24"/>
                <w:szCs w:val="24"/>
              </w:rPr>
              <w:t>此过程产生</w:t>
            </w:r>
            <w:r>
              <w:rPr>
                <w:rFonts w:hint="eastAsia" w:cs="Times New Roman"/>
                <w:caps w:val="0"/>
                <w:smallCaps w:val="0"/>
                <w:color w:val="auto"/>
                <w:sz w:val="24"/>
                <w:szCs w:val="24"/>
                <w:lang w:val="en-US" w:eastAsia="zh-CN"/>
              </w:rPr>
              <w:t>包装废料及</w:t>
            </w:r>
            <w:r>
              <w:rPr>
                <w:rFonts w:hint="default" w:ascii="Times New Roman" w:hAnsi="Times New Roman" w:eastAsia="宋体" w:cs="Times New Roman"/>
                <w:caps w:val="0"/>
                <w:smallCaps w:val="0"/>
                <w:color w:val="auto"/>
                <w:sz w:val="24"/>
                <w:szCs w:val="20"/>
              </w:rPr>
              <w:t>设备噪声。</w:t>
            </w:r>
          </w:p>
          <w:p w14:paraId="66440A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lang w:val="en-US" w:eastAsia="zh-CN"/>
              </w:rPr>
            </w:pPr>
            <w:r>
              <w:rPr>
                <w:rFonts w:hint="default" w:ascii="Times New Roman" w:hAnsi="Times New Roman" w:eastAsia="宋体" w:cs="Times New Roman"/>
                <w:caps w:val="0"/>
                <w:smallCaps w:val="0"/>
                <w:color w:val="auto"/>
                <w:sz w:val="24"/>
                <w:szCs w:val="20"/>
              </w:rPr>
              <w:t>③</w:t>
            </w:r>
            <w:r>
              <w:rPr>
                <w:rFonts w:hint="default" w:ascii="Times New Roman" w:hAnsi="Times New Roman" w:eastAsia="宋体" w:cs="Times New Roman"/>
                <w:caps w:val="0"/>
                <w:smallCaps w:val="0"/>
                <w:color w:val="auto"/>
                <w:sz w:val="24"/>
                <w:szCs w:val="20"/>
                <w:lang w:val="en-US" w:eastAsia="zh-CN"/>
              </w:rPr>
              <w:t>热熔、注塑成型</w:t>
            </w:r>
          </w:p>
          <w:p w14:paraId="47F9042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eastAsia" w:ascii="宋体" w:hAnsi="宋体" w:eastAsia="宋体" w:cs="宋体"/>
                <w:color w:val="auto"/>
                <w:kern w:val="0"/>
                <w:sz w:val="24"/>
                <w:szCs w:val="24"/>
                <w:lang w:val="en-US" w:eastAsia="zh-CN" w:bidi="ar"/>
              </w:rPr>
              <w:t>挤出机料仓中的原料利用电加热，通过辊筒的间隙向前推移挤压，使之逐渐熔融状（聚丙烯颗粒料的熔融温度一般为</w:t>
            </w:r>
            <w:r>
              <w:rPr>
                <w:rFonts w:hint="default" w:ascii="Times New Roman" w:hAnsi="Times New Roman" w:eastAsia="宋体" w:cs="Times New Roman"/>
                <w:color w:val="auto"/>
                <w:kern w:val="0"/>
                <w:sz w:val="24"/>
                <w:szCs w:val="24"/>
                <w:lang w:val="en-US" w:eastAsia="zh-CN" w:bidi="ar"/>
              </w:rPr>
              <w:t>160-180</w:t>
            </w:r>
            <w:r>
              <w:rPr>
                <w:rFonts w:hint="eastAsia" w:ascii="宋体" w:hAnsi="宋体" w:eastAsia="宋体" w:cs="宋体"/>
                <w:color w:val="auto"/>
                <w:kern w:val="0"/>
                <w:sz w:val="24"/>
                <w:szCs w:val="24"/>
                <w:lang w:val="en-US" w:eastAsia="zh-CN" w:bidi="ar"/>
              </w:rPr>
              <w:t>℃左右，分解温度</w:t>
            </w:r>
            <w:r>
              <w:rPr>
                <w:rFonts w:hint="default" w:ascii="Times New Roman" w:hAnsi="Times New Roman" w:eastAsia="宋体" w:cs="Times New Roman"/>
                <w:color w:val="auto"/>
                <w:kern w:val="0"/>
                <w:sz w:val="24"/>
                <w:szCs w:val="24"/>
                <w:lang w:val="en-US" w:eastAsia="zh-CN" w:bidi="ar"/>
              </w:rPr>
              <w:t>&gt;335</w:t>
            </w:r>
            <w:r>
              <w:rPr>
                <w:rFonts w:hint="eastAsia" w:ascii="宋体" w:hAnsi="宋体" w:eastAsia="宋体" w:cs="宋体"/>
                <w:color w:val="auto"/>
                <w:kern w:val="0"/>
                <w:sz w:val="24"/>
                <w:szCs w:val="24"/>
                <w:lang w:val="en-US" w:eastAsia="zh-CN" w:bidi="ar"/>
              </w:rPr>
              <w:t>℃）通过挤出机定量挤出后，通过模具成型为特定形状。</w:t>
            </w:r>
            <w:r>
              <w:rPr>
                <w:rFonts w:hint="default" w:ascii="Times New Roman" w:hAnsi="Times New Roman" w:eastAsia="宋体" w:cs="Times New Roman"/>
                <w:caps w:val="0"/>
                <w:smallCaps w:val="0"/>
                <w:color w:val="auto"/>
                <w:sz w:val="24"/>
                <w:szCs w:val="20"/>
              </w:rPr>
              <w:t>此过程会产生有机废气（非甲烷总烃）及异味，产生的有机废气及异味经每台设备</w:t>
            </w:r>
            <w:r>
              <w:rPr>
                <w:rFonts w:hint="eastAsia" w:cs="Times New Roman"/>
                <w:caps w:val="0"/>
                <w:smallCaps w:val="0"/>
                <w:color w:val="auto"/>
                <w:sz w:val="24"/>
                <w:szCs w:val="20"/>
                <w:lang w:val="en-US" w:eastAsia="zh-CN"/>
              </w:rPr>
              <w:t>上方</w:t>
            </w:r>
            <w:r>
              <w:rPr>
                <w:rFonts w:hint="default" w:ascii="Times New Roman" w:hAnsi="Times New Roman" w:eastAsia="宋体" w:cs="Times New Roman"/>
                <w:caps w:val="0"/>
                <w:smallCaps w:val="0"/>
                <w:color w:val="auto"/>
                <w:sz w:val="24"/>
                <w:szCs w:val="20"/>
              </w:rPr>
              <w:t>集气罩集中收集后通过引风机引入</w:t>
            </w:r>
            <w:r>
              <w:rPr>
                <w:rFonts w:hint="default" w:ascii="Times New Roman" w:hAnsi="Times New Roman" w:eastAsia="宋体" w:cs="Times New Roman"/>
                <w:caps w:val="0"/>
                <w:smallCaps w:val="0"/>
                <w:color w:val="auto"/>
                <w:sz w:val="24"/>
                <w:szCs w:val="20"/>
                <w:lang w:eastAsia="zh-CN"/>
              </w:rPr>
              <w:t>三级活性炭吸附装置</w:t>
            </w:r>
            <w:r>
              <w:rPr>
                <w:rFonts w:hint="default" w:ascii="Times New Roman" w:hAnsi="Times New Roman" w:eastAsia="宋体" w:cs="Times New Roman"/>
                <w:caps w:val="0"/>
                <w:smallCaps w:val="0"/>
                <w:color w:val="auto"/>
                <w:sz w:val="24"/>
                <w:szCs w:val="20"/>
              </w:rPr>
              <w:t>处理后通过15m高排气筒（DA001）排放，此外，还会产生</w:t>
            </w:r>
            <w:r>
              <w:rPr>
                <w:rFonts w:hint="default" w:ascii="Times New Roman" w:hAnsi="Times New Roman" w:eastAsia="宋体" w:cs="Times New Roman"/>
                <w:caps w:val="0"/>
                <w:smallCaps w:val="0"/>
                <w:color w:val="auto"/>
                <w:sz w:val="24"/>
                <w:szCs w:val="20"/>
                <w:lang w:val="en-US" w:eastAsia="zh-CN"/>
              </w:rPr>
              <w:t>设备运行</w:t>
            </w:r>
            <w:r>
              <w:rPr>
                <w:rFonts w:hint="default" w:ascii="Times New Roman" w:hAnsi="Times New Roman" w:eastAsia="宋体" w:cs="Times New Roman"/>
                <w:caps w:val="0"/>
                <w:smallCaps w:val="0"/>
                <w:color w:val="auto"/>
                <w:sz w:val="24"/>
                <w:szCs w:val="20"/>
              </w:rPr>
              <w:t>噪声。</w:t>
            </w:r>
          </w:p>
          <w:p w14:paraId="59E396F7">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eastAsia" w:ascii="宋体" w:hAnsi="宋体" w:eastAsia="宋体" w:cs="宋体"/>
                <w:color w:val="auto"/>
                <w:kern w:val="0"/>
                <w:sz w:val="24"/>
                <w:szCs w:val="24"/>
                <w:lang w:val="en-US" w:eastAsia="zh-CN" w:bidi="ar"/>
              </w:rPr>
              <w:t>在注塑机运行前，模具通过机械手吊运安装至注塑机中，每次模具安装完成后，喷上少量脱模剂，起到隔离、填充、保护、易于剥离产品的作用。脱模剂少量组分在喷涂及注塑高温过程挥发，该部分有机废气并入注塑工序有机废气（非甲烷总烃）统一核算，不单独核算；大部分脱模剂附着于模具型腔表面，开模脱模后转移附着在产品表面，随成品产品进入下一工序/外售</w:t>
            </w:r>
            <w:r>
              <w:rPr>
                <w:rFonts w:hint="eastAsia"/>
                <w:color w:val="auto"/>
                <w:lang w:eastAsia="zh-CN"/>
              </w:rPr>
              <w:t>；</w:t>
            </w:r>
            <w:r>
              <w:rPr>
                <w:rFonts w:hint="eastAsia" w:ascii="宋体" w:hAnsi="宋体" w:cs="宋体"/>
                <w:color w:val="auto"/>
                <w:kern w:val="0"/>
                <w:sz w:val="24"/>
                <w:szCs w:val="24"/>
                <w:lang w:val="en-US" w:eastAsia="zh-CN" w:bidi="ar"/>
              </w:rPr>
              <w:t>该过程还会有</w:t>
            </w:r>
            <w:r>
              <w:rPr>
                <w:rFonts w:hint="eastAsia" w:ascii="宋体" w:hAnsi="宋体" w:eastAsia="宋体" w:cs="宋体"/>
                <w:color w:val="auto"/>
                <w:kern w:val="0"/>
                <w:sz w:val="24"/>
                <w:szCs w:val="24"/>
                <w:lang w:val="en-US" w:eastAsia="zh-CN" w:bidi="ar"/>
              </w:rPr>
              <w:t>废脱模剂瓶</w:t>
            </w:r>
            <w:r>
              <w:rPr>
                <w:rFonts w:hint="eastAsia" w:ascii="宋体" w:hAnsi="宋体" w:cs="宋体"/>
                <w:color w:val="auto"/>
                <w:kern w:val="0"/>
                <w:sz w:val="24"/>
                <w:szCs w:val="24"/>
                <w:lang w:val="en-US" w:eastAsia="zh-CN" w:bidi="ar"/>
              </w:rPr>
              <w:t>产生</w:t>
            </w:r>
            <w:r>
              <w:rPr>
                <w:rFonts w:hint="eastAsia" w:ascii="宋体" w:hAnsi="宋体" w:eastAsia="宋体" w:cs="宋体"/>
                <w:color w:val="auto"/>
                <w:kern w:val="0"/>
                <w:sz w:val="24"/>
                <w:szCs w:val="24"/>
                <w:lang w:val="en-US" w:eastAsia="zh-CN" w:bidi="ar"/>
              </w:rPr>
              <w:t>。</w:t>
            </w:r>
          </w:p>
          <w:p w14:paraId="6C9E8B0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lang w:val="en-US" w:eastAsia="zh-CN"/>
              </w:rPr>
            </w:pPr>
            <w:r>
              <w:rPr>
                <w:rFonts w:hint="default" w:ascii="Times New Roman" w:hAnsi="Times New Roman" w:eastAsia="宋体" w:cs="Times New Roman"/>
                <w:caps w:val="0"/>
                <w:smallCaps w:val="0"/>
                <w:color w:val="auto"/>
                <w:sz w:val="24"/>
                <w:szCs w:val="20"/>
              </w:rPr>
              <w:t>④冷却</w:t>
            </w:r>
            <w:r>
              <w:rPr>
                <w:rFonts w:hint="default" w:ascii="Times New Roman" w:hAnsi="Times New Roman" w:eastAsia="宋体" w:cs="Times New Roman"/>
                <w:caps w:val="0"/>
                <w:smallCaps w:val="0"/>
                <w:color w:val="auto"/>
                <w:sz w:val="24"/>
                <w:szCs w:val="20"/>
                <w:lang w:val="en-US" w:eastAsia="zh-CN"/>
              </w:rPr>
              <w:t>定型</w:t>
            </w:r>
          </w:p>
          <w:p w14:paraId="40B8978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rPr>
              <w:t>产品在模具内初步成型后，通过外接水管将冷却水引入注塑机内置冷却管道，使筐体固化成型</w:t>
            </w:r>
            <w:r>
              <w:rPr>
                <w:rFonts w:hint="default" w:ascii="Times New Roman" w:hAnsi="Times New Roman" w:eastAsia="宋体" w:cs="Times New Roman"/>
                <w:caps w:val="0"/>
                <w:smallCaps w:val="0"/>
                <w:color w:val="auto"/>
                <w:sz w:val="24"/>
                <w:szCs w:val="20"/>
                <w:lang w:eastAsia="zh-CN"/>
              </w:rPr>
              <w:t>，</w:t>
            </w:r>
            <w:r>
              <w:rPr>
                <w:rFonts w:hint="default" w:ascii="Times New Roman" w:hAnsi="Times New Roman" w:eastAsia="宋体" w:cs="Times New Roman"/>
                <w:caps w:val="0"/>
                <w:smallCaps w:val="0"/>
                <w:color w:val="auto"/>
                <w:sz w:val="24"/>
                <w:szCs w:val="20"/>
              </w:rPr>
              <w:t>采用间接冷却</w:t>
            </w:r>
            <w:r>
              <w:rPr>
                <w:rFonts w:hint="default" w:ascii="Times New Roman" w:hAnsi="Times New Roman" w:eastAsia="宋体" w:cs="Times New Roman"/>
                <w:caps w:val="0"/>
                <w:smallCaps w:val="0"/>
                <w:color w:val="auto"/>
                <w:sz w:val="24"/>
                <w:szCs w:val="20"/>
                <w:lang w:val="en-US" w:eastAsia="zh-CN"/>
              </w:rPr>
              <w:t>方式</w:t>
            </w:r>
            <w:r>
              <w:rPr>
                <w:rFonts w:hint="default" w:ascii="Times New Roman" w:hAnsi="Times New Roman" w:eastAsia="宋体" w:cs="Times New Roman"/>
                <w:caps w:val="0"/>
                <w:smallCaps w:val="0"/>
                <w:color w:val="auto"/>
                <w:sz w:val="24"/>
                <w:szCs w:val="20"/>
              </w:rPr>
              <w:t>，冷却时间为18s左右，注塑设备冷却水使用后由模具底部出水口排出进入循环冷却水系统</w:t>
            </w:r>
            <w:r>
              <w:rPr>
                <w:rFonts w:hint="eastAsia" w:cs="Times New Roman"/>
                <w:caps w:val="0"/>
                <w:smallCaps w:val="0"/>
                <w:color w:val="auto"/>
                <w:sz w:val="24"/>
                <w:szCs w:val="20"/>
                <w:lang w:eastAsia="zh-CN"/>
              </w:rPr>
              <w:t>（</w:t>
            </w:r>
            <w:r>
              <w:rPr>
                <w:rFonts w:hint="eastAsia" w:cs="Times New Roman"/>
                <w:caps w:val="0"/>
                <w:smallCaps w:val="0"/>
                <w:color w:val="auto"/>
                <w:sz w:val="24"/>
                <w:szCs w:val="20"/>
                <w:lang w:val="en-US" w:eastAsia="zh-CN"/>
              </w:rPr>
              <w:t>冷却循环池+冷却塔</w:t>
            </w:r>
            <w:r>
              <w:rPr>
                <w:rFonts w:hint="eastAsia" w:cs="Times New Roman"/>
                <w:caps w:val="0"/>
                <w:smallCaps w:val="0"/>
                <w:color w:val="auto"/>
                <w:sz w:val="24"/>
                <w:szCs w:val="20"/>
                <w:lang w:eastAsia="zh-CN"/>
              </w:rPr>
              <w:t>）</w:t>
            </w:r>
            <w:r>
              <w:rPr>
                <w:rFonts w:hint="default" w:ascii="Times New Roman" w:hAnsi="Times New Roman" w:eastAsia="宋体" w:cs="Times New Roman"/>
                <w:caps w:val="0"/>
                <w:smallCaps w:val="0"/>
                <w:color w:val="auto"/>
                <w:sz w:val="24"/>
                <w:szCs w:val="20"/>
              </w:rPr>
              <w:t>，经冷却</w:t>
            </w:r>
            <w:r>
              <w:rPr>
                <w:rFonts w:hint="eastAsia" w:cs="Times New Roman"/>
                <w:caps w:val="0"/>
                <w:smallCaps w:val="0"/>
                <w:color w:val="auto"/>
                <w:sz w:val="24"/>
                <w:szCs w:val="20"/>
                <w:lang w:val="en-US" w:eastAsia="zh-CN"/>
              </w:rPr>
              <w:t>塔</w:t>
            </w:r>
            <w:r>
              <w:rPr>
                <w:rFonts w:hint="default" w:ascii="Times New Roman" w:hAnsi="Times New Roman" w:eastAsia="宋体" w:cs="Times New Roman"/>
                <w:caps w:val="0"/>
                <w:smallCaps w:val="0"/>
                <w:color w:val="auto"/>
                <w:sz w:val="24"/>
                <w:szCs w:val="20"/>
              </w:rPr>
              <w:t>冷却后循环使用不外排，由于蒸发损耗需定期补充新鲜水。</w:t>
            </w:r>
          </w:p>
          <w:p w14:paraId="66EAD7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rPr>
              <w:t>⑤取件</w:t>
            </w:r>
          </w:p>
          <w:p w14:paraId="144A36D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lang w:val="en-US" w:eastAsia="zh-CN"/>
              </w:rPr>
              <w:t>定型完成后，采用</w:t>
            </w:r>
            <w:r>
              <w:rPr>
                <w:rFonts w:hint="default" w:ascii="Times New Roman" w:hAnsi="Times New Roman" w:eastAsia="宋体" w:cs="Times New Roman"/>
                <w:caps w:val="0"/>
                <w:smallCaps w:val="0"/>
                <w:color w:val="auto"/>
                <w:sz w:val="24"/>
                <w:szCs w:val="20"/>
              </w:rPr>
              <w:t>机械手取出</w:t>
            </w:r>
            <w:r>
              <w:rPr>
                <w:rFonts w:hint="default" w:ascii="Times New Roman" w:hAnsi="Times New Roman" w:eastAsia="宋体" w:cs="Times New Roman"/>
                <w:caps w:val="0"/>
                <w:smallCaps w:val="0"/>
                <w:color w:val="auto"/>
                <w:sz w:val="24"/>
                <w:szCs w:val="20"/>
                <w:lang w:val="en-US" w:eastAsia="zh-CN"/>
              </w:rPr>
              <w:t>成型的</w:t>
            </w:r>
            <w:r>
              <w:rPr>
                <w:rFonts w:hint="default" w:ascii="Times New Roman" w:hAnsi="Times New Roman" w:eastAsia="宋体" w:cs="Times New Roman"/>
                <w:caps w:val="0"/>
                <w:smallCaps w:val="0"/>
                <w:color w:val="auto"/>
                <w:sz w:val="24"/>
                <w:szCs w:val="20"/>
                <w:lang w:eastAsia="zh-CN"/>
              </w:rPr>
              <w:t>塑料框</w:t>
            </w:r>
            <w:r>
              <w:rPr>
                <w:rFonts w:hint="default" w:ascii="Times New Roman" w:hAnsi="Times New Roman" w:eastAsia="宋体" w:cs="Times New Roman"/>
                <w:caps w:val="0"/>
                <w:smallCaps w:val="0"/>
                <w:color w:val="auto"/>
                <w:sz w:val="24"/>
                <w:szCs w:val="20"/>
              </w:rPr>
              <w:t>。</w:t>
            </w:r>
          </w:p>
          <w:p w14:paraId="1905E0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rPr>
              <w:t>⑥检验</w:t>
            </w:r>
          </w:p>
          <w:p w14:paraId="6F7157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lang w:val="en-US" w:eastAsia="zh-CN"/>
              </w:rPr>
              <w:t>取出后的塑料框由人工进行检验，外观、尺寸检查，其中不合格的产品使用破碎机进行破碎，经破碎后重新利用，合格的产品进入</w:t>
            </w:r>
            <w:r>
              <w:rPr>
                <w:rFonts w:hint="eastAsia" w:cs="Times New Roman"/>
                <w:caps w:val="0"/>
                <w:smallCaps w:val="0"/>
                <w:color w:val="auto"/>
                <w:sz w:val="24"/>
                <w:szCs w:val="20"/>
                <w:lang w:val="en-US" w:eastAsia="zh-CN"/>
              </w:rPr>
              <w:t>成品</w:t>
            </w:r>
            <w:r>
              <w:rPr>
                <w:rFonts w:hint="default" w:ascii="Times New Roman" w:hAnsi="Times New Roman" w:eastAsia="宋体" w:cs="Times New Roman"/>
                <w:caps w:val="0"/>
                <w:smallCaps w:val="0"/>
                <w:color w:val="auto"/>
                <w:sz w:val="24"/>
                <w:szCs w:val="20"/>
                <w:lang w:val="en-US" w:eastAsia="zh-CN"/>
              </w:rPr>
              <w:t>区堆存。</w:t>
            </w:r>
          </w:p>
          <w:p w14:paraId="57DAF98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lang w:val="en-US" w:eastAsia="zh-CN"/>
              </w:rPr>
              <w:t>⑦</w:t>
            </w:r>
            <w:r>
              <w:rPr>
                <w:rFonts w:hint="default" w:ascii="Times New Roman" w:hAnsi="Times New Roman" w:eastAsia="宋体" w:cs="Times New Roman"/>
                <w:caps w:val="0"/>
                <w:smallCaps w:val="0"/>
                <w:color w:val="auto"/>
                <w:sz w:val="24"/>
                <w:szCs w:val="20"/>
              </w:rPr>
              <w:t>破碎</w:t>
            </w:r>
          </w:p>
          <w:p w14:paraId="7C9FF0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rPr>
            </w:pPr>
            <w:r>
              <w:rPr>
                <w:rFonts w:hint="default" w:ascii="Times New Roman" w:hAnsi="Times New Roman" w:eastAsia="宋体" w:cs="Times New Roman"/>
                <w:caps w:val="0"/>
                <w:smallCaps w:val="0"/>
                <w:color w:val="auto"/>
                <w:sz w:val="24"/>
                <w:szCs w:val="20"/>
              </w:rPr>
              <w:t>为实施清洁生产重复利用可回收物质，项目将</w:t>
            </w:r>
            <w:r>
              <w:rPr>
                <w:rFonts w:hint="eastAsia" w:cs="Times New Roman"/>
                <w:caps w:val="0"/>
                <w:smallCaps w:val="0"/>
                <w:color w:val="auto"/>
                <w:sz w:val="24"/>
                <w:szCs w:val="20"/>
                <w:lang w:val="en-US" w:eastAsia="zh-CN"/>
              </w:rPr>
              <w:t>注塑过程产生的废料及</w:t>
            </w:r>
            <w:r>
              <w:rPr>
                <w:rFonts w:hint="default" w:ascii="Times New Roman" w:hAnsi="Times New Roman" w:eastAsia="宋体" w:cs="Times New Roman"/>
                <w:caps w:val="0"/>
                <w:smallCaps w:val="0"/>
                <w:color w:val="auto"/>
                <w:sz w:val="24"/>
                <w:szCs w:val="20"/>
              </w:rPr>
              <w:t>检验过</w:t>
            </w:r>
            <w:r>
              <w:rPr>
                <w:rFonts w:hint="default" w:ascii="Times New Roman" w:hAnsi="Times New Roman" w:eastAsia="宋体" w:cs="Times New Roman"/>
                <w:caps w:val="0"/>
                <w:smallCaps w:val="0"/>
                <w:color w:val="auto"/>
                <w:sz w:val="24"/>
                <w:szCs w:val="20"/>
                <w:lang w:eastAsia="zh-CN"/>
              </w:rPr>
              <w:t>程中</w:t>
            </w:r>
            <w:r>
              <w:rPr>
                <w:rFonts w:hint="default" w:ascii="Times New Roman" w:hAnsi="Times New Roman" w:eastAsia="宋体" w:cs="Times New Roman"/>
                <w:caps w:val="0"/>
                <w:smallCaps w:val="0"/>
                <w:color w:val="auto"/>
                <w:sz w:val="24"/>
                <w:szCs w:val="20"/>
              </w:rPr>
              <w:t>产生的不合格品破碎后重新作为原料使用</w:t>
            </w:r>
            <w:r>
              <w:rPr>
                <w:rFonts w:hint="eastAsia" w:cs="Times New Roman"/>
                <w:caps w:val="0"/>
                <w:smallCaps w:val="0"/>
                <w:color w:val="auto"/>
                <w:sz w:val="24"/>
                <w:szCs w:val="20"/>
                <w:lang w:eastAsia="zh-CN"/>
              </w:rPr>
              <w:t>，</w:t>
            </w:r>
            <w:r>
              <w:rPr>
                <w:rFonts w:hint="eastAsia" w:cs="Times New Roman"/>
                <w:caps w:val="0"/>
                <w:smallCaps w:val="0"/>
                <w:color w:val="auto"/>
                <w:sz w:val="24"/>
                <w:szCs w:val="20"/>
                <w:lang w:val="en-US" w:eastAsia="zh-CN"/>
              </w:rPr>
              <w:t>本项目需重新破碎的废料及</w:t>
            </w:r>
            <w:r>
              <w:rPr>
                <w:rFonts w:hint="default" w:ascii="Times New Roman" w:hAnsi="Times New Roman" w:eastAsia="宋体" w:cs="Times New Roman"/>
                <w:caps w:val="0"/>
                <w:smallCaps w:val="0"/>
                <w:color w:val="auto"/>
                <w:sz w:val="24"/>
                <w:szCs w:val="20"/>
              </w:rPr>
              <w:t>不合格品</w:t>
            </w:r>
            <w:r>
              <w:rPr>
                <w:rFonts w:hint="eastAsia" w:ascii="Times New Roman" w:hAnsi="Times New Roman" w:eastAsia="宋体" w:cs="Times New Roman"/>
                <w:caps w:val="0"/>
                <w:smallCaps w:val="0"/>
                <w:color w:val="auto"/>
                <w:sz w:val="24"/>
                <w:szCs w:val="20"/>
                <w:lang w:val="en-US" w:eastAsia="zh-CN"/>
              </w:rPr>
              <w:t>量约</w:t>
            </w:r>
            <w:r>
              <w:rPr>
                <w:rFonts w:hint="eastAsia" w:ascii="Times New Roman" w:hAnsi="Times New Roman" w:eastAsia="宋体" w:cs="Times New Roman"/>
                <w:caps w:val="0"/>
                <w:smallCaps w:val="0"/>
                <w:color w:val="auto"/>
                <w:sz w:val="24"/>
                <w:szCs w:val="20"/>
                <w:highlight w:val="none"/>
                <w:lang w:val="en-US" w:eastAsia="zh-CN"/>
              </w:rPr>
              <w:t>为</w:t>
            </w:r>
            <w:r>
              <w:rPr>
                <w:rFonts w:hint="eastAsia" w:cs="Times New Roman"/>
                <w:caps w:val="0"/>
                <w:smallCaps w:val="0"/>
                <w:color w:val="auto"/>
                <w:sz w:val="24"/>
                <w:szCs w:val="20"/>
                <w:highlight w:val="none"/>
                <w:lang w:val="en-US" w:eastAsia="zh-CN"/>
              </w:rPr>
              <w:t>6.515</w:t>
            </w:r>
            <w:r>
              <w:rPr>
                <w:rFonts w:hint="eastAsia" w:ascii="Times New Roman" w:hAnsi="Times New Roman" w:eastAsia="宋体" w:cs="Times New Roman"/>
                <w:caps w:val="0"/>
                <w:smallCaps w:val="0"/>
                <w:color w:val="auto"/>
                <w:sz w:val="24"/>
                <w:szCs w:val="20"/>
                <w:highlight w:val="none"/>
                <w:lang w:val="en-US" w:eastAsia="zh-CN"/>
              </w:rPr>
              <w:t>t/a</w:t>
            </w:r>
            <w:r>
              <w:rPr>
                <w:rFonts w:hint="default" w:ascii="Times New Roman" w:hAnsi="Times New Roman" w:eastAsia="宋体" w:cs="Times New Roman"/>
                <w:caps w:val="0"/>
                <w:smallCaps w:val="0"/>
                <w:color w:val="auto"/>
                <w:sz w:val="24"/>
                <w:szCs w:val="20"/>
              </w:rPr>
              <w:t>。破碎机仅预留投料口，其余封闭建设，在破碎时，将投料口关闭，破碎过程全密闭，破碎至粒径为4-6mm的颗粒后回用于生产。</w:t>
            </w:r>
            <w:r>
              <w:rPr>
                <w:rFonts w:hint="default" w:ascii="Times New Roman" w:hAnsi="Times New Roman" w:eastAsia="宋体" w:cs="Times New Roman"/>
                <w:caps w:val="0"/>
                <w:smallCaps w:val="0"/>
                <w:color w:val="auto"/>
                <w:sz w:val="24"/>
                <w:szCs w:val="20"/>
                <w:lang w:val="en-US" w:eastAsia="zh-CN"/>
              </w:rPr>
              <w:t>此过</w:t>
            </w:r>
            <w:r>
              <w:rPr>
                <w:rFonts w:hint="default" w:ascii="Times New Roman" w:hAnsi="Times New Roman" w:eastAsia="宋体" w:cs="Times New Roman"/>
                <w:caps w:val="0"/>
                <w:smallCaps w:val="0"/>
                <w:color w:val="auto"/>
                <w:sz w:val="24"/>
                <w:szCs w:val="24"/>
                <w:lang w:val="en-US" w:eastAsia="zh-CN"/>
              </w:rPr>
              <w:t>程</w:t>
            </w:r>
            <w:r>
              <w:rPr>
                <w:rFonts w:hint="eastAsia"/>
                <w:color w:val="auto"/>
                <w:sz w:val="24"/>
                <w:szCs w:val="24"/>
                <w:lang w:val="en-US" w:eastAsia="zh-CN"/>
              </w:rPr>
              <w:t>投料口、出料口</w:t>
            </w:r>
            <w:r>
              <w:rPr>
                <w:rFonts w:hint="default" w:ascii="Times New Roman" w:hAnsi="Times New Roman" w:eastAsia="宋体" w:cs="Times New Roman"/>
                <w:caps w:val="0"/>
                <w:smallCaps w:val="0"/>
                <w:color w:val="auto"/>
                <w:sz w:val="24"/>
                <w:szCs w:val="24"/>
                <w:lang w:val="en-US" w:eastAsia="zh-CN"/>
              </w:rPr>
              <w:t>会有少量粉尘</w:t>
            </w:r>
            <w:r>
              <w:rPr>
                <w:rFonts w:hint="eastAsia" w:cs="Times New Roman"/>
                <w:caps w:val="0"/>
                <w:smallCaps w:val="0"/>
                <w:color w:val="auto"/>
                <w:sz w:val="24"/>
                <w:szCs w:val="24"/>
                <w:lang w:val="en-US" w:eastAsia="zh-CN"/>
              </w:rPr>
              <w:t>溢出</w:t>
            </w:r>
            <w:r>
              <w:rPr>
                <w:rFonts w:hint="default" w:ascii="Times New Roman" w:hAnsi="Times New Roman" w:eastAsia="宋体" w:cs="Times New Roman"/>
                <w:caps w:val="0"/>
                <w:smallCaps w:val="0"/>
                <w:color w:val="auto"/>
                <w:sz w:val="24"/>
                <w:szCs w:val="24"/>
                <w:lang w:val="en-US" w:eastAsia="zh-CN"/>
              </w:rPr>
              <w:t>，产生量很小，</w:t>
            </w:r>
            <w:r>
              <w:rPr>
                <w:rFonts w:hint="eastAsia" w:cs="Times New Roman"/>
                <w:caps w:val="0"/>
                <w:smallCaps w:val="0"/>
                <w:color w:val="auto"/>
                <w:sz w:val="24"/>
                <w:szCs w:val="24"/>
                <w:lang w:val="en-US" w:eastAsia="zh-CN"/>
              </w:rPr>
              <w:t>经厂房沉降后</w:t>
            </w:r>
            <w:r>
              <w:rPr>
                <w:rFonts w:hint="default" w:ascii="Times New Roman" w:hAnsi="Times New Roman" w:eastAsia="宋体" w:cs="Times New Roman"/>
                <w:caps w:val="0"/>
                <w:smallCaps w:val="0"/>
                <w:color w:val="auto"/>
                <w:sz w:val="24"/>
                <w:szCs w:val="24"/>
                <w:lang w:val="en-US" w:eastAsia="zh-CN"/>
              </w:rPr>
              <w:t>以无组织形式排放。</w:t>
            </w:r>
            <w:r>
              <w:rPr>
                <w:rFonts w:hint="default" w:ascii="Times New Roman" w:hAnsi="Times New Roman" w:eastAsia="宋体" w:cs="Times New Roman"/>
                <w:caps w:val="0"/>
                <w:smallCaps w:val="0"/>
                <w:color w:val="auto"/>
                <w:sz w:val="24"/>
                <w:szCs w:val="20"/>
                <w:lang w:val="en-US" w:eastAsia="zh-CN"/>
              </w:rPr>
              <w:t>此外还有</w:t>
            </w:r>
            <w:r>
              <w:rPr>
                <w:rFonts w:hint="default" w:ascii="Times New Roman" w:hAnsi="Times New Roman" w:eastAsia="宋体" w:cs="Times New Roman"/>
                <w:caps w:val="0"/>
                <w:smallCaps w:val="0"/>
                <w:color w:val="auto"/>
                <w:sz w:val="24"/>
                <w:szCs w:val="20"/>
              </w:rPr>
              <w:t>设备</w:t>
            </w:r>
            <w:r>
              <w:rPr>
                <w:rFonts w:hint="default" w:ascii="Times New Roman" w:hAnsi="Times New Roman" w:eastAsia="宋体" w:cs="Times New Roman"/>
                <w:caps w:val="0"/>
                <w:smallCaps w:val="0"/>
                <w:color w:val="auto"/>
                <w:sz w:val="24"/>
                <w:szCs w:val="20"/>
                <w:lang w:val="en-US" w:eastAsia="zh-CN"/>
              </w:rPr>
              <w:t>运行</w:t>
            </w:r>
            <w:r>
              <w:rPr>
                <w:rFonts w:hint="default" w:ascii="Times New Roman" w:hAnsi="Times New Roman" w:eastAsia="宋体" w:cs="Times New Roman"/>
                <w:caps w:val="0"/>
                <w:smallCaps w:val="0"/>
                <w:color w:val="auto"/>
                <w:sz w:val="24"/>
                <w:szCs w:val="20"/>
              </w:rPr>
              <w:t>噪声。</w:t>
            </w:r>
          </w:p>
          <w:p w14:paraId="5AA6DB8B">
            <w:pPr>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b/>
                <w:bCs/>
                <w:color w:val="auto"/>
                <w:sz w:val="24"/>
                <w:szCs w:val="24"/>
                <w:lang w:val="en-US" w:eastAsia="zh-CN"/>
              </w:rPr>
            </w:pPr>
            <w:r>
              <w:rPr>
                <w:rFonts w:hint="eastAsia" w:cs="Times New Roman"/>
                <w:caps w:val="0"/>
                <w:smallCaps w:val="0"/>
                <w:color w:val="auto"/>
                <w:sz w:val="24"/>
                <w:szCs w:val="20"/>
                <w:lang w:val="en-US" w:eastAsia="zh-CN"/>
              </w:rPr>
              <w:t>⑧</w:t>
            </w:r>
            <w:r>
              <w:rPr>
                <w:rFonts w:hint="default" w:ascii="Times New Roman" w:hAnsi="Times New Roman" w:eastAsia="宋体" w:cs="Times New Roman"/>
                <w:b w:val="0"/>
                <w:bCs w:val="0"/>
                <w:color w:val="auto"/>
                <w:sz w:val="24"/>
                <w:szCs w:val="24"/>
              </w:rPr>
              <w:t>入库</w:t>
            </w:r>
            <w:r>
              <w:rPr>
                <w:rFonts w:hint="default" w:ascii="Times New Roman" w:hAnsi="Times New Roman" w:eastAsia="宋体" w:cs="Times New Roman"/>
                <w:b w:val="0"/>
                <w:bCs w:val="0"/>
                <w:color w:val="auto"/>
                <w:sz w:val="24"/>
                <w:szCs w:val="24"/>
                <w:lang w:val="en-US" w:eastAsia="zh-CN"/>
              </w:rPr>
              <w:t>待售</w:t>
            </w:r>
          </w:p>
          <w:p w14:paraId="235BB4C5">
            <w:pPr>
              <w:pStyle w:val="24"/>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检验</w:t>
            </w:r>
            <w:r>
              <w:rPr>
                <w:rFonts w:hint="default" w:ascii="Times New Roman" w:hAnsi="Times New Roman" w:eastAsia="宋体" w:cs="Times New Roman"/>
                <w:color w:val="auto"/>
                <w:sz w:val="24"/>
                <w:szCs w:val="24"/>
              </w:rPr>
              <w:t>合格的</w:t>
            </w:r>
            <w:r>
              <w:rPr>
                <w:rFonts w:hint="default" w:ascii="Times New Roman" w:hAnsi="Times New Roman" w:eastAsia="宋体" w:cs="Times New Roman"/>
                <w:color w:val="auto"/>
                <w:sz w:val="24"/>
                <w:szCs w:val="24"/>
                <w:lang w:eastAsia="zh-CN"/>
              </w:rPr>
              <w:t>塑料框</w:t>
            </w:r>
            <w:r>
              <w:rPr>
                <w:rFonts w:hint="default" w:ascii="Times New Roman" w:hAnsi="Times New Roman" w:eastAsia="宋体" w:cs="Times New Roman"/>
                <w:color w:val="auto"/>
                <w:sz w:val="24"/>
              </w:rPr>
              <w:t>堆放于成品</w:t>
            </w:r>
            <w:r>
              <w:rPr>
                <w:rFonts w:hint="default" w:ascii="Times New Roman" w:hAnsi="Times New Roman" w:eastAsia="宋体" w:cs="Times New Roman"/>
                <w:color w:val="auto"/>
                <w:sz w:val="24"/>
                <w:lang w:val="en-US" w:eastAsia="zh-CN"/>
              </w:rPr>
              <w:t>区堆存</w:t>
            </w:r>
            <w:r>
              <w:rPr>
                <w:rFonts w:hint="eastAsia" w:ascii="Times New Roman" w:hAnsi="Times New Roman" w:cs="Times New Roman"/>
                <w:color w:val="auto"/>
                <w:sz w:val="24"/>
                <w:lang w:val="en-US" w:eastAsia="zh-CN"/>
              </w:rPr>
              <w:t>待售</w:t>
            </w:r>
            <w:r>
              <w:rPr>
                <w:rFonts w:hint="default" w:ascii="Times New Roman" w:hAnsi="Times New Roman" w:eastAsia="宋体" w:cs="Times New Roman"/>
                <w:color w:val="auto"/>
                <w:sz w:val="24"/>
              </w:rPr>
              <w:t>。</w:t>
            </w:r>
          </w:p>
          <w:p w14:paraId="41E27EE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2、产污环节</w:t>
            </w:r>
          </w:p>
          <w:p w14:paraId="4E9F892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项目产污环节如下表所示：</w:t>
            </w:r>
          </w:p>
          <w:p w14:paraId="22570EE9">
            <w:pPr>
              <w:pStyle w:val="60"/>
              <w:keepNext w:val="0"/>
              <w:keepLines w:val="0"/>
              <w:pageBreakBefore w:val="0"/>
              <w:widowControl w:val="0"/>
              <w:suppressLineNumbers w:val="0"/>
              <w:kinsoku/>
              <w:wordWrap w:val="0"/>
              <w:overflowPunct/>
              <w:topLinePunct/>
              <w:autoSpaceDE/>
              <w:autoSpaceDN/>
              <w:bidi w:val="0"/>
              <w:adjustRightInd w:val="0"/>
              <w:snapToGrid/>
              <w:spacing w:before="0" w:beforeAutospacing="0" w:after="0" w:afterAutospacing="0" w:line="360" w:lineRule="auto"/>
              <w:ind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1"/>
                <w:szCs w:val="21"/>
              </w:rPr>
              <w:t>表2-</w:t>
            </w:r>
            <w:r>
              <w:rPr>
                <w:rFonts w:hint="eastAsia" w:eastAsia="宋体" w:cs="Times New Roman"/>
                <w:b/>
                <w:bCs/>
                <w:color w:val="auto"/>
                <w:sz w:val="21"/>
                <w:szCs w:val="21"/>
                <w:lang w:val="en-US" w:eastAsia="zh-CN"/>
              </w:rPr>
              <w:t>9</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项目产污环节一览表</w:t>
            </w:r>
          </w:p>
          <w:tbl>
            <w:tblPr>
              <w:tblStyle w:val="36"/>
              <w:tblW w:w="8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3"/>
              <w:gridCol w:w="1423"/>
              <w:gridCol w:w="2227"/>
              <w:gridCol w:w="4112"/>
            </w:tblGrid>
            <w:tr w14:paraId="26A9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noWrap/>
                  <w:tcMar>
                    <w:top w:w="10" w:type="dxa"/>
                    <w:left w:w="10" w:type="dxa"/>
                    <w:right w:w="10" w:type="dxa"/>
                  </w:tcMar>
                  <w:vAlign w:val="center"/>
                </w:tcPr>
                <w:p w14:paraId="192B2346">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污染源</w:t>
                  </w:r>
                </w:p>
              </w:tc>
              <w:tc>
                <w:tcPr>
                  <w:tcW w:w="1423" w:type="dxa"/>
                  <w:noWrap/>
                  <w:tcMar>
                    <w:top w:w="10" w:type="dxa"/>
                    <w:left w:w="10" w:type="dxa"/>
                    <w:right w:w="10" w:type="dxa"/>
                  </w:tcMar>
                  <w:vAlign w:val="center"/>
                </w:tcPr>
                <w:p w14:paraId="3B6609F3">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产污环节</w:t>
                  </w:r>
                </w:p>
              </w:tc>
              <w:tc>
                <w:tcPr>
                  <w:tcW w:w="2227" w:type="dxa"/>
                  <w:noWrap/>
                  <w:tcMar>
                    <w:top w:w="10" w:type="dxa"/>
                    <w:left w:w="10" w:type="dxa"/>
                    <w:right w:w="10" w:type="dxa"/>
                  </w:tcMar>
                  <w:vAlign w:val="center"/>
                </w:tcPr>
                <w:p w14:paraId="621CFD50">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4112" w:type="dxa"/>
                  <w:noWrap/>
                  <w:tcMar>
                    <w:top w:w="10" w:type="dxa"/>
                    <w:left w:w="10" w:type="dxa"/>
                    <w:right w:w="10" w:type="dxa"/>
                  </w:tcMar>
                  <w:vAlign w:val="center"/>
                </w:tcPr>
                <w:p w14:paraId="6F72DE66">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治理措施</w:t>
                  </w:r>
                </w:p>
              </w:tc>
            </w:tr>
            <w:tr w14:paraId="559D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restart"/>
                  <w:noWrap/>
                  <w:tcMar>
                    <w:top w:w="10" w:type="dxa"/>
                    <w:left w:w="10" w:type="dxa"/>
                    <w:right w:w="10" w:type="dxa"/>
                  </w:tcMar>
                  <w:vAlign w:val="center"/>
                </w:tcPr>
                <w:p w14:paraId="01DD6D3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废气</w:t>
                  </w:r>
                </w:p>
              </w:tc>
              <w:tc>
                <w:tcPr>
                  <w:tcW w:w="1423" w:type="dxa"/>
                  <w:noWrap/>
                  <w:tcMar>
                    <w:top w:w="10" w:type="dxa"/>
                    <w:left w:w="10" w:type="dxa"/>
                    <w:right w:w="10" w:type="dxa"/>
                  </w:tcMar>
                  <w:vAlign w:val="center"/>
                </w:tcPr>
                <w:p w14:paraId="34E67C75">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拌料、上料</w:t>
                  </w:r>
                </w:p>
              </w:tc>
              <w:tc>
                <w:tcPr>
                  <w:tcW w:w="2227" w:type="dxa"/>
                  <w:noWrap/>
                  <w:tcMar>
                    <w:top w:w="10" w:type="dxa"/>
                    <w:left w:w="10" w:type="dxa"/>
                    <w:right w:w="10" w:type="dxa"/>
                  </w:tcMar>
                  <w:vAlign w:val="center"/>
                </w:tcPr>
                <w:p w14:paraId="43213C51">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颗粒物</w:t>
                  </w:r>
                </w:p>
              </w:tc>
              <w:tc>
                <w:tcPr>
                  <w:tcW w:w="4112" w:type="dxa"/>
                  <w:noWrap/>
                  <w:tcMar>
                    <w:top w:w="10" w:type="dxa"/>
                    <w:left w:w="10" w:type="dxa"/>
                    <w:right w:w="10" w:type="dxa"/>
                  </w:tcMar>
                  <w:vAlign w:val="center"/>
                </w:tcPr>
                <w:p w14:paraId="4734CFC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拌料机</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上料工序在密闭装置内进行，厂房封闭，呈无组织排放。</w:t>
                  </w:r>
                </w:p>
              </w:tc>
            </w:tr>
            <w:tr w14:paraId="7D2B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443D418C">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noWrap/>
                  <w:tcMar>
                    <w:top w:w="10" w:type="dxa"/>
                    <w:left w:w="10" w:type="dxa"/>
                    <w:right w:w="10" w:type="dxa"/>
                  </w:tcMar>
                  <w:vAlign w:val="center"/>
                </w:tcPr>
                <w:p w14:paraId="2A4E36E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熔融、注塑</w:t>
                  </w:r>
                </w:p>
              </w:tc>
              <w:tc>
                <w:tcPr>
                  <w:tcW w:w="2227" w:type="dxa"/>
                  <w:noWrap/>
                  <w:tcMar>
                    <w:top w:w="10" w:type="dxa"/>
                    <w:left w:w="10" w:type="dxa"/>
                    <w:right w:w="10" w:type="dxa"/>
                  </w:tcMar>
                  <w:vAlign w:val="center"/>
                </w:tcPr>
                <w:p w14:paraId="2E12DF7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臭气浓度</w:t>
                  </w:r>
                </w:p>
              </w:tc>
              <w:tc>
                <w:tcPr>
                  <w:tcW w:w="4112" w:type="dxa"/>
                  <w:noWrap/>
                  <w:tcMar>
                    <w:top w:w="10" w:type="dxa"/>
                    <w:left w:w="10" w:type="dxa"/>
                    <w:right w:w="10" w:type="dxa"/>
                  </w:tcMar>
                  <w:vAlign w:val="center"/>
                </w:tcPr>
                <w:p w14:paraId="523F9A1C">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集气罩+</w:t>
                  </w:r>
                  <w:r>
                    <w:rPr>
                      <w:rFonts w:hint="default" w:ascii="Times New Roman" w:hAnsi="Times New Roman" w:eastAsia="宋体" w:cs="Times New Roman"/>
                      <w:color w:val="auto"/>
                      <w:szCs w:val="21"/>
                      <w:lang w:val="en-US" w:eastAsia="zh-CN"/>
                    </w:rPr>
                    <w:t>三级活性炭吸附装置</w:t>
                  </w:r>
                  <w:r>
                    <w:rPr>
                      <w:rFonts w:hint="default" w:ascii="Times New Roman" w:hAnsi="Times New Roman" w:eastAsia="宋体" w:cs="Times New Roman"/>
                      <w:color w:val="auto"/>
                      <w:szCs w:val="21"/>
                    </w:rPr>
                    <w:t>+15m高排气筒</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DA001</w:t>
                  </w:r>
                  <w:r>
                    <w:rPr>
                      <w:rFonts w:hint="default" w:ascii="Times New Roman" w:hAnsi="Times New Roman" w:eastAsia="宋体" w:cs="Times New Roman"/>
                      <w:color w:val="auto"/>
                      <w:szCs w:val="21"/>
                      <w:lang w:eastAsia="zh-CN"/>
                    </w:rPr>
                    <w:t>）。</w:t>
                  </w:r>
                </w:p>
              </w:tc>
            </w:tr>
            <w:tr w14:paraId="7579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3EC3D6D8">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noWrap/>
                  <w:tcMar>
                    <w:top w:w="10" w:type="dxa"/>
                    <w:left w:w="10" w:type="dxa"/>
                    <w:right w:w="10" w:type="dxa"/>
                  </w:tcMar>
                  <w:vAlign w:val="center"/>
                </w:tcPr>
                <w:p w14:paraId="3DE7BC8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破碎</w:t>
                  </w:r>
                </w:p>
              </w:tc>
              <w:tc>
                <w:tcPr>
                  <w:tcW w:w="2227" w:type="dxa"/>
                  <w:noWrap/>
                  <w:tcMar>
                    <w:top w:w="10" w:type="dxa"/>
                    <w:left w:w="10" w:type="dxa"/>
                    <w:right w:w="10" w:type="dxa"/>
                  </w:tcMar>
                  <w:vAlign w:val="center"/>
                </w:tcPr>
                <w:p w14:paraId="065E010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颗粒物</w:t>
                  </w:r>
                </w:p>
              </w:tc>
              <w:tc>
                <w:tcPr>
                  <w:tcW w:w="4112" w:type="dxa"/>
                  <w:noWrap/>
                  <w:tcMar>
                    <w:top w:w="10" w:type="dxa"/>
                    <w:left w:w="10" w:type="dxa"/>
                    <w:right w:w="10" w:type="dxa"/>
                  </w:tcMar>
                  <w:vAlign w:val="center"/>
                </w:tcPr>
                <w:p w14:paraId="4E581CF5">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破碎过程全密闭，厂房封闭，呈无组织排放。</w:t>
                  </w:r>
                </w:p>
              </w:tc>
            </w:tr>
            <w:tr w14:paraId="184E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restart"/>
                  <w:noWrap/>
                  <w:tcMar>
                    <w:top w:w="10" w:type="dxa"/>
                    <w:left w:w="10" w:type="dxa"/>
                    <w:right w:w="10" w:type="dxa"/>
                  </w:tcMar>
                  <w:vAlign w:val="center"/>
                </w:tcPr>
                <w:p w14:paraId="055899A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废水</w:t>
                  </w:r>
                </w:p>
              </w:tc>
              <w:tc>
                <w:tcPr>
                  <w:tcW w:w="1423" w:type="dxa"/>
                  <w:noWrap/>
                  <w:tcMar>
                    <w:top w:w="10" w:type="dxa"/>
                    <w:left w:w="10" w:type="dxa"/>
                    <w:right w:w="10" w:type="dxa"/>
                  </w:tcMar>
                  <w:vAlign w:val="center"/>
                </w:tcPr>
                <w:p w14:paraId="3CC9DB97">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冷却水</w:t>
                  </w:r>
                </w:p>
              </w:tc>
              <w:tc>
                <w:tcPr>
                  <w:tcW w:w="2227" w:type="dxa"/>
                  <w:noWrap/>
                  <w:tcMar>
                    <w:top w:w="10" w:type="dxa"/>
                    <w:left w:w="10" w:type="dxa"/>
                    <w:right w:w="10" w:type="dxa"/>
                  </w:tcMar>
                  <w:vAlign w:val="center"/>
                </w:tcPr>
                <w:p w14:paraId="188EC98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4112" w:type="dxa"/>
                  <w:noWrap/>
                  <w:tcMar>
                    <w:top w:w="10" w:type="dxa"/>
                    <w:left w:w="10" w:type="dxa"/>
                    <w:right w:w="10" w:type="dxa"/>
                  </w:tcMar>
                  <w:vAlign w:val="center"/>
                </w:tcPr>
                <w:p w14:paraId="192718D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经</w:t>
                  </w:r>
                  <w:r>
                    <w:rPr>
                      <w:rFonts w:hint="default" w:ascii="Times New Roman" w:hAnsi="Times New Roman" w:eastAsia="宋体" w:cs="Times New Roman"/>
                      <w:color w:val="auto"/>
                      <w:szCs w:val="21"/>
                      <w:lang w:val="en-US" w:eastAsia="zh-CN"/>
                    </w:rPr>
                    <w:t>循环水池</w:t>
                  </w:r>
                  <w:r>
                    <w:rPr>
                      <w:rFonts w:hint="default" w:ascii="Times New Roman" w:hAnsi="Times New Roman" w:eastAsia="宋体" w:cs="Times New Roman"/>
                      <w:color w:val="auto"/>
                      <w:szCs w:val="21"/>
                    </w:rPr>
                    <w:t>收集</w:t>
                  </w:r>
                  <w:r>
                    <w:rPr>
                      <w:rFonts w:hint="default" w:ascii="Times New Roman" w:hAnsi="Times New Roman" w:eastAsia="宋体" w:cs="Times New Roman"/>
                      <w:color w:val="auto"/>
                      <w:szCs w:val="21"/>
                      <w:lang w:val="en-US" w:eastAsia="zh-CN"/>
                    </w:rPr>
                    <w:t>冷却</w:t>
                  </w:r>
                  <w:r>
                    <w:rPr>
                      <w:rFonts w:hint="default" w:ascii="Times New Roman" w:hAnsi="Times New Roman" w:eastAsia="宋体" w:cs="Times New Roman"/>
                      <w:color w:val="auto"/>
                      <w:szCs w:val="21"/>
                    </w:rPr>
                    <w:t>后循环使用</w:t>
                  </w:r>
                  <w:r>
                    <w:rPr>
                      <w:rFonts w:hint="default" w:ascii="Times New Roman" w:hAnsi="Times New Roman" w:eastAsia="宋体" w:cs="Times New Roman"/>
                      <w:color w:val="auto"/>
                      <w:szCs w:val="21"/>
                      <w:lang w:eastAsia="zh-CN"/>
                    </w:rPr>
                    <w:t>。</w:t>
                  </w:r>
                </w:p>
              </w:tc>
            </w:tr>
            <w:tr w14:paraId="00F5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1B1E275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noWrap/>
                  <w:tcMar>
                    <w:top w:w="10" w:type="dxa"/>
                    <w:left w:w="10" w:type="dxa"/>
                    <w:right w:w="10" w:type="dxa"/>
                  </w:tcMar>
                  <w:vAlign w:val="center"/>
                </w:tcPr>
                <w:p w14:paraId="71041AE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生活污水</w:t>
                  </w:r>
                </w:p>
              </w:tc>
              <w:tc>
                <w:tcPr>
                  <w:tcW w:w="2227" w:type="dxa"/>
                  <w:noWrap/>
                  <w:tcMar>
                    <w:top w:w="10" w:type="dxa"/>
                    <w:left w:w="10" w:type="dxa"/>
                    <w:right w:w="10" w:type="dxa"/>
                  </w:tcMar>
                  <w:vAlign w:val="center"/>
                </w:tcPr>
                <w:p w14:paraId="07D13961">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COD、BOD</w:t>
                  </w:r>
                  <w:r>
                    <w:rPr>
                      <w:rFonts w:hint="default" w:ascii="Times New Roman" w:hAnsi="Times New Roman" w:eastAsia="宋体" w:cs="Times New Roman"/>
                      <w:color w:val="auto"/>
                      <w:szCs w:val="21"/>
                      <w:vertAlign w:val="subscript"/>
                      <w:lang w:val="en-US" w:eastAsia="zh-CN"/>
                    </w:rPr>
                    <w:t>5</w:t>
                  </w:r>
                  <w:r>
                    <w:rPr>
                      <w:rFonts w:hint="default" w:ascii="Times New Roman" w:hAnsi="Times New Roman" w:eastAsia="宋体" w:cs="Times New Roman"/>
                      <w:color w:val="auto"/>
                      <w:szCs w:val="21"/>
                      <w:lang w:val="en-US" w:eastAsia="zh-CN"/>
                    </w:rPr>
                    <w:t>、</w:t>
                  </w:r>
                </w:p>
                <w:p w14:paraId="24037366">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氨氮、总磷</w:t>
                  </w:r>
                  <w:r>
                    <w:rPr>
                      <w:rFonts w:hint="eastAsia" w:ascii="Times New Roman" w:hAnsi="Times New Roman" w:eastAsia="宋体" w:cs="Times New Roman"/>
                      <w:color w:val="auto"/>
                      <w:szCs w:val="21"/>
                      <w:lang w:val="en-US" w:eastAsia="zh-CN"/>
                    </w:rPr>
                    <w:t>、动植物油</w:t>
                  </w:r>
                  <w:r>
                    <w:rPr>
                      <w:rFonts w:hint="default" w:ascii="Times New Roman" w:hAnsi="Times New Roman" w:eastAsia="宋体" w:cs="Times New Roman"/>
                      <w:color w:val="auto"/>
                      <w:szCs w:val="21"/>
                      <w:lang w:val="en-US" w:eastAsia="zh-CN"/>
                    </w:rPr>
                    <w:t>等</w:t>
                  </w:r>
                </w:p>
              </w:tc>
              <w:tc>
                <w:tcPr>
                  <w:tcW w:w="4112" w:type="dxa"/>
                  <w:noWrap/>
                  <w:tcMar>
                    <w:top w:w="10" w:type="dxa"/>
                    <w:left w:w="10" w:type="dxa"/>
                    <w:right w:w="10" w:type="dxa"/>
                  </w:tcMar>
                  <w:vAlign w:val="center"/>
                </w:tcPr>
                <w:p w14:paraId="223E7F2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依托</w:t>
                  </w:r>
                  <w:r>
                    <w:rPr>
                      <w:rFonts w:hint="eastAsia" w:ascii="Times New Roman" w:hAnsi="Times New Roman" w:eastAsia="宋体" w:cs="Times New Roman"/>
                      <w:color w:val="auto"/>
                      <w:szCs w:val="21"/>
                      <w:lang w:val="en-US" w:eastAsia="zh-CN"/>
                    </w:rPr>
                    <w:t>云南鹏达冠得有限公司</w:t>
                  </w:r>
                  <w:r>
                    <w:rPr>
                      <w:rFonts w:hint="default" w:ascii="Times New Roman" w:hAnsi="Times New Roman" w:eastAsia="宋体" w:cs="Times New Roman"/>
                      <w:color w:val="auto"/>
                      <w:szCs w:val="21"/>
                      <w:lang w:val="en-US" w:eastAsia="zh-CN"/>
                    </w:rPr>
                    <w:t>已建污水处理系统处理达标后用于区域绿化浇灌、洒水降尘。</w:t>
                  </w:r>
                </w:p>
              </w:tc>
            </w:tr>
            <w:tr w14:paraId="4F69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noWrap/>
                  <w:tcMar>
                    <w:top w:w="10" w:type="dxa"/>
                    <w:left w:w="10" w:type="dxa"/>
                    <w:right w:w="10" w:type="dxa"/>
                  </w:tcMar>
                  <w:vAlign w:val="center"/>
                </w:tcPr>
                <w:p w14:paraId="2E59C7A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1423" w:type="dxa"/>
                  <w:noWrap/>
                  <w:tcMar>
                    <w:top w:w="10" w:type="dxa"/>
                    <w:left w:w="10" w:type="dxa"/>
                    <w:right w:w="10" w:type="dxa"/>
                  </w:tcMar>
                  <w:vAlign w:val="center"/>
                </w:tcPr>
                <w:p w14:paraId="196675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生产设备</w:t>
                  </w:r>
                </w:p>
              </w:tc>
              <w:tc>
                <w:tcPr>
                  <w:tcW w:w="2227" w:type="dxa"/>
                  <w:noWrap w:val="0"/>
                  <w:tcMar>
                    <w:top w:w="10" w:type="dxa"/>
                    <w:left w:w="10" w:type="dxa"/>
                    <w:right w:w="10" w:type="dxa"/>
                  </w:tcMar>
                  <w:vAlign w:val="center"/>
                </w:tcPr>
                <w:p w14:paraId="6BB9BAF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设备噪声</w:t>
                  </w:r>
                </w:p>
              </w:tc>
              <w:tc>
                <w:tcPr>
                  <w:tcW w:w="4112" w:type="dxa"/>
                  <w:noWrap w:val="0"/>
                  <w:tcMar>
                    <w:top w:w="10" w:type="dxa"/>
                    <w:left w:w="10" w:type="dxa"/>
                    <w:right w:w="10" w:type="dxa"/>
                  </w:tcMar>
                  <w:vAlign w:val="center"/>
                </w:tcPr>
                <w:p w14:paraId="3D9D93C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eastAsia="zh-CN"/>
                    </w:rPr>
                  </w:pPr>
                  <w:r>
                    <w:rPr>
                      <w:rFonts w:hint="default" w:ascii="Times New Roman" w:hAnsi="Times New Roman" w:eastAsia="宋体" w:cs="Times New Roman"/>
                      <w:bCs/>
                      <w:color w:val="auto"/>
                      <w:szCs w:val="21"/>
                      <w:lang w:val="en-US" w:eastAsia="zh-CN"/>
                    </w:rPr>
                    <w:t>安装减震垫</w:t>
                  </w:r>
                  <w:r>
                    <w:rPr>
                      <w:rFonts w:hint="default" w:ascii="Times New Roman" w:hAnsi="Times New Roman" w:eastAsia="宋体" w:cs="Times New Roman"/>
                      <w:bCs/>
                      <w:color w:val="auto"/>
                      <w:szCs w:val="21"/>
                    </w:rPr>
                    <w:t>，厂房隔声</w:t>
                  </w:r>
                  <w:r>
                    <w:rPr>
                      <w:rFonts w:hint="default" w:ascii="Times New Roman" w:hAnsi="Times New Roman" w:eastAsia="宋体" w:cs="Times New Roman"/>
                      <w:bCs/>
                      <w:color w:val="auto"/>
                      <w:szCs w:val="21"/>
                      <w:lang w:eastAsia="zh-CN"/>
                    </w:rPr>
                    <w:t>。</w:t>
                  </w:r>
                </w:p>
              </w:tc>
            </w:tr>
            <w:tr w14:paraId="4ABA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restart"/>
                  <w:noWrap/>
                  <w:tcMar>
                    <w:top w:w="10" w:type="dxa"/>
                    <w:left w:w="10" w:type="dxa"/>
                    <w:right w:w="10" w:type="dxa"/>
                  </w:tcMar>
                  <w:vAlign w:val="center"/>
                </w:tcPr>
                <w:p w14:paraId="3A5AA37D">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固废</w:t>
                  </w:r>
                </w:p>
              </w:tc>
              <w:tc>
                <w:tcPr>
                  <w:tcW w:w="1423" w:type="dxa"/>
                  <w:noWrap/>
                  <w:tcMar>
                    <w:top w:w="10" w:type="dxa"/>
                    <w:left w:w="10" w:type="dxa"/>
                    <w:right w:w="10" w:type="dxa"/>
                  </w:tcMar>
                  <w:vAlign w:val="center"/>
                </w:tcPr>
                <w:p w14:paraId="5CC59637">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办公区</w:t>
                  </w:r>
                </w:p>
              </w:tc>
              <w:tc>
                <w:tcPr>
                  <w:tcW w:w="2227" w:type="dxa"/>
                  <w:noWrap w:val="0"/>
                  <w:tcMar>
                    <w:top w:w="10" w:type="dxa"/>
                    <w:left w:w="10" w:type="dxa"/>
                    <w:right w:w="10" w:type="dxa"/>
                  </w:tcMar>
                  <w:vAlign w:val="center"/>
                </w:tcPr>
                <w:p w14:paraId="3DCD697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生活垃圾</w:t>
                  </w:r>
                </w:p>
              </w:tc>
              <w:tc>
                <w:tcPr>
                  <w:tcW w:w="4112" w:type="dxa"/>
                  <w:noWrap w:val="0"/>
                  <w:tcMar>
                    <w:top w:w="10" w:type="dxa"/>
                    <w:left w:w="10" w:type="dxa"/>
                    <w:right w:w="10" w:type="dxa"/>
                  </w:tcMar>
                  <w:vAlign w:val="center"/>
                </w:tcPr>
                <w:p w14:paraId="49CAF5B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经</w:t>
                  </w:r>
                  <w:r>
                    <w:rPr>
                      <w:rFonts w:hint="default" w:ascii="Times New Roman" w:hAnsi="Times New Roman" w:eastAsia="宋体" w:cs="Times New Roman"/>
                      <w:color w:val="auto"/>
                      <w:szCs w:val="21"/>
                    </w:rPr>
                    <w:t>垃圾桶收集后交由环卫部门进行清运处置</w:t>
                  </w:r>
                </w:p>
              </w:tc>
            </w:tr>
            <w:tr w14:paraId="4F8A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70BB55B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vMerge w:val="restart"/>
                  <w:noWrap/>
                  <w:tcMar>
                    <w:top w:w="10" w:type="dxa"/>
                    <w:left w:w="10" w:type="dxa"/>
                    <w:right w:w="10" w:type="dxa"/>
                  </w:tcMar>
                  <w:vAlign w:val="center"/>
                </w:tcPr>
                <w:p w14:paraId="63807B9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生产车间</w:t>
                  </w:r>
                </w:p>
              </w:tc>
              <w:tc>
                <w:tcPr>
                  <w:tcW w:w="2227" w:type="dxa"/>
                  <w:noWrap w:val="0"/>
                  <w:tcMar>
                    <w:top w:w="10" w:type="dxa"/>
                    <w:left w:w="10" w:type="dxa"/>
                    <w:right w:w="10" w:type="dxa"/>
                  </w:tcMar>
                  <w:vAlign w:val="center"/>
                </w:tcPr>
                <w:p w14:paraId="15DFCA7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包装固废</w:t>
                  </w:r>
                </w:p>
              </w:tc>
              <w:tc>
                <w:tcPr>
                  <w:tcW w:w="4112" w:type="dxa"/>
                  <w:noWrap w:val="0"/>
                  <w:tcMar>
                    <w:top w:w="10" w:type="dxa"/>
                    <w:left w:w="10" w:type="dxa"/>
                    <w:right w:w="10" w:type="dxa"/>
                  </w:tcMar>
                  <w:vAlign w:val="center"/>
                </w:tcPr>
                <w:p w14:paraId="7259E655">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集中收集后定期</w:t>
                  </w:r>
                  <w:r>
                    <w:rPr>
                      <w:rFonts w:hint="default" w:ascii="Times New Roman" w:hAnsi="Times New Roman" w:eastAsia="宋体" w:cs="Times New Roman"/>
                      <w:color w:val="auto"/>
                      <w:szCs w:val="21"/>
                    </w:rPr>
                    <w:t>出售给物资回收单位</w:t>
                  </w:r>
                </w:p>
              </w:tc>
            </w:tr>
            <w:tr w14:paraId="05D9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2725397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vMerge w:val="continue"/>
                  <w:noWrap/>
                  <w:tcMar>
                    <w:top w:w="10" w:type="dxa"/>
                    <w:left w:w="10" w:type="dxa"/>
                    <w:right w:w="10" w:type="dxa"/>
                  </w:tcMar>
                  <w:vAlign w:val="center"/>
                </w:tcPr>
                <w:p w14:paraId="1A17B481">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2227" w:type="dxa"/>
                  <w:noWrap w:val="0"/>
                  <w:tcMar>
                    <w:top w:w="10" w:type="dxa"/>
                    <w:left w:w="10" w:type="dxa"/>
                    <w:right w:w="10" w:type="dxa"/>
                  </w:tcMar>
                  <w:vAlign w:val="center"/>
                </w:tcPr>
                <w:p w14:paraId="069167A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厂房沉降粉尘</w:t>
                  </w:r>
                </w:p>
              </w:tc>
              <w:tc>
                <w:tcPr>
                  <w:tcW w:w="4112" w:type="dxa"/>
                  <w:noWrap w:val="0"/>
                  <w:tcMar>
                    <w:top w:w="10" w:type="dxa"/>
                    <w:left w:w="10" w:type="dxa"/>
                    <w:right w:w="10" w:type="dxa"/>
                  </w:tcMar>
                  <w:vAlign w:val="center"/>
                </w:tcPr>
                <w:p w14:paraId="0C770049">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人工清扫后由环卫部门清运。</w:t>
                  </w:r>
                </w:p>
              </w:tc>
            </w:tr>
            <w:tr w14:paraId="6270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3E60A49A">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vMerge w:val="continue"/>
                  <w:noWrap/>
                  <w:tcMar>
                    <w:top w:w="10" w:type="dxa"/>
                    <w:left w:w="10" w:type="dxa"/>
                    <w:right w:w="10" w:type="dxa"/>
                  </w:tcMar>
                  <w:vAlign w:val="center"/>
                </w:tcPr>
                <w:p w14:paraId="6C2F1AC8">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2227" w:type="dxa"/>
                  <w:noWrap w:val="0"/>
                  <w:tcMar>
                    <w:top w:w="10" w:type="dxa"/>
                    <w:left w:w="10" w:type="dxa"/>
                    <w:right w:w="10" w:type="dxa"/>
                  </w:tcMar>
                  <w:vAlign w:val="center"/>
                </w:tcPr>
                <w:p w14:paraId="29A3B3B3">
                  <w:pPr>
                    <w:pStyle w:val="85"/>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eastAsia="zh-CN"/>
                    </w:rPr>
                  </w:pPr>
                  <w:r>
                    <w:rPr>
                      <w:rFonts w:hint="eastAsia" w:cs="Times New Roman"/>
                      <w:color w:val="auto"/>
                      <w:szCs w:val="21"/>
                      <w:lang w:val="en-US" w:eastAsia="zh-CN"/>
                    </w:rPr>
                    <w:t>生产废料及</w:t>
                  </w:r>
                  <w:r>
                    <w:rPr>
                      <w:rFonts w:hint="eastAsia" w:ascii="Times New Roman" w:hAnsi="Times New Roman" w:eastAsia="宋体" w:cs="Times New Roman"/>
                      <w:color w:val="auto"/>
                      <w:szCs w:val="21"/>
                      <w:lang w:val="en-US" w:eastAsia="zh-CN"/>
                    </w:rPr>
                    <w:t>不合格品</w:t>
                  </w:r>
                </w:p>
              </w:tc>
              <w:tc>
                <w:tcPr>
                  <w:tcW w:w="4112" w:type="dxa"/>
                  <w:noWrap w:val="0"/>
                  <w:tcMar>
                    <w:top w:w="10" w:type="dxa"/>
                    <w:left w:w="10" w:type="dxa"/>
                    <w:right w:w="10" w:type="dxa"/>
                  </w:tcMar>
                  <w:vAlign w:val="center"/>
                </w:tcPr>
                <w:p w14:paraId="2580AC7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破碎后重新回用预生产</w:t>
                  </w:r>
                </w:p>
              </w:tc>
            </w:tr>
            <w:tr w14:paraId="6FD8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693E39B4">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vMerge w:val="continue"/>
                  <w:noWrap/>
                  <w:tcMar>
                    <w:top w:w="10" w:type="dxa"/>
                    <w:left w:w="10" w:type="dxa"/>
                    <w:right w:w="10" w:type="dxa"/>
                  </w:tcMar>
                  <w:vAlign w:val="center"/>
                </w:tcPr>
                <w:p w14:paraId="48778AB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2227" w:type="dxa"/>
                  <w:noWrap w:val="0"/>
                  <w:tcMar>
                    <w:top w:w="10" w:type="dxa"/>
                    <w:left w:w="10" w:type="dxa"/>
                    <w:right w:w="10" w:type="dxa"/>
                  </w:tcMar>
                  <w:vAlign w:val="center"/>
                </w:tcPr>
                <w:p w14:paraId="54FE4429">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废脱模剂瓶</w:t>
                  </w:r>
                </w:p>
              </w:tc>
              <w:tc>
                <w:tcPr>
                  <w:tcW w:w="4112" w:type="dxa"/>
                  <w:noWrap w:val="0"/>
                  <w:tcMar>
                    <w:top w:w="10" w:type="dxa"/>
                    <w:left w:w="10" w:type="dxa"/>
                    <w:right w:w="10" w:type="dxa"/>
                  </w:tcMar>
                  <w:vAlign w:val="center"/>
                </w:tcPr>
                <w:p w14:paraId="6342F8FA">
                  <w:pPr>
                    <w:pStyle w:val="85"/>
                    <w:keepNext w:val="0"/>
                    <w:keepLines w:val="0"/>
                    <w:suppressLineNumbers w:val="0"/>
                    <w:spacing w:before="0" w:beforeAutospacing="0" w:after="0" w:afterAutospacing="0"/>
                    <w:ind w:left="0" w:right="0"/>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暂存于</w:t>
                  </w:r>
                  <w:r>
                    <w:rPr>
                      <w:rFonts w:hint="eastAsia" w:cs="Times New Roman"/>
                      <w:color w:val="auto"/>
                      <w:szCs w:val="21"/>
                      <w:lang w:val="en-US" w:eastAsia="zh-CN"/>
                    </w:rPr>
                    <w:t>危废贮存库</w:t>
                  </w:r>
                  <w:r>
                    <w:rPr>
                      <w:rFonts w:hint="default" w:ascii="Times New Roman" w:hAnsi="Times New Roman" w:eastAsia="宋体" w:cs="Times New Roman"/>
                      <w:color w:val="auto"/>
                      <w:szCs w:val="21"/>
                    </w:rPr>
                    <w:t>，委托资质单位定期清运处置。</w:t>
                  </w:r>
                </w:p>
              </w:tc>
            </w:tr>
            <w:tr w14:paraId="00E6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4F1C500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vMerge w:val="restart"/>
                  <w:noWrap/>
                  <w:tcMar>
                    <w:top w:w="10" w:type="dxa"/>
                    <w:left w:w="10" w:type="dxa"/>
                    <w:right w:w="10" w:type="dxa"/>
                  </w:tcMar>
                  <w:vAlign w:val="center"/>
                </w:tcPr>
                <w:p w14:paraId="7839CBC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设备维护保养</w:t>
                  </w:r>
                </w:p>
              </w:tc>
              <w:tc>
                <w:tcPr>
                  <w:tcW w:w="2227" w:type="dxa"/>
                  <w:noWrap w:val="0"/>
                  <w:tcMar>
                    <w:top w:w="10" w:type="dxa"/>
                    <w:left w:w="10" w:type="dxa"/>
                    <w:right w:w="10" w:type="dxa"/>
                  </w:tcMar>
                  <w:vAlign w:val="center"/>
                </w:tcPr>
                <w:p w14:paraId="625FF45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废润滑油</w:t>
                  </w:r>
                </w:p>
              </w:tc>
              <w:tc>
                <w:tcPr>
                  <w:tcW w:w="4112" w:type="dxa"/>
                  <w:noWrap w:val="0"/>
                  <w:tcMar>
                    <w:top w:w="10" w:type="dxa"/>
                    <w:left w:w="10" w:type="dxa"/>
                    <w:right w:w="10" w:type="dxa"/>
                  </w:tcMar>
                  <w:vAlign w:val="center"/>
                </w:tcPr>
                <w:p w14:paraId="7F384AE7">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暂存于</w:t>
                  </w:r>
                  <w:r>
                    <w:rPr>
                      <w:rFonts w:hint="eastAsia" w:cs="Times New Roman"/>
                      <w:color w:val="auto"/>
                      <w:szCs w:val="21"/>
                      <w:lang w:val="en-US" w:eastAsia="zh-CN"/>
                    </w:rPr>
                    <w:t>危废贮存库</w:t>
                  </w:r>
                  <w:r>
                    <w:rPr>
                      <w:rFonts w:hint="default" w:ascii="Times New Roman" w:hAnsi="Times New Roman" w:eastAsia="宋体" w:cs="Times New Roman"/>
                      <w:color w:val="auto"/>
                      <w:szCs w:val="21"/>
                    </w:rPr>
                    <w:t>，委托资质单位定期清运处置。</w:t>
                  </w:r>
                </w:p>
              </w:tc>
            </w:tr>
            <w:tr w14:paraId="667E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6C4A955A">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vMerge w:val="continue"/>
                  <w:noWrap/>
                  <w:tcMar>
                    <w:top w:w="10" w:type="dxa"/>
                    <w:left w:w="10" w:type="dxa"/>
                    <w:right w:w="10" w:type="dxa"/>
                  </w:tcMar>
                  <w:vAlign w:val="center"/>
                </w:tcPr>
                <w:p w14:paraId="6D28158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eastAsia="zh-CN"/>
                    </w:rPr>
                  </w:pPr>
                </w:p>
              </w:tc>
              <w:tc>
                <w:tcPr>
                  <w:tcW w:w="2227" w:type="dxa"/>
                  <w:noWrap w:val="0"/>
                  <w:tcMar>
                    <w:top w:w="10" w:type="dxa"/>
                    <w:left w:w="10" w:type="dxa"/>
                    <w:right w:w="10" w:type="dxa"/>
                  </w:tcMar>
                  <w:vAlign w:val="center"/>
                </w:tcPr>
                <w:p w14:paraId="5450C72D">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ascii="Times New Roman" w:hAnsi="Times New Roman" w:eastAsia="Times New Roman" w:cs="宋体"/>
                      <w:b w:val="0"/>
                      <w:bCs w:val="0"/>
                      <w:color w:val="auto"/>
                      <w:sz w:val="21"/>
                      <w:szCs w:val="21"/>
                      <w:lang w:val="en-US" w:eastAsia="zh-CN" w:bidi="ar-SA"/>
                    </w:rPr>
                    <w:t>含油废手套抹布</w:t>
                  </w:r>
                </w:p>
              </w:tc>
              <w:tc>
                <w:tcPr>
                  <w:tcW w:w="4112" w:type="dxa"/>
                  <w:noWrap w:val="0"/>
                  <w:tcMar>
                    <w:top w:w="10" w:type="dxa"/>
                    <w:left w:w="10" w:type="dxa"/>
                    <w:right w:w="10" w:type="dxa"/>
                  </w:tcMar>
                  <w:vAlign w:val="center"/>
                </w:tcPr>
                <w:p w14:paraId="24DDFDA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暂存于</w:t>
                  </w:r>
                  <w:r>
                    <w:rPr>
                      <w:rFonts w:hint="eastAsia" w:cs="Times New Roman"/>
                      <w:color w:val="auto"/>
                      <w:szCs w:val="21"/>
                      <w:lang w:val="en-US" w:eastAsia="zh-CN"/>
                    </w:rPr>
                    <w:t>危废贮存库</w:t>
                  </w:r>
                  <w:r>
                    <w:rPr>
                      <w:rFonts w:hint="default" w:ascii="Times New Roman" w:hAnsi="Times New Roman" w:eastAsia="宋体" w:cs="Times New Roman"/>
                      <w:color w:val="auto"/>
                      <w:szCs w:val="21"/>
                    </w:rPr>
                    <w:t>，委托资质单位定期清运处置。</w:t>
                  </w:r>
                </w:p>
              </w:tc>
            </w:tr>
            <w:tr w14:paraId="07B5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278DD055">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p>
              </w:tc>
              <w:tc>
                <w:tcPr>
                  <w:tcW w:w="1423" w:type="dxa"/>
                  <w:noWrap/>
                  <w:tcMar>
                    <w:top w:w="10" w:type="dxa"/>
                    <w:left w:w="10" w:type="dxa"/>
                    <w:right w:w="10" w:type="dxa"/>
                  </w:tcMar>
                  <w:vAlign w:val="center"/>
                </w:tcPr>
                <w:p w14:paraId="49CD8EF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叉车运行</w:t>
                  </w:r>
                </w:p>
              </w:tc>
              <w:tc>
                <w:tcPr>
                  <w:tcW w:w="2227" w:type="dxa"/>
                  <w:noWrap w:val="0"/>
                  <w:tcMar>
                    <w:top w:w="10" w:type="dxa"/>
                    <w:left w:w="10" w:type="dxa"/>
                    <w:right w:w="10" w:type="dxa"/>
                  </w:tcMar>
                  <w:vAlign w:val="center"/>
                </w:tcPr>
                <w:p w14:paraId="3A71E2C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废柴油桶</w:t>
                  </w:r>
                </w:p>
              </w:tc>
              <w:tc>
                <w:tcPr>
                  <w:tcW w:w="4112" w:type="dxa"/>
                  <w:noWrap w:val="0"/>
                  <w:tcMar>
                    <w:top w:w="10" w:type="dxa"/>
                    <w:left w:w="10" w:type="dxa"/>
                    <w:right w:w="10" w:type="dxa"/>
                  </w:tcMar>
                  <w:vAlign w:val="center"/>
                </w:tcPr>
                <w:p w14:paraId="521B4AA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暂存于</w:t>
                  </w:r>
                  <w:r>
                    <w:rPr>
                      <w:rFonts w:hint="eastAsia" w:cs="Times New Roman"/>
                      <w:color w:val="auto"/>
                      <w:szCs w:val="21"/>
                      <w:lang w:val="en-US" w:eastAsia="zh-CN"/>
                    </w:rPr>
                    <w:t>危废贮存库</w:t>
                  </w:r>
                  <w:r>
                    <w:rPr>
                      <w:rFonts w:hint="default" w:ascii="Times New Roman" w:hAnsi="Times New Roman" w:eastAsia="宋体" w:cs="Times New Roman"/>
                      <w:color w:val="auto"/>
                      <w:szCs w:val="21"/>
                    </w:rPr>
                    <w:t>，委托资质单位定期清运处置。</w:t>
                  </w:r>
                </w:p>
              </w:tc>
            </w:tr>
            <w:tr w14:paraId="3CA8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3" w:type="dxa"/>
                  <w:vMerge w:val="continue"/>
                  <w:noWrap/>
                  <w:tcMar>
                    <w:top w:w="10" w:type="dxa"/>
                    <w:left w:w="10" w:type="dxa"/>
                    <w:right w:w="10" w:type="dxa"/>
                  </w:tcMar>
                  <w:vAlign w:val="center"/>
                </w:tcPr>
                <w:p w14:paraId="08818DF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tc>
              <w:tc>
                <w:tcPr>
                  <w:tcW w:w="1423" w:type="dxa"/>
                  <w:noWrap/>
                  <w:tcMar>
                    <w:top w:w="10" w:type="dxa"/>
                    <w:left w:w="10" w:type="dxa"/>
                    <w:right w:w="10" w:type="dxa"/>
                  </w:tcMar>
                  <w:vAlign w:val="center"/>
                </w:tcPr>
                <w:p w14:paraId="65BC2871">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三级活性炭吸附装置</w:t>
                  </w:r>
                </w:p>
              </w:tc>
              <w:tc>
                <w:tcPr>
                  <w:tcW w:w="2227" w:type="dxa"/>
                  <w:noWrap w:val="0"/>
                  <w:tcMar>
                    <w:top w:w="10" w:type="dxa"/>
                    <w:left w:w="10" w:type="dxa"/>
                    <w:right w:w="10" w:type="dxa"/>
                  </w:tcMar>
                  <w:vAlign w:val="center"/>
                </w:tcPr>
                <w:p w14:paraId="216DA88A">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废活性炭</w:t>
                  </w:r>
                </w:p>
              </w:tc>
              <w:tc>
                <w:tcPr>
                  <w:tcW w:w="4112" w:type="dxa"/>
                  <w:noWrap w:val="0"/>
                  <w:tcMar>
                    <w:top w:w="10" w:type="dxa"/>
                    <w:left w:w="10" w:type="dxa"/>
                    <w:right w:w="10" w:type="dxa"/>
                  </w:tcMar>
                  <w:vAlign w:val="center"/>
                </w:tcPr>
                <w:p w14:paraId="2796DA0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暂存于</w:t>
                  </w:r>
                  <w:r>
                    <w:rPr>
                      <w:rFonts w:hint="eastAsia" w:cs="Times New Roman"/>
                      <w:color w:val="auto"/>
                      <w:szCs w:val="21"/>
                      <w:lang w:val="en-US" w:eastAsia="zh-CN"/>
                    </w:rPr>
                    <w:t>危废贮存库</w:t>
                  </w:r>
                  <w:r>
                    <w:rPr>
                      <w:rFonts w:hint="default" w:ascii="Times New Roman" w:hAnsi="Times New Roman" w:eastAsia="宋体" w:cs="Times New Roman"/>
                      <w:color w:val="auto"/>
                      <w:szCs w:val="21"/>
                    </w:rPr>
                    <w:t>，委托资质单位定期清运处置。</w:t>
                  </w:r>
                </w:p>
              </w:tc>
            </w:tr>
          </w:tbl>
          <w:p w14:paraId="641791BD">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p>
        </w:tc>
      </w:tr>
      <w:tr w14:paraId="2E38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490" w:type="dxa"/>
            <w:noWrap w:val="0"/>
            <w:vAlign w:val="center"/>
          </w:tcPr>
          <w:p w14:paraId="554F696D">
            <w:pPr>
              <w:keepNext w:val="0"/>
              <w:keepLines w:val="0"/>
              <w:suppressLineNumbers w:val="0"/>
              <w:spacing w:before="0" w:beforeAutospacing="0" w:after="0" w:afterAutospacing="0"/>
              <w:ind w:left="0" w:right="0"/>
              <w:rPr>
                <w:rFonts w:hint="default" w:ascii="Times New Roman" w:hAnsi="Times New Roman" w:eastAsia="宋体" w:cs="Times New Roman"/>
                <w:bCs/>
                <w:color w:val="auto"/>
              </w:rPr>
            </w:pPr>
            <w:r>
              <w:rPr>
                <w:rFonts w:hint="default" w:ascii="Times New Roman" w:hAnsi="Times New Roman" w:eastAsia="宋体" w:cs="Times New Roman"/>
                <w:bCs/>
                <w:color w:val="auto"/>
                <w:sz w:val="24"/>
              </w:rPr>
              <w:t>与项目有关的原有环境污染问题</w:t>
            </w:r>
          </w:p>
        </w:tc>
        <w:tc>
          <w:tcPr>
            <w:tcW w:w="8844" w:type="dxa"/>
            <w:noWrap w:val="0"/>
            <w:vAlign w:val="top"/>
          </w:tcPr>
          <w:p w14:paraId="625058F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color w:val="auto"/>
                <w:sz w:val="24"/>
                <w:lang w:eastAsia="zh-CN"/>
              </w:rPr>
              <w:t>云南鹏达冠得有限公司订单萎缩、生产经营困难，部分生产线陆续停产，其已建厂房部分处于闲置状态</w:t>
            </w:r>
            <w:r>
              <w:rPr>
                <w:rFonts w:hint="eastAsia" w:ascii="Times New Roman" w:hAnsi="Times New Roman" w:eastAsia="宋体" w:cs="Times New Roman"/>
                <w:color w:val="auto"/>
                <w:sz w:val="24"/>
                <w:lang w:val="en-US" w:eastAsia="zh-CN"/>
              </w:rPr>
              <w:t>，云南鹏达冠得有限公司将</w:t>
            </w:r>
            <w:r>
              <w:rPr>
                <w:rFonts w:hint="eastAsia" w:cs="Times New Roman"/>
                <w:color w:val="auto"/>
                <w:sz w:val="24"/>
                <w:lang w:val="en-US" w:eastAsia="zh-CN"/>
              </w:rPr>
              <w:t>闲置的</w:t>
            </w:r>
            <w:r>
              <w:rPr>
                <w:rFonts w:hint="eastAsia" w:ascii="Times New Roman" w:hAnsi="Times New Roman" w:eastAsia="宋体" w:cs="Times New Roman"/>
                <w:color w:val="auto"/>
                <w:sz w:val="24"/>
                <w:lang w:val="en-US" w:eastAsia="zh-CN"/>
              </w:rPr>
              <w:t>已建厂房</w:t>
            </w:r>
            <w:r>
              <w:rPr>
                <w:rFonts w:hint="eastAsia" w:cs="Times New Roman"/>
                <w:color w:val="auto"/>
                <w:sz w:val="24"/>
                <w:lang w:val="en-US" w:eastAsia="zh-CN"/>
              </w:rPr>
              <w:t>（占地面积约2300m</w:t>
            </w:r>
            <w:r>
              <w:rPr>
                <w:rFonts w:hint="eastAsia" w:cs="Times New Roman"/>
                <w:color w:val="auto"/>
                <w:sz w:val="24"/>
                <w:vertAlign w:val="superscript"/>
                <w:lang w:val="en-US" w:eastAsia="zh-CN"/>
              </w:rPr>
              <w:t>2</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及综合楼（三</w:t>
            </w:r>
            <w:r>
              <w:rPr>
                <w:rFonts w:hint="eastAsia" w:cs="Times New Roman"/>
                <w:color w:val="auto"/>
                <w:sz w:val="24"/>
                <w:lang w:val="en-US" w:eastAsia="zh-CN"/>
              </w:rPr>
              <w:t>楼，建筑面积600m</w:t>
            </w:r>
            <w:r>
              <w:rPr>
                <w:rFonts w:hint="eastAsia" w:cs="Times New Roman"/>
                <w:color w:val="auto"/>
                <w:sz w:val="24"/>
                <w:vertAlign w:val="superscript"/>
                <w:lang w:val="en-US" w:eastAsia="zh-CN"/>
              </w:rPr>
              <w:t>2</w:t>
            </w:r>
            <w:r>
              <w:rPr>
                <w:rFonts w:hint="eastAsia" w:ascii="Times New Roman" w:hAnsi="Times New Roman" w:eastAsia="宋体" w:cs="Times New Roman"/>
                <w:color w:val="auto"/>
                <w:sz w:val="24"/>
                <w:lang w:val="en-US" w:eastAsia="zh-CN"/>
              </w:rPr>
              <w:t>）出租给</w:t>
            </w:r>
            <w:r>
              <w:rPr>
                <w:rFonts w:hint="default" w:ascii="Times New Roman" w:hAnsi="Times New Roman" w:eastAsia="宋体" w:cs="Times New Roman"/>
                <w:color w:val="auto"/>
                <w:sz w:val="24"/>
                <w:lang w:eastAsia="zh-CN"/>
              </w:rPr>
              <w:t>寻甸亿源塑料制品有限公司</w:t>
            </w:r>
            <w:r>
              <w:rPr>
                <w:rFonts w:hint="eastAsia" w:ascii="Times New Roman" w:hAnsi="Times New Roman" w:eastAsia="宋体" w:cs="Times New Roman"/>
                <w:color w:val="auto"/>
                <w:sz w:val="24"/>
                <w:lang w:val="en-US" w:eastAsia="zh-CN"/>
              </w:rPr>
              <w:t>建设本项目使用。根据现场踏勘：</w:t>
            </w:r>
          </w:p>
          <w:p w14:paraId="50ADB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标准</w:t>
            </w:r>
            <w:r>
              <w:rPr>
                <w:rFonts w:hint="eastAsia" w:ascii="Times New Roman" w:hAnsi="Times New Roman" w:eastAsia="宋体" w:cs="Times New Roman"/>
                <w:color w:val="auto"/>
                <w:sz w:val="24"/>
                <w:szCs w:val="24"/>
                <w:lang w:val="en-US" w:eastAsia="zh-CN"/>
              </w:rPr>
              <w:t>厂房及原有项目情况：</w:t>
            </w:r>
            <w:r>
              <w:rPr>
                <w:rFonts w:hint="eastAsia" w:cs="Times New Roman"/>
                <w:color w:val="auto"/>
                <w:sz w:val="24"/>
                <w:szCs w:val="24"/>
                <w:lang w:val="en-US" w:eastAsia="zh-CN"/>
              </w:rPr>
              <w:t>本项目租用的标准厂房原为</w:t>
            </w:r>
            <w:r>
              <w:rPr>
                <w:rFonts w:hint="eastAsia"/>
                <w:color w:val="auto"/>
                <w:kern w:val="0"/>
                <w:sz w:val="24"/>
                <w:szCs w:val="24"/>
                <w:lang w:val="en-US" w:eastAsia="zh-CN" w:bidi="ar"/>
              </w:rPr>
              <w:t>云南鹏达冠得家具有限公司家具生产项目套装门生产区</w:t>
            </w:r>
            <w:r>
              <w:rPr>
                <w:rFonts w:hint="eastAsia" w:ascii="Times New Roman" w:hAnsi="Times New Roman" w:eastAsia="宋体" w:cs="Times New Roman"/>
                <w:color w:val="auto"/>
                <w:sz w:val="24"/>
                <w:szCs w:val="24"/>
                <w:lang w:val="en-US" w:eastAsia="zh-CN"/>
              </w:rPr>
              <w:t>，生产运营过</w:t>
            </w:r>
            <w:r>
              <w:rPr>
                <w:rFonts w:hint="eastAsia" w:cs="Times New Roman"/>
                <w:color w:val="auto"/>
                <w:sz w:val="24"/>
                <w:szCs w:val="24"/>
                <w:lang w:val="en-US" w:eastAsia="zh-CN"/>
              </w:rPr>
              <w:t>程中</w:t>
            </w:r>
            <w:r>
              <w:rPr>
                <w:rFonts w:hint="eastAsia" w:ascii="Times New Roman" w:hAnsi="Times New Roman" w:eastAsia="宋体" w:cs="Times New Roman"/>
                <w:color w:val="auto"/>
                <w:sz w:val="24"/>
                <w:szCs w:val="24"/>
                <w:lang w:val="en-US" w:eastAsia="zh-CN"/>
              </w:rPr>
              <w:t>主要产生粉尘、有机废气、</w:t>
            </w:r>
            <w:r>
              <w:rPr>
                <w:rFonts w:hint="default" w:ascii="瀹嬩綋" w:hAnsi="瀹嬩綋" w:eastAsia="瀹嬩綋" w:cs="瀹嬩綋"/>
                <w:color w:val="auto"/>
                <w:kern w:val="0"/>
                <w:sz w:val="24"/>
                <w:szCs w:val="24"/>
                <w:lang w:val="en-US" w:eastAsia="zh-CN" w:bidi="ar"/>
              </w:rPr>
              <w:t>废油漆桶和胶桶</w:t>
            </w:r>
            <w:r>
              <w:rPr>
                <w:rFonts w:hint="eastAsia" w:ascii="Times New Roman" w:hAnsi="Times New Roman" w:eastAsia="宋体" w:cs="Times New Roman"/>
                <w:color w:val="auto"/>
                <w:sz w:val="24"/>
                <w:szCs w:val="24"/>
                <w:lang w:val="en-US" w:eastAsia="zh-CN"/>
              </w:rPr>
              <w:t>、漆渣、设备噪声等污染物，截至本项目进场前，出租范围内厂房已全面停产，原有生产设备已全部拆除清空；经现场踏勘，租用范围内无废水、废液、废渣等污染物遗留，未发现明显土壤及地下水污染痕迹，厂房地面已硬化、结构完好。原项目环保手续办理情况为</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eastAsia="zh-CN"/>
              </w:rPr>
              <w:t>云南鹏达冠得有限公司已建厂房</w:t>
            </w:r>
            <w:r>
              <w:rPr>
                <w:rFonts w:hint="default"/>
                <w:color w:val="auto"/>
                <w:kern w:val="0"/>
                <w:sz w:val="24"/>
                <w:szCs w:val="24"/>
                <w:lang w:bidi="ar"/>
              </w:rPr>
              <w:t>于20</w:t>
            </w:r>
            <w:r>
              <w:rPr>
                <w:rFonts w:hint="eastAsia"/>
                <w:color w:val="auto"/>
                <w:kern w:val="0"/>
                <w:sz w:val="24"/>
                <w:szCs w:val="24"/>
                <w:lang w:val="en-US" w:eastAsia="zh-CN" w:bidi="ar"/>
              </w:rPr>
              <w:t>20</w:t>
            </w:r>
            <w:r>
              <w:rPr>
                <w:rFonts w:hint="default"/>
                <w:color w:val="auto"/>
                <w:kern w:val="0"/>
                <w:sz w:val="24"/>
                <w:szCs w:val="24"/>
                <w:lang w:bidi="ar"/>
              </w:rPr>
              <w:t>年</w:t>
            </w:r>
            <w:r>
              <w:rPr>
                <w:rFonts w:hint="eastAsia"/>
                <w:color w:val="auto"/>
                <w:kern w:val="0"/>
                <w:sz w:val="24"/>
                <w:szCs w:val="24"/>
                <w:lang w:val="en-US" w:eastAsia="zh-CN" w:bidi="ar"/>
              </w:rPr>
              <w:t>8</w:t>
            </w:r>
            <w:r>
              <w:rPr>
                <w:rFonts w:hint="default"/>
                <w:color w:val="auto"/>
                <w:kern w:val="0"/>
                <w:sz w:val="24"/>
                <w:szCs w:val="24"/>
                <w:lang w:bidi="ar"/>
              </w:rPr>
              <w:t>月26日取得</w:t>
            </w:r>
            <w:r>
              <w:rPr>
                <w:rFonts w:hint="eastAsia"/>
                <w:color w:val="auto"/>
                <w:kern w:val="0"/>
                <w:sz w:val="24"/>
                <w:szCs w:val="24"/>
                <w:lang w:val="en-US" w:eastAsia="zh-CN" w:bidi="ar"/>
              </w:rPr>
              <w:t>昆明市生态环境局寻甸分局关于对《云南鹏达冠得家具有限公司家具生产项目环境影响报告表》的批复（</w:t>
            </w:r>
            <w:r>
              <w:rPr>
                <w:rFonts w:hint="eastAsia"/>
                <w:color w:val="auto"/>
                <w:kern w:val="0"/>
                <w:sz w:val="24"/>
                <w:szCs w:val="24"/>
                <w:lang w:bidi="ar"/>
              </w:rPr>
              <w:t>昆生环</w:t>
            </w:r>
            <w:r>
              <w:rPr>
                <w:rFonts w:hint="default"/>
                <w:color w:val="auto"/>
                <w:kern w:val="0"/>
                <w:sz w:val="24"/>
                <w:szCs w:val="24"/>
                <w:lang w:bidi="ar"/>
              </w:rPr>
              <w:t>〔20</w:t>
            </w:r>
            <w:r>
              <w:rPr>
                <w:rFonts w:hint="eastAsia"/>
                <w:color w:val="auto"/>
                <w:kern w:val="0"/>
                <w:sz w:val="24"/>
                <w:szCs w:val="24"/>
                <w:lang w:val="en-US" w:eastAsia="zh-CN" w:bidi="ar"/>
              </w:rPr>
              <w:t>20</w:t>
            </w:r>
            <w:r>
              <w:rPr>
                <w:rFonts w:hint="default"/>
                <w:color w:val="auto"/>
                <w:kern w:val="0"/>
                <w:sz w:val="24"/>
                <w:szCs w:val="24"/>
                <w:lang w:bidi="ar"/>
              </w:rPr>
              <w:t>〕</w:t>
            </w:r>
            <w:r>
              <w:rPr>
                <w:rFonts w:hint="eastAsia"/>
                <w:color w:val="auto"/>
                <w:kern w:val="0"/>
                <w:sz w:val="24"/>
                <w:szCs w:val="24"/>
                <w:lang w:bidi="ar"/>
              </w:rPr>
              <w:t>119号</w:t>
            </w:r>
            <w:r>
              <w:rPr>
                <w:rFonts w:hint="eastAsia"/>
                <w:color w:val="auto"/>
                <w:kern w:val="0"/>
                <w:sz w:val="24"/>
                <w:szCs w:val="24"/>
                <w:lang w:val="en-US" w:eastAsia="zh-CN" w:bidi="ar"/>
              </w:rPr>
              <w:t>）</w:t>
            </w:r>
            <w:r>
              <w:rPr>
                <w:rFonts w:hint="eastAsia"/>
                <w:color w:val="auto"/>
                <w:kern w:val="0"/>
                <w:sz w:val="24"/>
                <w:szCs w:val="24"/>
                <w:lang w:bidi="ar"/>
              </w:rPr>
              <w:t>，</w:t>
            </w:r>
            <w:r>
              <w:rPr>
                <w:rFonts w:hint="default"/>
                <w:color w:val="auto"/>
                <w:kern w:val="0"/>
                <w:sz w:val="24"/>
                <w:szCs w:val="24"/>
                <w:lang w:bidi="ar"/>
              </w:rPr>
              <w:t>并于20</w:t>
            </w:r>
            <w:r>
              <w:rPr>
                <w:rFonts w:hint="eastAsia"/>
                <w:color w:val="auto"/>
                <w:kern w:val="0"/>
                <w:sz w:val="24"/>
                <w:szCs w:val="24"/>
                <w:lang w:val="en-US" w:eastAsia="zh-CN" w:bidi="ar"/>
              </w:rPr>
              <w:t>22</w:t>
            </w:r>
            <w:r>
              <w:rPr>
                <w:rFonts w:hint="default"/>
                <w:color w:val="auto"/>
                <w:kern w:val="0"/>
                <w:sz w:val="24"/>
                <w:szCs w:val="24"/>
                <w:lang w:bidi="ar"/>
              </w:rPr>
              <w:t>年</w:t>
            </w:r>
            <w:r>
              <w:rPr>
                <w:rFonts w:hint="eastAsia"/>
                <w:color w:val="auto"/>
                <w:kern w:val="0"/>
                <w:sz w:val="24"/>
                <w:szCs w:val="24"/>
                <w:lang w:val="en-US" w:eastAsia="zh-CN" w:bidi="ar"/>
              </w:rPr>
              <w:t>11</w:t>
            </w:r>
            <w:r>
              <w:rPr>
                <w:rFonts w:hint="default"/>
                <w:color w:val="auto"/>
                <w:kern w:val="0"/>
                <w:sz w:val="24"/>
                <w:szCs w:val="24"/>
                <w:lang w:bidi="ar"/>
              </w:rPr>
              <w:t>月</w:t>
            </w:r>
            <w:r>
              <w:rPr>
                <w:rFonts w:hint="eastAsia"/>
                <w:color w:val="auto"/>
                <w:kern w:val="0"/>
                <w:sz w:val="24"/>
                <w:szCs w:val="24"/>
                <w:lang w:val="en-US" w:eastAsia="zh-CN" w:bidi="ar"/>
              </w:rPr>
              <w:t>25日组织</w:t>
            </w:r>
            <w:r>
              <w:rPr>
                <w:rFonts w:hint="eastAsia"/>
                <w:color w:val="auto"/>
                <w:kern w:val="0"/>
                <w:sz w:val="24"/>
                <w:szCs w:val="24"/>
                <w:lang w:bidi="ar"/>
              </w:rPr>
              <w:t>验收组对云南鹏达冠得家具有限公司家具生产项目竣工环境保护“三同时”情况进行检查验收</w:t>
            </w:r>
            <w:r>
              <w:rPr>
                <w:rFonts w:hint="eastAsia"/>
                <w:color w:val="auto"/>
                <w:kern w:val="0"/>
                <w:sz w:val="24"/>
                <w:szCs w:val="24"/>
                <w:lang w:val="en-US" w:eastAsia="zh-CN" w:bidi="ar"/>
              </w:rPr>
              <w:t>并通过环保验收</w:t>
            </w:r>
            <w:r>
              <w:rPr>
                <w:rFonts w:hint="eastAsia" w:ascii="Times New Roman" w:hAnsi="Times New Roman" w:eastAsia="宋体" w:cs="Times New Roman"/>
                <w:color w:val="auto"/>
                <w:sz w:val="24"/>
                <w:szCs w:val="24"/>
                <w:lang w:val="en-US" w:eastAsia="zh-CN"/>
              </w:rPr>
              <w:t>。</w:t>
            </w:r>
          </w:p>
          <w:p w14:paraId="63B866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（2）原有</w:t>
            </w:r>
            <w:r>
              <w:rPr>
                <w:rFonts w:hint="eastAsia" w:cs="Times New Roman"/>
                <w:color w:val="auto"/>
                <w:sz w:val="24"/>
                <w:lang w:val="en-US" w:eastAsia="zh-CN"/>
              </w:rPr>
              <w:t>综合楼</w:t>
            </w:r>
            <w:r>
              <w:rPr>
                <w:rFonts w:hint="eastAsia" w:ascii="Times New Roman" w:hAnsi="Times New Roman" w:eastAsia="宋体" w:cs="Times New Roman"/>
                <w:color w:val="auto"/>
                <w:sz w:val="24"/>
                <w:lang w:val="en-US" w:eastAsia="zh-CN"/>
              </w:rPr>
              <w:t>、食堂使用情况：本项目租用办公室位于云南鹏达冠得有限公司综合楼三</w:t>
            </w:r>
            <w:r>
              <w:rPr>
                <w:rFonts w:hint="eastAsia" w:cs="Times New Roman"/>
                <w:color w:val="auto"/>
                <w:sz w:val="24"/>
                <w:lang w:val="en-US" w:eastAsia="zh-CN"/>
              </w:rPr>
              <w:t>楼</w:t>
            </w:r>
            <w:r>
              <w:rPr>
                <w:rFonts w:hint="eastAsia" w:ascii="Times New Roman" w:hAnsi="Times New Roman" w:eastAsia="宋体" w:cs="Times New Roman"/>
                <w:color w:val="auto"/>
                <w:sz w:val="24"/>
                <w:lang w:val="en-US" w:eastAsia="zh-CN"/>
              </w:rPr>
              <w:t>（建筑面积</w:t>
            </w:r>
            <w:r>
              <w:rPr>
                <w:rFonts w:hint="eastAsia" w:cs="Times New Roman"/>
                <w:color w:val="auto"/>
                <w:sz w:val="24"/>
                <w:lang w:val="en-US" w:eastAsia="zh-CN"/>
              </w:rPr>
              <w:t>6</w:t>
            </w:r>
            <w:r>
              <w:rPr>
                <w:rFonts w:hint="eastAsia" w:ascii="Times New Roman" w:hAnsi="Times New Roman" w:eastAsia="宋体" w:cs="Times New Roman"/>
                <w:color w:val="auto"/>
                <w:sz w:val="24"/>
                <w:lang w:val="en-US" w:eastAsia="zh-CN"/>
              </w:rPr>
              <w:t>00m</w:t>
            </w:r>
            <w:r>
              <w:rPr>
                <w:rFonts w:hint="eastAsia" w:ascii="Times New Roman" w:hAnsi="Times New Roman" w:eastAsia="宋体" w:cs="Times New Roman"/>
                <w:color w:val="auto"/>
                <w:sz w:val="24"/>
                <w:vertAlign w:val="superscript"/>
                <w:lang w:val="en-US" w:eastAsia="zh-CN"/>
              </w:rPr>
              <w:t>2</w:t>
            </w:r>
            <w:r>
              <w:rPr>
                <w:rFonts w:hint="eastAsia" w:ascii="Times New Roman" w:hAnsi="Times New Roman" w:eastAsia="宋体" w:cs="Times New Roman"/>
                <w:color w:val="auto"/>
                <w:sz w:val="24"/>
                <w:lang w:val="en-US" w:eastAsia="zh-CN"/>
              </w:rPr>
              <w:t>），食堂依托该公司综合楼顶楼已建食堂。</w:t>
            </w:r>
          </w:p>
          <w:p w14:paraId="0CF012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rPr>
            </w:pPr>
            <w:r>
              <w:rPr>
                <w:rFonts w:hint="eastAsia" w:ascii="Times New Roman" w:hAnsi="Times New Roman" w:eastAsia="宋体" w:cs="Times New Roman"/>
                <w:color w:val="auto"/>
                <w:sz w:val="24"/>
                <w:lang w:val="en-US" w:eastAsia="zh-CN"/>
              </w:rPr>
              <w:t>云南鹏达冠得有限公司</w:t>
            </w:r>
            <w:r>
              <w:rPr>
                <w:rFonts w:hint="eastAsia" w:cs="Times New Roman"/>
                <w:color w:val="auto"/>
                <w:sz w:val="24"/>
                <w:lang w:val="en-US" w:eastAsia="zh-CN"/>
              </w:rPr>
              <w:t>综合楼</w:t>
            </w:r>
            <w:r>
              <w:rPr>
                <w:rFonts w:hint="eastAsia" w:ascii="Times New Roman" w:hAnsi="Times New Roman" w:eastAsia="宋体" w:cs="Times New Roman"/>
                <w:color w:val="auto"/>
                <w:sz w:val="24"/>
                <w:lang w:val="en-US" w:eastAsia="zh-CN"/>
              </w:rPr>
              <w:t>、食堂使用情况为：该公司现有劳动定员</w:t>
            </w:r>
            <w:r>
              <w:rPr>
                <w:rFonts w:hint="default" w:ascii="Times New Roman" w:hAnsi="Times New Roman" w:eastAsia="宋体" w:cs="Times New Roman"/>
                <w:color w:val="auto"/>
                <w:kern w:val="0"/>
                <w:sz w:val="24"/>
                <w:szCs w:val="24"/>
                <w:lang w:val="en-US" w:eastAsia="zh-CN" w:bidi="ar"/>
              </w:rPr>
              <w:t>为15人</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食堂就餐</w:t>
            </w:r>
            <w:r>
              <w:rPr>
                <w:rFonts w:hint="default" w:ascii="Times New Roman" w:hAnsi="Times New Roman" w:eastAsia="宋体" w:cs="Times New Roman"/>
                <w:color w:val="auto"/>
                <w:sz w:val="24"/>
                <w:szCs w:val="24"/>
                <w:lang w:val="en-US" w:eastAsia="zh-CN"/>
              </w:rPr>
              <w:t>人员数量为15人，生活废水产生量约为</w:t>
            </w:r>
            <w:r>
              <w:rPr>
                <w:rFonts w:hint="eastAsia" w:cs="Times New Roman"/>
                <w:color w:val="auto"/>
                <w:sz w:val="24"/>
                <w:szCs w:val="24"/>
                <w:lang w:val="en-US" w:eastAsia="zh-CN"/>
              </w:rPr>
              <w:t>216</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kern w:val="0"/>
                <w:sz w:val="24"/>
                <w:szCs w:val="24"/>
                <w:lang w:val="en-US" w:eastAsia="zh-CN" w:bidi="ar"/>
              </w:rPr>
              <w:t>经自建的一体化污水处理设施处理达到《城市污水再生利用 城市杂用水水质》（GB/T18920-2020）标准后，晴天回用作为绿化浇灌及道路洒水，雨天储存于蓄水池（30m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）中待晴天回用绿</w:t>
            </w:r>
            <w:r>
              <w:rPr>
                <w:rFonts w:hint="default" w:ascii="瀹嬩綋" w:hAnsi="瀹嬩綋" w:eastAsia="瀹嬩綋" w:cs="瀹嬩綋"/>
                <w:color w:val="auto"/>
                <w:kern w:val="0"/>
                <w:sz w:val="24"/>
                <w:szCs w:val="24"/>
                <w:lang w:val="en-US" w:eastAsia="zh-CN" w:bidi="ar"/>
              </w:rPr>
              <w:t>化浇灌及道路洒水</w:t>
            </w:r>
            <w:r>
              <w:rPr>
                <w:rFonts w:hint="eastAsia" w:ascii="瀹嬩綋" w:hAnsi="瀹嬩綋" w:eastAsia="瀹嬩綋" w:cs="瀹嬩綋"/>
                <w:color w:val="auto"/>
                <w:kern w:val="0"/>
                <w:sz w:val="24"/>
                <w:szCs w:val="24"/>
                <w:lang w:val="en-US" w:eastAsia="zh-CN" w:bidi="ar"/>
              </w:rPr>
              <w:t>，</w:t>
            </w:r>
            <w:r>
              <w:rPr>
                <w:rFonts w:hint="eastAsia" w:cs="Times New Roman"/>
                <w:color w:val="auto"/>
                <w:sz w:val="24"/>
                <w:lang w:val="en-US" w:eastAsia="zh-CN"/>
              </w:rPr>
              <w:t>其中</w:t>
            </w:r>
            <w:r>
              <w:rPr>
                <w:rFonts w:hint="default" w:ascii="瀹嬩綋" w:hAnsi="瀹嬩綋" w:eastAsia="瀹嬩綋" w:cs="瀹嬩綋"/>
                <w:color w:val="auto"/>
                <w:kern w:val="0"/>
                <w:sz w:val="24"/>
                <w:szCs w:val="24"/>
                <w:lang w:val="en-US" w:eastAsia="zh-CN" w:bidi="ar"/>
              </w:rPr>
              <w:t>食堂废水</w:t>
            </w:r>
            <w:r>
              <w:rPr>
                <w:rFonts w:hint="eastAsia" w:ascii="瀹嬩綋" w:hAnsi="瀹嬩綋" w:eastAsia="瀹嬩綋" w:cs="瀹嬩綋"/>
                <w:color w:val="auto"/>
                <w:kern w:val="0"/>
                <w:sz w:val="24"/>
                <w:szCs w:val="24"/>
                <w:lang w:val="en-US" w:eastAsia="zh-CN" w:bidi="ar"/>
              </w:rPr>
              <w:t>先</w:t>
            </w:r>
            <w:r>
              <w:rPr>
                <w:rFonts w:hint="default" w:ascii="瀹嬩綋" w:hAnsi="瀹嬩綋" w:eastAsia="瀹嬩綋" w:cs="瀹嬩綋"/>
                <w:color w:val="auto"/>
                <w:kern w:val="0"/>
                <w:sz w:val="24"/>
                <w:szCs w:val="24"/>
                <w:lang w:val="en-US" w:eastAsia="zh-CN" w:bidi="ar"/>
              </w:rPr>
              <w:t>经油水分离器预处理后同员工产生的办公生活废水一起排入化粪池预处理。食堂油烟已安装了油烟净化装置进行处理，去除率大于</w:t>
            </w:r>
            <w:r>
              <w:rPr>
                <w:rFonts w:hint="default" w:ascii="Times New Roman" w:hAnsi="Times New Roman" w:eastAsia="宋体" w:cs="Times New Roman"/>
                <w:color w:val="auto"/>
                <w:kern w:val="0"/>
                <w:sz w:val="24"/>
                <w:szCs w:val="24"/>
                <w:lang w:val="en-US" w:eastAsia="zh-CN" w:bidi="ar"/>
              </w:rPr>
              <w:t>60%</w:t>
            </w:r>
            <w:r>
              <w:rPr>
                <w:rFonts w:hint="default" w:ascii="瀹嬩綋" w:hAnsi="瀹嬩綋" w:eastAsia="瀹嬩綋" w:cs="瀹嬩綋"/>
                <w:color w:val="auto"/>
                <w:kern w:val="0"/>
                <w:sz w:val="24"/>
                <w:szCs w:val="24"/>
                <w:lang w:val="en-US" w:eastAsia="zh-CN" w:bidi="ar"/>
              </w:rPr>
              <w:t>，可以达到《饮食业油烟排放标准》（</w:t>
            </w:r>
            <w:r>
              <w:rPr>
                <w:rFonts w:hint="default" w:ascii="Times New Roman" w:hAnsi="Times New Roman" w:eastAsia="宋体" w:cs="Times New Roman"/>
                <w:color w:val="auto"/>
                <w:kern w:val="0"/>
                <w:sz w:val="24"/>
                <w:szCs w:val="24"/>
                <w:lang w:val="en-US" w:eastAsia="zh-CN" w:bidi="ar"/>
              </w:rPr>
              <w:t>GB18483-2001</w:t>
            </w:r>
            <w:r>
              <w:rPr>
                <w:rFonts w:hint="default" w:ascii="瀹嬩綋" w:hAnsi="瀹嬩綋" w:eastAsia="瀹嬩綋" w:cs="瀹嬩綋"/>
                <w:color w:val="auto"/>
                <w:kern w:val="0"/>
                <w:sz w:val="24"/>
                <w:szCs w:val="24"/>
                <w:lang w:val="en-US" w:eastAsia="zh-CN" w:bidi="ar"/>
              </w:rPr>
              <w:t>）表</w:t>
            </w:r>
            <w:r>
              <w:rPr>
                <w:rFonts w:hint="default" w:ascii="Times New Roman" w:hAnsi="Times New Roman" w:eastAsia="宋体" w:cs="Times New Roman"/>
                <w:color w:val="auto"/>
                <w:kern w:val="0"/>
                <w:sz w:val="24"/>
                <w:szCs w:val="24"/>
                <w:lang w:val="en-US" w:eastAsia="zh-CN" w:bidi="ar"/>
              </w:rPr>
              <w:t>2</w:t>
            </w:r>
            <w:r>
              <w:rPr>
                <w:rFonts w:hint="default" w:ascii="瀹嬩綋" w:hAnsi="瀹嬩綋" w:eastAsia="瀹嬩綋" w:cs="瀹嬩綋"/>
                <w:color w:val="auto"/>
                <w:kern w:val="0"/>
                <w:sz w:val="24"/>
                <w:szCs w:val="24"/>
                <w:lang w:val="en-US" w:eastAsia="zh-CN" w:bidi="ar"/>
              </w:rPr>
              <w:t>小型标准</w:t>
            </w:r>
            <w:r>
              <w:rPr>
                <w:rFonts w:hint="eastAsia" w:ascii="瀹嬩綋" w:hAnsi="瀹嬩綋" w:eastAsia="瀹嬩綋" w:cs="瀹嬩綋"/>
                <w:color w:val="auto"/>
                <w:kern w:val="0"/>
                <w:sz w:val="24"/>
                <w:szCs w:val="24"/>
                <w:lang w:val="en-US" w:eastAsia="zh-CN" w:bidi="ar"/>
              </w:rPr>
              <w:t>。</w:t>
            </w:r>
            <w:r>
              <w:rPr>
                <w:rFonts w:hint="eastAsia" w:ascii="Times New Roman" w:hAnsi="Times New Roman" w:eastAsia="宋体" w:cs="Times New Roman"/>
                <w:color w:val="auto"/>
                <w:sz w:val="24"/>
                <w:szCs w:val="24"/>
                <w:lang w:val="en-US" w:eastAsia="zh-CN"/>
              </w:rPr>
              <w:t>经现场踏勘，</w:t>
            </w:r>
            <w:r>
              <w:rPr>
                <w:rFonts w:hint="eastAsia" w:ascii="Times New Roman" w:hAnsi="Times New Roman" w:eastAsia="宋体" w:cs="Times New Roman"/>
                <w:color w:val="auto"/>
                <w:sz w:val="24"/>
                <w:lang w:val="en-US" w:eastAsia="zh-CN"/>
              </w:rPr>
              <w:t>云南鹏达冠得有限公司已建油水分离器、化粪池</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一体化污水处理设施</w:t>
            </w:r>
            <w:r>
              <w:rPr>
                <w:rFonts w:hint="eastAsia" w:cs="Times New Roman"/>
                <w:color w:val="auto"/>
                <w:sz w:val="24"/>
                <w:lang w:val="en-US" w:eastAsia="zh-CN"/>
              </w:rPr>
              <w:t>、</w:t>
            </w:r>
            <w:r>
              <w:rPr>
                <w:rFonts w:hint="default" w:ascii="Times New Roman" w:hAnsi="Times New Roman" w:eastAsia="宋体" w:cs="Times New Roman"/>
                <w:color w:val="auto"/>
                <w:kern w:val="0"/>
                <w:sz w:val="24"/>
                <w:szCs w:val="24"/>
                <w:lang w:val="en-US" w:eastAsia="zh-CN" w:bidi="ar"/>
              </w:rPr>
              <w:t>蓄水池</w:t>
            </w:r>
            <w:r>
              <w:rPr>
                <w:rFonts w:hint="eastAsia" w:ascii="Times New Roman" w:hAnsi="Times New Roman" w:eastAsia="宋体" w:cs="Times New Roman"/>
                <w:color w:val="auto"/>
                <w:kern w:val="0"/>
                <w:sz w:val="24"/>
                <w:szCs w:val="24"/>
                <w:lang w:val="en-US" w:eastAsia="zh-CN" w:bidi="ar"/>
              </w:rPr>
              <w:t>、</w:t>
            </w:r>
            <w:r>
              <w:rPr>
                <w:rFonts w:hint="eastAsia" w:cs="Times New Roman"/>
                <w:color w:val="auto"/>
                <w:sz w:val="24"/>
                <w:lang w:val="en-US" w:eastAsia="zh-CN"/>
              </w:rPr>
              <w:t>油烟净化器等环保设施运行正常</w:t>
            </w:r>
            <w:r>
              <w:rPr>
                <w:rFonts w:hint="eastAsia" w:ascii="Times New Roman" w:hAnsi="Times New Roman" w:eastAsia="宋体" w:cs="Times New Roman"/>
                <w:color w:val="auto"/>
                <w:sz w:val="24"/>
                <w:lang w:val="en-US" w:eastAsia="zh-CN"/>
              </w:rPr>
              <w:t>。</w:t>
            </w:r>
          </w:p>
          <w:p w14:paraId="789176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rPr>
            </w:pPr>
            <w:r>
              <w:rPr>
                <w:rFonts w:hint="eastAsia" w:ascii="Times New Roman" w:hAnsi="Times New Roman" w:eastAsia="宋体" w:cs="Times New Roman"/>
                <w:color w:val="auto"/>
                <w:sz w:val="24"/>
                <w:lang w:val="en-US" w:eastAsia="zh-CN"/>
              </w:rPr>
              <w:t>综上，项目租用厂房为已停产清空的空置厂房，根据现场踏勘及建设单位提供的资料，本项目用地范围内不存在原有环境污染问题。</w:t>
            </w:r>
          </w:p>
        </w:tc>
      </w:tr>
    </w:tbl>
    <w:p w14:paraId="1957F4AD">
      <w:pPr>
        <w:pStyle w:val="32"/>
        <w:jc w:val="center"/>
        <w:rPr>
          <w:rFonts w:ascii="Times New Roman" w:hAnsi="Times New Roman"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516EF26B">
      <w:pPr>
        <w:adjustRightInd w:val="0"/>
        <w:snapToGrid w:val="0"/>
        <w:spacing w:line="360" w:lineRule="auto"/>
        <w:jc w:val="center"/>
        <w:outlineLvl w:val="0"/>
        <w:rPr>
          <w:rFonts w:hint="eastAsia" w:ascii="宋体" w:hAnsi="宋体" w:eastAsia="宋体" w:cs="宋体"/>
          <w:b/>
          <w:bCs/>
          <w:color w:val="auto"/>
          <w:sz w:val="30"/>
          <w:szCs w:val="30"/>
        </w:rPr>
      </w:pPr>
      <w:bookmarkStart w:id="8" w:name="_Toc19962"/>
      <w:r>
        <w:rPr>
          <w:rFonts w:hint="eastAsia" w:ascii="宋体" w:hAnsi="宋体" w:eastAsia="宋体" w:cs="宋体"/>
          <w:b/>
          <w:bCs/>
          <w:color w:val="auto"/>
          <w:sz w:val="30"/>
          <w:szCs w:val="30"/>
        </w:rPr>
        <w:t>三、区域环境质量现状、环境保护目标及评价标准</w:t>
      </w:r>
      <w:bookmarkEnd w:id="8"/>
    </w:p>
    <w:tbl>
      <w:tblPr>
        <w:tblStyle w:val="36"/>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8557"/>
      </w:tblGrid>
      <w:tr w14:paraId="7F47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noWrap w:val="0"/>
            <w:vAlign w:val="center"/>
          </w:tcPr>
          <w:p w14:paraId="5EB1412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 w:val="24"/>
              </w:rPr>
              <w:t>区域环境质量现状</w:t>
            </w:r>
          </w:p>
        </w:tc>
        <w:tc>
          <w:tcPr>
            <w:tcW w:w="8557" w:type="dxa"/>
            <w:noWrap w:val="0"/>
            <w:vAlign w:val="center"/>
          </w:tcPr>
          <w:p w14:paraId="4618864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1、环境空气质量现状</w:t>
            </w:r>
          </w:p>
          <w:p w14:paraId="3AC96373">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Cs/>
                <w:color w:val="auto"/>
                <w:sz w:val="24"/>
                <w:lang w:val="zh-CN" w:eastAsia="zh-CN"/>
              </w:rPr>
            </w:pPr>
            <w:r>
              <w:rPr>
                <w:rFonts w:hint="default" w:ascii="Times New Roman" w:hAnsi="Times New Roman" w:eastAsia="宋体" w:cs="Times New Roman"/>
                <w:bCs/>
                <w:color w:val="auto"/>
                <w:sz w:val="24"/>
                <w:lang w:val="zh-CN"/>
              </w:rPr>
              <w:t>项目位于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bCs/>
                <w:color w:val="auto"/>
                <w:sz w:val="24"/>
                <w:lang w:val="zh-CN"/>
              </w:rPr>
              <w:t>，</w:t>
            </w:r>
            <w:r>
              <w:rPr>
                <w:rFonts w:hint="default" w:ascii="Times New Roman" w:hAnsi="Times New Roman" w:eastAsia="宋体" w:cs="Times New Roman"/>
                <w:caps w:val="0"/>
                <w:color w:val="auto"/>
                <w:kern w:val="0"/>
                <w:sz w:val="24"/>
              </w:rPr>
              <w:t>根据环境空气质量功能区的分类，</w:t>
            </w:r>
            <w:r>
              <w:rPr>
                <w:rFonts w:hint="default" w:ascii="Times New Roman" w:hAnsi="Times New Roman" w:eastAsia="宋体" w:cs="Times New Roman"/>
                <w:bCs/>
                <w:color w:val="auto"/>
                <w:sz w:val="24"/>
                <w:lang w:val="zh-CN"/>
              </w:rPr>
              <w:t>属于环境空气二类区，项目区域</w:t>
            </w:r>
            <w:r>
              <w:rPr>
                <w:rFonts w:hint="default" w:ascii="Times New Roman" w:hAnsi="Times New Roman" w:cs="Times New Roman" w:eastAsiaTheme="minorEastAsia"/>
                <w:color w:val="auto"/>
                <w:sz w:val="24"/>
                <w:szCs w:val="24"/>
                <w:highlight w:val="none"/>
              </w:rPr>
              <w:t>环境空气质量执行《环境空气质量标准》（GB3095-20</w:t>
            </w:r>
            <w:r>
              <w:rPr>
                <w:rFonts w:hint="eastAsia" w:cs="Times New Roman" w:eastAsiaTheme="minorEastAsia"/>
                <w:color w:val="auto"/>
                <w:sz w:val="24"/>
                <w:szCs w:val="24"/>
                <w:highlight w:val="none"/>
                <w:lang w:val="en-US" w:eastAsia="zh-CN"/>
              </w:rPr>
              <w:t>26</w:t>
            </w:r>
            <w:r>
              <w:rPr>
                <w:rFonts w:hint="default" w:ascii="Times New Roman" w:hAnsi="Times New Roman" w:cs="Times New Roman" w:eastAsiaTheme="minorEastAsia"/>
                <w:color w:val="auto"/>
                <w:sz w:val="24"/>
                <w:szCs w:val="24"/>
                <w:highlight w:val="none"/>
              </w:rPr>
              <w:t>）中的二级标准</w:t>
            </w:r>
            <w:r>
              <w:rPr>
                <w:rFonts w:hint="eastAsia" w:cs="Times New Roman" w:eastAsiaTheme="minorEastAsia"/>
                <w:color w:val="auto"/>
                <w:sz w:val="24"/>
                <w:szCs w:val="24"/>
                <w:highlight w:val="none"/>
                <w:lang w:eastAsia="zh-CN"/>
              </w:rPr>
              <w:t>（</w:t>
            </w:r>
            <w:r>
              <w:rPr>
                <w:rFonts w:hint="eastAsia" w:cs="Times New Roman" w:eastAsiaTheme="minorEastAsia"/>
                <w:color w:val="auto"/>
                <w:sz w:val="24"/>
                <w:szCs w:val="24"/>
                <w:highlight w:val="none"/>
                <w:lang w:val="en-US" w:eastAsia="zh-CN"/>
              </w:rPr>
              <w:t>2030年12月31日前执行过渡阶段浓度限值，2031年1月1日起，执行二级标准浓度限值</w:t>
            </w:r>
            <w:r>
              <w:rPr>
                <w:rFonts w:hint="eastAsia" w:cs="Times New Roman" w:eastAsiaTheme="minorEastAsia"/>
                <w:color w:val="auto"/>
                <w:sz w:val="24"/>
                <w:szCs w:val="24"/>
                <w:highlight w:val="none"/>
                <w:lang w:eastAsia="zh-CN"/>
              </w:rPr>
              <w:t>）</w:t>
            </w:r>
            <w:r>
              <w:rPr>
                <w:rFonts w:hint="eastAsia"/>
                <w:color w:val="auto"/>
                <w:sz w:val="24"/>
                <w:szCs w:val="24"/>
                <w:lang w:eastAsia="zh-CN"/>
              </w:rPr>
              <w:t>。</w:t>
            </w:r>
          </w:p>
          <w:p w14:paraId="5A8DEB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zh-CN"/>
              </w:rPr>
              <w:t>①</w:t>
            </w:r>
            <w:r>
              <w:rPr>
                <w:rFonts w:hint="default" w:ascii="Times New Roman" w:hAnsi="Times New Roman" w:eastAsia="宋体" w:cs="Times New Roman"/>
                <w:bCs/>
                <w:color w:val="auto"/>
                <w:sz w:val="24"/>
                <w:lang w:val="en-US" w:eastAsia="zh-CN"/>
              </w:rPr>
              <w:t>达标区判定</w:t>
            </w:r>
          </w:p>
          <w:p w14:paraId="3B4814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zh-CN"/>
              </w:rPr>
              <w:t>距离项目最近的环境空气质量监测站为寻甸县监测站，本次评价收集了寻甸县监测站2025年1月1日-2025年12月31日的监测数据，并根据收集的资料统计分析，统计结果如下</w:t>
            </w:r>
            <w:r>
              <w:rPr>
                <w:rFonts w:hint="default" w:ascii="Times New Roman" w:hAnsi="Times New Roman" w:eastAsia="宋体" w:cs="Times New Roman"/>
                <w:bCs/>
                <w:color w:val="auto"/>
                <w:sz w:val="24"/>
                <w:lang w:val="en-US" w:eastAsia="zh-CN"/>
              </w:rPr>
              <w:t>表所示。</w:t>
            </w:r>
          </w:p>
          <w:p w14:paraId="6BB83B9A">
            <w:pPr>
              <w:keepNext w:val="0"/>
              <w:keepLines w:val="0"/>
              <w:suppressLineNumbers w:val="0"/>
              <w:spacing w:before="0" w:beforeAutospacing="0" w:after="0" w:afterAutospacing="0" w:line="360" w:lineRule="auto"/>
              <w:ind w:left="0" w:right="0" w:firstLine="422" w:firstLineChars="200"/>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1"/>
                <w:szCs w:val="21"/>
                <w:lang w:val="en-US" w:eastAsia="zh-CN"/>
              </w:rPr>
              <w:t>表3-1  寻甸县监测站2025年环境空气质量现状评价表</w:t>
            </w:r>
          </w:p>
          <w:tbl>
            <w:tblPr>
              <w:tblStyle w:val="36"/>
              <w:tblW w:w="8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948"/>
              <w:gridCol w:w="3049"/>
              <w:gridCol w:w="1430"/>
              <w:gridCol w:w="1120"/>
              <w:gridCol w:w="839"/>
              <w:gridCol w:w="1034"/>
            </w:tblGrid>
            <w:tr w14:paraId="5CC559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2D0C8F5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3049" w:type="dxa"/>
                  <w:noWrap w:val="0"/>
                  <w:vAlign w:val="center"/>
                </w:tcPr>
                <w:p w14:paraId="2EAE4A85">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年评价指标</w:t>
                  </w:r>
                </w:p>
              </w:tc>
              <w:tc>
                <w:tcPr>
                  <w:tcW w:w="1430" w:type="dxa"/>
                  <w:noWrap w:val="0"/>
                  <w:vAlign w:val="center"/>
                </w:tcPr>
                <w:p w14:paraId="45CF1972">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现状浓度（μg/m³）</w:t>
                  </w:r>
                </w:p>
              </w:tc>
              <w:tc>
                <w:tcPr>
                  <w:tcW w:w="1120" w:type="dxa"/>
                  <w:noWrap w:val="0"/>
                  <w:vAlign w:val="center"/>
                </w:tcPr>
                <w:p w14:paraId="2D9BC0C8">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标准值（μg/m³）</w:t>
                  </w:r>
                </w:p>
              </w:tc>
              <w:tc>
                <w:tcPr>
                  <w:tcW w:w="839" w:type="dxa"/>
                  <w:noWrap w:val="0"/>
                  <w:vAlign w:val="center"/>
                </w:tcPr>
                <w:p w14:paraId="185FD03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占标率%</w:t>
                  </w:r>
                </w:p>
              </w:tc>
              <w:tc>
                <w:tcPr>
                  <w:tcW w:w="1034" w:type="dxa"/>
                  <w:noWrap w:val="0"/>
                  <w:vAlign w:val="center"/>
                </w:tcPr>
                <w:p w14:paraId="21657E1B">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达标情况</w:t>
                  </w:r>
                </w:p>
              </w:tc>
            </w:tr>
            <w:tr w14:paraId="236984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35353313">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3049" w:type="dxa"/>
                  <w:vMerge w:val="restart"/>
                  <w:noWrap w:val="0"/>
                  <w:vAlign w:val="center"/>
                </w:tcPr>
                <w:p w14:paraId="354ABC79">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430" w:type="dxa"/>
                  <w:noWrap w:val="0"/>
                  <w:vAlign w:val="center"/>
                </w:tcPr>
                <w:p w14:paraId="7CCBE279">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7.32</w:t>
                  </w:r>
                </w:p>
              </w:tc>
              <w:tc>
                <w:tcPr>
                  <w:tcW w:w="1120" w:type="dxa"/>
                  <w:noWrap w:val="0"/>
                  <w:vAlign w:val="center"/>
                </w:tcPr>
                <w:p w14:paraId="77859999">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839" w:type="dxa"/>
                  <w:noWrap w:val="0"/>
                  <w:vAlign w:val="center"/>
                </w:tcPr>
                <w:p w14:paraId="7C65B225">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12.2 </w:t>
                  </w:r>
                </w:p>
              </w:tc>
              <w:tc>
                <w:tcPr>
                  <w:tcW w:w="1034" w:type="dxa"/>
                  <w:noWrap w:val="0"/>
                  <w:vAlign w:val="center"/>
                </w:tcPr>
                <w:p w14:paraId="7CDFC96C">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217D75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3732EE91">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3049" w:type="dxa"/>
                  <w:vMerge w:val="continue"/>
                  <w:noWrap w:val="0"/>
                  <w:vAlign w:val="center"/>
                </w:tcPr>
                <w:p w14:paraId="7E816D18">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p>
              </w:tc>
              <w:tc>
                <w:tcPr>
                  <w:tcW w:w="1430" w:type="dxa"/>
                  <w:noWrap w:val="0"/>
                  <w:vAlign w:val="center"/>
                </w:tcPr>
                <w:p w14:paraId="2C7450D8">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14.52</w:t>
                  </w:r>
                </w:p>
              </w:tc>
              <w:tc>
                <w:tcPr>
                  <w:tcW w:w="1120" w:type="dxa"/>
                  <w:noWrap w:val="0"/>
                  <w:vAlign w:val="center"/>
                </w:tcPr>
                <w:p w14:paraId="2A5220CC">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839" w:type="dxa"/>
                  <w:noWrap w:val="0"/>
                  <w:vAlign w:val="center"/>
                </w:tcPr>
                <w:p w14:paraId="1B9A128B">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36.3 </w:t>
                  </w:r>
                </w:p>
              </w:tc>
              <w:tc>
                <w:tcPr>
                  <w:tcW w:w="1034" w:type="dxa"/>
                  <w:noWrap w:val="0"/>
                  <w:vAlign w:val="center"/>
                </w:tcPr>
                <w:p w14:paraId="478CEF74">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236EB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37734F9D">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3049" w:type="dxa"/>
                  <w:vMerge w:val="continue"/>
                  <w:noWrap w:val="0"/>
                  <w:vAlign w:val="center"/>
                </w:tcPr>
                <w:p w14:paraId="6C6EEE34">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p>
              </w:tc>
              <w:tc>
                <w:tcPr>
                  <w:tcW w:w="1430" w:type="dxa"/>
                  <w:noWrap w:val="0"/>
                  <w:vAlign w:val="center"/>
                </w:tcPr>
                <w:p w14:paraId="15C51BB0">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35.19</w:t>
                  </w:r>
                </w:p>
              </w:tc>
              <w:tc>
                <w:tcPr>
                  <w:tcW w:w="1120" w:type="dxa"/>
                  <w:noWrap w:val="0"/>
                  <w:vAlign w:val="center"/>
                </w:tcPr>
                <w:p w14:paraId="51D3DEB1">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839" w:type="dxa"/>
                  <w:noWrap w:val="0"/>
                  <w:vAlign w:val="center"/>
                </w:tcPr>
                <w:p w14:paraId="5BCE585E">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58.7 </w:t>
                  </w:r>
                </w:p>
              </w:tc>
              <w:tc>
                <w:tcPr>
                  <w:tcW w:w="1034" w:type="dxa"/>
                  <w:noWrap w:val="0"/>
                  <w:vAlign w:val="center"/>
                </w:tcPr>
                <w:p w14:paraId="68D14DFF">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CDB8B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0C0C7E93">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3049" w:type="dxa"/>
                  <w:vMerge w:val="continue"/>
                  <w:noWrap w:val="0"/>
                  <w:vAlign w:val="center"/>
                </w:tcPr>
                <w:p w14:paraId="20169A97">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rPr>
                  </w:pPr>
                </w:p>
              </w:tc>
              <w:tc>
                <w:tcPr>
                  <w:tcW w:w="1430" w:type="dxa"/>
                  <w:noWrap w:val="0"/>
                  <w:vAlign w:val="center"/>
                </w:tcPr>
                <w:p w14:paraId="44BD9614">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19.11</w:t>
                  </w:r>
                </w:p>
              </w:tc>
              <w:tc>
                <w:tcPr>
                  <w:tcW w:w="1120" w:type="dxa"/>
                  <w:noWrap w:val="0"/>
                  <w:vAlign w:val="center"/>
                </w:tcPr>
                <w:p w14:paraId="43BFFC08">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839" w:type="dxa"/>
                  <w:noWrap w:val="0"/>
                  <w:vAlign w:val="center"/>
                </w:tcPr>
                <w:p w14:paraId="3A9D86DD">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63.7 </w:t>
                  </w:r>
                </w:p>
              </w:tc>
              <w:tc>
                <w:tcPr>
                  <w:tcW w:w="1034" w:type="dxa"/>
                  <w:noWrap w:val="0"/>
                  <w:vAlign w:val="center"/>
                </w:tcPr>
                <w:p w14:paraId="47C1523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274EA0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2041AD00">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3049" w:type="dxa"/>
                  <w:noWrap w:val="0"/>
                  <w:vAlign w:val="center"/>
                </w:tcPr>
                <w:p w14:paraId="5F163DDF">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24小时平均第98百分位数</w:t>
                  </w:r>
                </w:p>
              </w:tc>
              <w:tc>
                <w:tcPr>
                  <w:tcW w:w="1430" w:type="dxa"/>
                  <w:noWrap w:val="0"/>
                  <w:vAlign w:val="center"/>
                </w:tcPr>
                <w:p w14:paraId="01C2DFE8">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1120" w:type="dxa"/>
                  <w:noWrap w:val="0"/>
                  <w:vAlign w:val="center"/>
                </w:tcPr>
                <w:p w14:paraId="3599F6A3">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w:t>
                  </w:r>
                </w:p>
              </w:tc>
              <w:tc>
                <w:tcPr>
                  <w:tcW w:w="839" w:type="dxa"/>
                  <w:noWrap w:val="0"/>
                  <w:vAlign w:val="center"/>
                </w:tcPr>
                <w:p w14:paraId="4815C4AD">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8.0 </w:t>
                  </w:r>
                </w:p>
              </w:tc>
              <w:tc>
                <w:tcPr>
                  <w:tcW w:w="1034" w:type="dxa"/>
                  <w:noWrap w:val="0"/>
                  <w:vAlign w:val="center"/>
                </w:tcPr>
                <w:p w14:paraId="717C2CAB">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179B08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0970ACCD">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3049" w:type="dxa"/>
                  <w:noWrap w:val="0"/>
                  <w:vAlign w:val="center"/>
                </w:tcPr>
                <w:p w14:paraId="2A17880A">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24小时平均第98百分位数</w:t>
                  </w:r>
                </w:p>
              </w:tc>
              <w:tc>
                <w:tcPr>
                  <w:tcW w:w="1430" w:type="dxa"/>
                  <w:noWrap w:val="0"/>
                  <w:vAlign w:val="center"/>
                </w:tcPr>
                <w:p w14:paraId="5941644E">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24.86</w:t>
                  </w:r>
                </w:p>
              </w:tc>
              <w:tc>
                <w:tcPr>
                  <w:tcW w:w="1120" w:type="dxa"/>
                  <w:noWrap w:val="0"/>
                  <w:vAlign w:val="center"/>
                </w:tcPr>
                <w:p w14:paraId="59AEBD9F">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839" w:type="dxa"/>
                  <w:noWrap w:val="0"/>
                  <w:vAlign w:val="center"/>
                </w:tcPr>
                <w:p w14:paraId="46014EB0">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31.1 </w:t>
                  </w:r>
                </w:p>
              </w:tc>
              <w:tc>
                <w:tcPr>
                  <w:tcW w:w="1034" w:type="dxa"/>
                  <w:noWrap w:val="0"/>
                  <w:vAlign w:val="center"/>
                </w:tcPr>
                <w:p w14:paraId="37A2B87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1721D1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10C5BEAE">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3049" w:type="dxa"/>
                  <w:noWrap w:val="0"/>
                  <w:vAlign w:val="center"/>
                </w:tcPr>
                <w:p w14:paraId="229782E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24小时平均第95百分位数</w:t>
                  </w:r>
                </w:p>
              </w:tc>
              <w:tc>
                <w:tcPr>
                  <w:tcW w:w="1430" w:type="dxa"/>
                  <w:noWrap w:val="0"/>
                  <w:vAlign w:val="center"/>
                </w:tcPr>
                <w:p w14:paraId="12AAC8A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70.15</w:t>
                  </w:r>
                </w:p>
              </w:tc>
              <w:tc>
                <w:tcPr>
                  <w:tcW w:w="1120" w:type="dxa"/>
                  <w:noWrap w:val="0"/>
                  <w:vAlign w:val="center"/>
                </w:tcPr>
                <w:p w14:paraId="152B0DCE">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120</w:t>
                  </w:r>
                </w:p>
              </w:tc>
              <w:tc>
                <w:tcPr>
                  <w:tcW w:w="839" w:type="dxa"/>
                  <w:noWrap w:val="0"/>
                  <w:vAlign w:val="center"/>
                </w:tcPr>
                <w:p w14:paraId="6FEEFE64">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58.5 </w:t>
                  </w:r>
                </w:p>
              </w:tc>
              <w:tc>
                <w:tcPr>
                  <w:tcW w:w="1034" w:type="dxa"/>
                  <w:noWrap w:val="0"/>
                  <w:vAlign w:val="center"/>
                </w:tcPr>
                <w:p w14:paraId="37553E9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33E840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4EFB7D7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3049" w:type="dxa"/>
                  <w:noWrap w:val="0"/>
                  <w:vAlign w:val="center"/>
                </w:tcPr>
                <w:p w14:paraId="2B9A5CC4">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24小时平均第95百分位数</w:t>
                  </w:r>
                </w:p>
              </w:tc>
              <w:tc>
                <w:tcPr>
                  <w:tcW w:w="1430" w:type="dxa"/>
                  <w:noWrap w:val="0"/>
                  <w:vAlign w:val="center"/>
                </w:tcPr>
                <w:p w14:paraId="6919CCAD">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42.3</w:t>
                  </w:r>
                </w:p>
              </w:tc>
              <w:tc>
                <w:tcPr>
                  <w:tcW w:w="1120" w:type="dxa"/>
                  <w:noWrap w:val="0"/>
                  <w:vAlign w:val="center"/>
                </w:tcPr>
                <w:p w14:paraId="16413359">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839" w:type="dxa"/>
                  <w:noWrap w:val="0"/>
                  <w:vAlign w:val="center"/>
                </w:tcPr>
                <w:p w14:paraId="675FF61A">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70.5 </w:t>
                  </w:r>
                </w:p>
              </w:tc>
              <w:tc>
                <w:tcPr>
                  <w:tcW w:w="1034" w:type="dxa"/>
                  <w:noWrap w:val="0"/>
                  <w:vAlign w:val="center"/>
                </w:tcPr>
                <w:p w14:paraId="77906510">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28B930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6B3AEE83">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3049" w:type="dxa"/>
                  <w:noWrap w:val="0"/>
                  <w:vAlign w:val="center"/>
                </w:tcPr>
                <w:p w14:paraId="1A071EE9">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最大8小时平均第90百分位数</w:t>
                  </w:r>
                </w:p>
              </w:tc>
              <w:tc>
                <w:tcPr>
                  <w:tcW w:w="1430" w:type="dxa"/>
                  <w:noWrap w:val="0"/>
                  <w:vAlign w:val="center"/>
                </w:tcPr>
                <w:p w14:paraId="4367AC25">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131</w:t>
                  </w:r>
                </w:p>
              </w:tc>
              <w:tc>
                <w:tcPr>
                  <w:tcW w:w="1120" w:type="dxa"/>
                  <w:noWrap w:val="0"/>
                  <w:vAlign w:val="center"/>
                </w:tcPr>
                <w:p w14:paraId="069FA2FB">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160</w:t>
                  </w:r>
                </w:p>
              </w:tc>
              <w:tc>
                <w:tcPr>
                  <w:tcW w:w="839" w:type="dxa"/>
                  <w:noWrap w:val="0"/>
                  <w:vAlign w:val="center"/>
                </w:tcPr>
                <w:p w14:paraId="61257F8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81.9 </w:t>
                  </w:r>
                </w:p>
              </w:tc>
              <w:tc>
                <w:tcPr>
                  <w:tcW w:w="1034" w:type="dxa"/>
                  <w:noWrap w:val="0"/>
                  <w:vAlign w:val="center"/>
                </w:tcPr>
                <w:p w14:paraId="697050E9">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5EF2A7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948" w:type="dxa"/>
                  <w:noWrap w:val="0"/>
                  <w:vAlign w:val="center"/>
                </w:tcPr>
                <w:p w14:paraId="52F5A12F">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3049" w:type="dxa"/>
                  <w:noWrap w:val="0"/>
                  <w:vAlign w:val="center"/>
                </w:tcPr>
                <w:p w14:paraId="63A26B63">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24小时平均第95百分位数</w:t>
                  </w:r>
                </w:p>
              </w:tc>
              <w:tc>
                <w:tcPr>
                  <w:tcW w:w="1430" w:type="dxa"/>
                  <w:noWrap w:val="0"/>
                  <w:vAlign w:val="center"/>
                </w:tcPr>
                <w:p w14:paraId="62F2F2C6">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1.3</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1120" w:type="dxa"/>
                  <w:noWrap w:val="0"/>
                  <w:vAlign w:val="center"/>
                </w:tcPr>
                <w:p w14:paraId="125368A0">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（mg/m³）</w:t>
                  </w:r>
                </w:p>
              </w:tc>
              <w:tc>
                <w:tcPr>
                  <w:tcW w:w="839" w:type="dxa"/>
                  <w:noWrap w:val="0"/>
                  <w:vAlign w:val="center"/>
                </w:tcPr>
                <w:p w14:paraId="321850EA">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32.5 </w:t>
                  </w:r>
                </w:p>
              </w:tc>
              <w:tc>
                <w:tcPr>
                  <w:tcW w:w="1034" w:type="dxa"/>
                  <w:noWrap w:val="0"/>
                  <w:vAlign w:val="center"/>
                </w:tcPr>
                <w:p w14:paraId="3B304207">
                  <w:pPr>
                    <w:pStyle w:val="8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3ACFC65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val="en-US" w:eastAsia="zh-CN" w:bidi="ar"/>
              </w:rPr>
              <w:t>根据上表可知，2025年寻甸县环境空气质量满足《环境空气质量标准》（GB3095-2026）表1中过渡阶段二级标准，故项目所在区域属环境空气质量达标区。</w:t>
            </w:r>
          </w:p>
          <w:p w14:paraId="04E3EB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②特征因子</w:t>
            </w:r>
          </w:p>
          <w:p w14:paraId="73662FD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yellow"/>
                <w:lang w:val="en-US" w:eastAsia="zh-CN"/>
              </w:rPr>
            </w:pPr>
            <w:r>
              <w:rPr>
                <w:rFonts w:hint="default" w:ascii="Times New Roman" w:hAnsi="Times New Roman" w:eastAsia="宋体" w:cs="Times New Roman"/>
                <w:color w:val="auto"/>
                <w:sz w:val="24"/>
                <w:highlight w:val="none"/>
              </w:rPr>
              <w:t>项目特征污染物</w:t>
            </w:r>
            <w:r>
              <w:rPr>
                <w:rFonts w:hint="default" w:ascii="Times New Roman" w:hAnsi="Times New Roman" w:eastAsia="宋体" w:cs="Times New Roman"/>
                <w:color w:val="auto"/>
                <w:sz w:val="24"/>
                <w:highlight w:val="none"/>
                <w:lang w:val="en-US" w:eastAsia="zh-CN"/>
              </w:rPr>
              <w:t>为</w:t>
            </w:r>
            <w:r>
              <w:rPr>
                <w:rFonts w:hint="default"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color w:val="auto"/>
                <w:sz w:val="24"/>
                <w:highlight w:val="none"/>
                <w:lang w:val="en-US" w:eastAsia="zh-CN"/>
              </w:rPr>
              <w:t>和非甲烷总烃，</w:t>
            </w:r>
            <w:r>
              <w:rPr>
                <w:rFonts w:hint="default"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color w:val="auto"/>
                <w:sz w:val="24"/>
                <w:highlight w:val="none"/>
                <w:lang w:val="en-US" w:eastAsia="zh-CN"/>
              </w:rPr>
              <w:t>执行</w:t>
            </w:r>
            <w:r>
              <w:rPr>
                <w:rFonts w:hint="default" w:ascii="Times New Roman" w:hAnsi="Times New Roman" w:eastAsia="宋体" w:cs="Times New Roman"/>
                <w:color w:val="auto"/>
                <w:sz w:val="24"/>
                <w:highlight w:val="none"/>
              </w:rPr>
              <w:t>《环境空气质量标准》（GB3095-2026）表</w:t>
            </w:r>
            <w:r>
              <w:rPr>
                <w:rFonts w:hint="default" w:ascii="Times New Roman" w:hAnsi="Times New Roman" w:eastAsia="宋体" w:cs="Times New Roman"/>
                <w:color w:val="auto"/>
                <w:sz w:val="24"/>
                <w:highlight w:val="none"/>
                <w:lang w:val="en-US" w:eastAsia="zh-CN"/>
              </w:rPr>
              <w:t>2中</w:t>
            </w:r>
            <w:r>
              <w:rPr>
                <w:rFonts w:hint="default" w:ascii="Times New Roman" w:hAnsi="Times New Roman" w:eastAsia="宋体" w:cs="Times New Roman"/>
                <w:color w:val="auto"/>
                <w:sz w:val="24"/>
                <w:highlight w:val="none"/>
              </w:rPr>
              <w:t>二级标准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非甲烷总烃执行</w:t>
            </w:r>
            <w:r>
              <w:rPr>
                <w:rFonts w:hint="default" w:ascii="Times New Roman" w:hAnsi="Times New Roman" w:eastAsia="宋体" w:cs="Times New Roman"/>
                <w:color w:val="auto"/>
                <w:sz w:val="24"/>
                <w:szCs w:val="24"/>
                <w:highlight w:val="none"/>
              </w:rPr>
              <w:t>《大气污染物综合排放标准详解》中的</w:t>
            </w:r>
            <w:r>
              <w:rPr>
                <w:rFonts w:hint="eastAsia" w:cs="Times New Roman"/>
                <w:color w:val="auto"/>
                <w:sz w:val="24"/>
                <w:szCs w:val="24"/>
                <w:highlight w:val="none"/>
                <w:lang w:val="en-US" w:eastAsia="zh-CN"/>
              </w:rPr>
              <w:t>推荐</w:t>
            </w:r>
            <w:r>
              <w:rPr>
                <w:rFonts w:hint="default" w:ascii="Times New Roman" w:hAnsi="Times New Roman" w:eastAsia="宋体" w:cs="Times New Roman"/>
                <w:b w:val="0"/>
                <w:bCs w:val="0"/>
                <w:color w:val="auto"/>
                <w:sz w:val="24"/>
                <w:szCs w:val="24"/>
                <w:highlight w:val="none"/>
                <w:lang w:val="en-US" w:eastAsia="zh-CN"/>
              </w:rPr>
              <w:t>限值</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rPr>
              <w:t>根据《建设项目环境影响报告表编制技术指南（污染影响类）</w:t>
            </w:r>
            <w:r>
              <w:rPr>
                <w:rFonts w:hint="eastAsia" w:cs="Times New Roman"/>
                <w:color w:val="auto"/>
                <w:sz w:val="24"/>
                <w:lang w:eastAsia="zh-CN"/>
              </w:rPr>
              <w:t>（试行）》</w:t>
            </w:r>
            <w:r>
              <w:rPr>
                <w:rFonts w:hint="default" w:ascii="Times New Roman" w:hAnsi="Times New Roman" w:eastAsia="宋体" w:cs="Times New Roman"/>
                <w:color w:val="auto"/>
                <w:sz w:val="24"/>
              </w:rPr>
              <w:t>，排放国家、地方环境空气质量标准中有标准限值要求的特征污染物时，引用建设项目周边5千米范围内近3年的现有监测数据。</w:t>
            </w:r>
          </w:p>
          <w:p w14:paraId="7160E29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highlight w:val="yellow"/>
                <w:lang w:val="en-US" w:eastAsia="zh-CN"/>
              </w:rPr>
            </w:pPr>
            <w:r>
              <w:rPr>
                <w:rFonts w:hint="default" w:ascii="Times New Roman" w:hAnsi="Times New Roman" w:eastAsia="宋体" w:cs="Times New Roman"/>
                <w:b/>
                <w:bCs/>
                <w:color w:val="auto"/>
                <w:kern w:val="0"/>
                <w:sz w:val="24"/>
                <w:lang w:bidi="ar"/>
              </w:rPr>
              <w:t>TSP、非甲烷总烃</w:t>
            </w:r>
            <w:r>
              <w:rPr>
                <w:rFonts w:hint="default" w:ascii="Times New Roman" w:hAnsi="Times New Roman" w:eastAsia="宋体" w:cs="Times New Roman"/>
                <w:b/>
                <w:bCs/>
                <w:color w:val="auto"/>
                <w:kern w:val="0"/>
                <w:sz w:val="24"/>
                <w:lang w:eastAsia="zh-CN" w:bidi="ar"/>
              </w:rPr>
              <w:t>：</w:t>
            </w:r>
            <w:r>
              <w:rPr>
                <w:rFonts w:hint="default" w:ascii="Times New Roman" w:hAnsi="Times New Roman" w:eastAsia="宋体" w:cs="Times New Roman"/>
                <w:color w:val="auto"/>
                <w:kern w:val="0"/>
                <w:sz w:val="24"/>
                <w:szCs w:val="24"/>
                <w:lang w:val="en-US" w:eastAsia="zh-CN" w:bidi="ar"/>
              </w:rPr>
              <w:t>现状数据引用《寻甸县三月三塑料制品经营部</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个体工商户</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果蔬筐生产及销售项目环境影响报告书》中委托云南鼎祺检测有限公司于</w:t>
            </w:r>
            <w:r>
              <w:rPr>
                <w:rFonts w:hint="eastAsia" w:cs="Times New Roman"/>
                <w:color w:val="auto"/>
                <w:kern w:val="0"/>
                <w:sz w:val="24"/>
                <w:szCs w:val="24"/>
                <w:lang w:val="en-US" w:eastAsia="zh-CN" w:bidi="ar"/>
              </w:rPr>
              <w:t>2026年7月13日-</w:t>
            </w:r>
            <w:r>
              <w:rPr>
                <w:rFonts w:hint="default" w:ascii="Times New Roman" w:hAnsi="Times New Roman" w:eastAsia="宋体" w:cs="Times New Roman"/>
                <w:color w:val="auto"/>
                <w:kern w:val="0"/>
                <w:sz w:val="24"/>
                <w:szCs w:val="24"/>
                <w:lang w:val="en-US" w:eastAsia="zh-CN" w:bidi="ar"/>
              </w:rPr>
              <w:t>20日对三月三村非甲烷总烃、TSP进行了现状质量监测（见附件</w:t>
            </w:r>
            <w:r>
              <w:rPr>
                <w:rFonts w:hint="eastAsia" w:cs="Times New Roman"/>
                <w:color w:val="auto"/>
                <w:kern w:val="0"/>
                <w:sz w:val="24"/>
                <w:szCs w:val="24"/>
                <w:lang w:val="en-US" w:eastAsia="zh-CN" w:bidi="ar"/>
              </w:rPr>
              <w:t>10</w:t>
            </w:r>
            <w:r>
              <w:rPr>
                <w:rFonts w:hint="default" w:ascii="Times New Roman" w:hAnsi="Times New Roman" w:eastAsia="宋体" w:cs="Times New Roman"/>
                <w:color w:val="auto"/>
                <w:kern w:val="0"/>
                <w:sz w:val="24"/>
                <w:szCs w:val="24"/>
                <w:lang w:val="en-US" w:eastAsia="zh-CN" w:bidi="ar"/>
              </w:rPr>
              <w:t>）。三月三村监测点位于本项目东南方向 480</w:t>
            </w:r>
            <w:r>
              <w:rPr>
                <w:rFonts w:hint="eastAsia" w:cs="Times New Roman"/>
                <w:color w:val="auto"/>
                <w:kern w:val="0"/>
                <w:sz w:val="24"/>
                <w:szCs w:val="24"/>
                <w:lang w:val="en-US" w:eastAsia="zh-CN" w:bidi="ar"/>
              </w:rPr>
              <w:t>8.97</w:t>
            </w:r>
            <w:r>
              <w:rPr>
                <w:rFonts w:hint="default" w:ascii="Times New Roman" w:hAnsi="Times New Roman" w:eastAsia="宋体" w:cs="Times New Roman"/>
                <w:color w:val="auto"/>
                <w:kern w:val="0"/>
                <w:sz w:val="24"/>
                <w:szCs w:val="24"/>
                <w:lang w:val="en-US" w:eastAsia="zh-CN" w:bidi="ar"/>
              </w:rPr>
              <w:t>m 处，与引用监测点位位置关系示意图见下图3-1。因此，引用《寻甸县三月三塑料制品经营部</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个体工商户</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果蔬筐生产及销售项目环境影响报告书》中的环境空气质量现状监测数据可行。引用监测数据结果见下表3-2。</w:t>
            </w:r>
          </w:p>
          <w:p w14:paraId="7FC6AD38">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表3</w:t>
            </w:r>
            <w:r>
              <w:rPr>
                <w:rFonts w:hint="default" w:ascii="Times New Roman" w:hAnsi="Times New Roman" w:eastAsia="宋体" w:cs="Times New Roman"/>
                <w:b/>
                <w:bCs/>
                <w:color w:val="auto"/>
                <w:sz w:val="21"/>
                <w:szCs w:val="21"/>
                <w:highlight w:val="none"/>
                <w:lang w:val="en-US" w:eastAsia="zh-CN"/>
              </w:rPr>
              <w:noBreakHyphen/>
            </w:r>
            <w:r>
              <w:rPr>
                <w:rFonts w:hint="default" w:ascii="Times New Roman" w:hAnsi="Times New Roman" w:eastAsia="宋体" w:cs="Times New Roman"/>
                <w:b/>
                <w:bCs/>
                <w:color w:val="auto"/>
                <w:sz w:val="21"/>
                <w:szCs w:val="21"/>
                <w:highlight w:val="none"/>
                <w:lang w:val="en-US" w:eastAsia="zh-CN"/>
              </w:rPr>
              <w:t>2  引用大气环境质量现状监测结果一览表（颗粒物）</w:t>
            </w:r>
          </w:p>
          <w:tbl>
            <w:tblPr>
              <w:tblStyle w:val="37"/>
              <w:tblW w:w="83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132"/>
              <w:gridCol w:w="1730"/>
              <w:gridCol w:w="1305"/>
              <w:gridCol w:w="1125"/>
              <w:gridCol w:w="1140"/>
              <w:gridCol w:w="804"/>
            </w:tblGrid>
            <w:tr w14:paraId="623D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noWrap w:val="0"/>
                  <w:vAlign w:val="center"/>
                </w:tcPr>
                <w:p w14:paraId="4990DF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监测点位</w:t>
                  </w:r>
                </w:p>
              </w:tc>
              <w:tc>
                <w:tcPr>
                  <w:tcW w:w="1132" w:type="dxa"/>
                  <w:noWrap w:val="0"/>
                  <w:vAlign w:val="center"/>
                </w:tcPr>
                <w:p w14:paraId="5E69DA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lang w:eastAsia="zh-CN"/>
                    </w:rPr>
                    <w:t>分析项目</w:t>
                  </w:r>
                </w:p>
              </w:tc>
              <w:tc>
                <w:tcPr>
                  <w:tcW w:w="1730" w:type="dxa"/>
                  <w:noWrap w:val="0"/>
                  <w:vAlign w:val="center"/>
                </w:tcPr>
                <w:p w14:paraId="094D213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vertAlign w:val="baseline"/>
                      <w:lang w:val="en-US" w:eastAsia="zh-CN"/>
                    </w:rPr>
                    <w:t>采样日期</w:t>
                  </w:r>
                </w:p>
              </w:tc>
              <w:tc>
                <w:tcPr>
                  <w:tcW w:w="1305" w:type="dxa"/>
                  <w:noWrap w:val="0"/>
                  <w:vAlign w:val="center"/>
                </w:tcPr>
                <w:p w14:paraId="147DFC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vertAlign w:val="baseline"/>
                      <w:lang w:val="en-US" w:eastAsia="zh-CN"/>
                    </w:rPr>
                    <w:t>采样时间</w:t>
                  </w:r>
                </w:p>
              </w:tc>
              <w:tc>
                <w:tcPr>
                  <w:tcW w:w="1125" w:type="dxa"/>
                  <w:noWrap w:val="0"/>
                  <w:vAlign w:val="center"/>
                </w:tcPr>
                <w:p w14:paraId="1EA2B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05" w:leftChars="-50" w:right="-105" w:rightChars="-5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监测结果</w:t>
                  </w:r>
                  <w:r>
                    <w:rPr>
                      <w:rFonts w:hint="default" w:ascii="Times New Roman" w:hAnsi="Times New Roman" w:eastAsia="宋体" w:cs="Times New Roman"/>
                      <w:b/>
                      <w:bCs/>
                      <w:color w:val="auto"/>
                      <w:sz w:val="21"/>
                      <w:szCs w:val="21"/>
                      <w:highlight w:val="none"/>
                      <w:lang w:val="en-US" w:eastAsia="zh-CN"/>
                    </w:rPr>
                    <w:t>（µg/m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w:t>
                  </w:r>
                </w:p>
              </w:tc>
              <w:tc>
                <w:tcPr>
                  <w:tcW w:w="1140" w:type="dxa"/>
                  <w:noWrap w:val="0"/>
                  <w:vAlign w:val="center"/>
                </w:tcPr>
                <w:p w14:paraId="77EFC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05" w:leftChars="-50" w:right="-105" w:rightChars="-5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标准限值</w:t>
                  </w:r>
                  <w:r>
                    <w:rPr>
                      <w:rFonts w:hint="default" w:ascii="Times New Roman" w:hAnsi="Times New Roman" w:eastAsia="宋体" w:cs="Times New Roman"/>
                      <w:b/>
                      <w:bCs/>
                      <w:color w:val="auto"/>
                      <w:sz w:val="21"/>
                      <w:szCs w:val="21"/>
                      <w:highlight w:val="none"/>
                      <w:lang w:val="en-US" w:eastAsia="zh-CN"/>
                    </w:rPr>
                    <w:t>（µg/m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w:t>
                  </w:r>
                </w:p>
              </w:tc>
              <w:tc>
                <w:tcPr>
                  <w:tcW w:w="804" w:type="dxa"/>
                  <w:noWrap w:val="0"/>
                  <w:vAlign w:val="center"/>
                </w:tcPr>
                <w:p w14:paraId="29D966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达标情况</w:t>
                  </w:r>
                </w:p>
              </w:tc>
            </w:tr>
            <w:tr w14:paraId="2071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restart"/>
                  <w:noWrap w:val="0"/>
                  <w:vAlign w:val="center"/>
                </w:tcPr>
                <w:p w14:paraId="38526D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lang w:val="en-US" w:eastAsia="zh-CN"/>
                    </w:rPr>
                    <w:t>三月三村</w:t>
                  </w:r>
                </w:p>
              </w:tc>
              <w:tc>
                <w:tcPr>
                  <w:tcW w:w="1132" w:type="dxa"/>
                  <w:vMerge w:val="restart"/>
                  <w:noWrap w:val="0"/>
                  <w:vAlign w:val="center"/>
                </w:tcPr>
                <w:p w14:paraId="45BA4B4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总悬浮颗粒物</w:t>
                  </w:r>
                </w:p>
              </w:tc>
              <w:tc>
                <w:tcPr>
                  <w:tcW w:w="1730" w:type="dxa"/>
                  <w:noWrap w:val="0"/>
                  <w:vAlign w:val="center"/>
                </w:tcPr>
                <w:p w14:paraId="33516E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0"/>
                      <w:szCs w:val="20"/>
                      <w:highlight w:val="none"/>
                      <w:lang w:val="en-US" w:eastAsia="zh-CN" w:bidi="ar"/>
                    </w:rPr>
                    <w:t>2026 年 07 月 13 日~14 日</w:t>
                  </w:r>
                </w:p>
              </w:tc>
              <w:tc>
                <w:tcPr>
                  <w:tcW w:w="1305" w:type="dxa"/>
                  <w:noWrap w:val="0"/>
                  <w:vAlign w:val="center"/>
                </w:tcPr>
                <w:p w14:paraId="36EA36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0"/>
                      <w:szCs w:val="20"/>
                      <w:highlight w:val="none"/>
                      <w:lang w:val="en-US" w:eastAsia="zh-CN" w:bidi="ar"/>
                    </w:rPr>
                    <w:t>00:00~次日00:00</w:t>
                  </w:r>
                </w:p>
              </w:tc>
              <w:tc>
                <w:tcPr>
                  <w:tcW w:w="1125" w:type="dxa"/>
                  <w:noWrap w:val="0"/>
                  <w:vAlign w:val="center"/>
                </w:tcPr>
                <w:p w14:paraId="5A010507">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138</w:t>
                  </w:r>
                </w:p>
              </w:tc>
              <w:tc>
                <w:tcPr>
                  <w:tcW w:w="1140" w:type="dxa"/>
                  <w:noWrap w:val="0"/>
                  <w:vAlign w:val="center"/>
                </w:tcPr>
                <w:p w14:paraId="7D1FF7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51B7F5D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r w14:paraId="37E8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continue"/>
                  <w:noWrap w:val="0"/>
                  <w:vAlign w:val="center"/>
                </w:tcPr>
                <w:p w14:paraId="18A73B5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132" w:type="dxa"/>
                  <w:vMerge w:val="continue"/>
                  <w:noWrap w:val="0"/>
                  <w:vAlign w:val="center"/>
                </w:tcPr>
                <w:p w14:paraId="5B011B4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730" w:type="dxa"/>
                  <w:noWrap w:val="0"/>
                  <w:vAlign w:val="center"/>
                </w:tcPr>
                <w:p w14:paraId="1E5DBF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0"/>
                      <w:szCs w:val="20"/>
                      <w:highlight w:val="none"/>
                      <w:lang w:val="en-US" w:eastAsia="zh-CN" w:bidi="ar"/>
                    </w:rPr>
                    <w:t>2026 年 07 月 14 日~15 日</w:t>
                  </w:r>
                </w:p>
              </w:tc>
              <w:tc>
                <w:tcPr>
                  <w:tcW w:w="1305" w:type="dxa"/>
                  <w:noWrap w:val="0"/>
                  <w:vAlign w:val="center"/>
                </w:tcPr>
                <w:p w14:paraId="764034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0"/>
                      <w:szCs w:val="20"/>
                      <w:highlight w:val="none"/>
                      <w:lang w:val="en-US" w:eastAsia="zh-CN" w:bidi="ar"/>
                    </w:rPr>
                    <w:t>00:00~次日00:00</w:t>
                  </w:r>
                </w:p>
              </w:tc>
              <w:tc>
                <w:tcPr>
                  <w:tcW w:w="1125" w:type="dxa"/>
                  <w:noWrap w:val="0"/>
                  <w:vAlign w:val="center"/>
                </w:tcPr>
                <w:p w14:paraId="57F7CEE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134</w:t>
                  </w:r>
                </w:p>
              </w:tc>
              <w:tc>
                <w:tcPr>
                  <w:tcW w:w="1140" w:type="dxa"/>
                  <w:noWrap w:val="0"/>
                  <w:vAlign w:val="center"/>
                </w:tcPr>
                <w:p w14:paraId="7927A40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26C2203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r w14:paraId="7F32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continue"/>
                  <w:noWrap w:val="0"/>
                  <w:vAlign w:val="center"/>
                </w:tcPr>
                <w:p w14:paraId="6307F6D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132" w:type="dxa"/>
                  <w:vMerge w:val="continue"/>
                  <w:noWrap w:val="0"/>
                  <w:vAlign w:val="center"/>
                </w:tcPr>
                <w:p w14:paraId="20812F2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730" w:type="dxa"/>
                  <w:noWrap w:val="0"/>
                  <w:vAlign w:val="center"/>
                </w:tcPr>
                <w:p w14:paraId="69DFD1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0"/>
                      <w:szCs w:val="20"/>
                      <w:highlight w:val="none"/>
                      <w:lang w:val="en-US" w:eastAsia="zh-CN" w:bidi="ar"/>
                    </w:rPr>
                    <w:t>2026 年 07 月 15 日~16 日</w:t>
                  </w:r>
                </w:p>
              </w:tc>
              <w:tc>
                <w:tcPr>
                  <w:tcW w:w="1305" w:type="dxa"/>
                  <w:noWrap w:val="0"/>
                  <w:vAlign w:val="center"/>
                </w:tcPr>
                <w:p w14:paraId="38F554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0"/>
                      <w:szCs w:val="20"/>
                      <w:highlight w:val="none"/>
                      <w:lang w:val="en-US" w:eastAsia="zh-CN" w:bidi="ar"/>
                    </w:rPr>
                    <w:t>00:00~次日00:00</w:t>
                  </w:r>
                </w:p>
              </w:tc>
              <w:tc>
                <w:tcPr>
                  <w:tcW w:w="1125" w:type="dxa"/>
                  <w:noWrap w:val="0"/>
                  <w:vAlign w:val="center"/>
                </w:tcPr>
                <w:p w14:paraId="454EC6E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131</w:t>
                  </w:r>
                </w:p>
              </w:tc>
              <w:tc>
                <w:tcPr>
                  <w:tcW w:w="1140" w:type="dxa"/>
                  <w:noWrap w:val="0"/>
                  <w:vAlign w:val="center"/>
                </w:tcPr>
                <w:p w14:paraId="1ABE28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57873B2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r w14:paraId="56F71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continue"/>
                  <w:noWrap w:val="0"/>
                  <w:vAlign w:val="center"/>
                </w:tcPr>
                <w:p w14:paraId="0E6ECBF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132" w:type="dxa"/>
                  <w:vMerge w:val="continue"/>
                  <w:noWrap w:val="0"/>
                  <w:vAlign w:val="center"/>
                </w:tcPr>
                <w:p w14:paraId="7A49231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730" w:type="dxa"/>
                  <w:noWrap w:val="0"/>
                  <w:vAlign w:val="center"/>
                </w:tcPr>
                <w:p w14:paraId="5AE991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0"/>
                      <w:szCs w:val="20"/>
                      <w:highlight w:val="none"/>
                      <w:lang w:val="en-US" w:eastAsia="zh-CN" w:bidi="ar"/>
                    </w:rPr>
                    <w:t>2026 年 07 月 16 日~17 日</w:t>
                  </w:r>
                </w:p>
              </w:tc>
              <w:tc>
                <w:tcPr>
                  <w:tcW w:w="1305" w:type="dxa"/>
                  <w:noWrap w:val="0"/>
                  <w:vAlign w:val="center"/>
                </w:tcPr>
                <w:p w14:paraId="78E48C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0"/>
                      <w:szCs w:val="20"/>
                      <w:highlight w:val="none"/>
                      <w:lang w:val="en-US" w:eastAsia="zh-CN" w:bidi="ar"/>
                    </w:rPr>
                    <w:t>00:00~次日00:00</w:t>
                  </w:r>
                </w:p>
              </w:tc>
              <w:tc>
                <w:tcPr>
                  <w:tcW w:w="1125" w:type="dxa"/>
                  <w:noWrap w:val="0"/>
                  <w:vAlign w:val="center"/>
                </w:tcPr>
                <w:p w14:paraId="5E03441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133</w:t>
                  </w:r>
                </w:p>
              </w:tc>
              <w:tc>
                <w:tcPr>
                  <w:tcW w:w="1140" w:type="dxa"/>
                  <w:noWrap w:val="0"/>
                  <w:vAlign w:val="center"/>
                </w:tcPr>
                <w:p w14:paraId="48751D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5ECA69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r w14:paraId="12BD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continue"/>
                  <w:noWrap w:val="0"/>
                  <w:vAlign w:val="center"/>
                </w:tcPr>
                <w:p w14:paraId="32F91F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132" w:type="dxa"/>
                  <w:vMerge w:val="continue"/>
                  <w:noWrap w:val="0"/>
                  <w:vAlign w:val="center"/>
                </w:tcPr>
                <w:p w14:paraId="026282F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730" w:type="dxa"/>
                  <w:noWrap w:val="0"/>
                  <w:vAlign w:val="center"/>
                </w:tcPr>
                <w:p w14:paraId="0FBE647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0"/>
                      <w:szCs w:val="20"/>
                      <w:highlight w:val="none"/>
                      <w:lang w:val="en-US" w:eastAsia="zh-CN" w:bidi="ar"/>
                    </w:rPr>
                    <w:t>2026 年 07 月 17 日~18 日</w:t>
                  </w:r>
                </w:p>
              </w:tc>
              <w:tc>
                <w:tcPr>
                  <w:tcW w:w="1305" w:type="dxa"/>
                  <w:noWrap w:val="0"/>
                  <w:vAlign w:val="center"/>
                </w:tcPr>
                <w:p w14:paraId="02C45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0"/>
                      <w:szCs w:val="20"/>
                      <w:highlight w:val="none"/>
                      <w:lang w:val="en-US" w:eastAsia="zh-CN" w:bidi="ar"/>
                    </w:rPr>
                    <w:t>00:00~次日00:00</w:t>
                  </w:r>
                </w:p>
              </w:tc>
              <w:tc>
                <w:tcPr>
                  <w:tcW w:w="1125" w:type="dxa"/>
                  <w:noWrap w:val="0"/>
                  <w:vAlign w:val="center"/>
                </w:tcPr>
                <w:p w14:paraId="51C3360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130</w:t>
                  </w:r>
                </w:p>
              </w:tc>
              <w:tc>
                <w:tcPr>
                  <w:tcW w:w="1140" w:type="dxa"/>
                  <w:noWrap w:val="0"/>
                  <w:vAlign w:val="center"/>
                </w:tcPr>
                <w:p w14:paraId="0684E5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7F8D8DA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r w14:paraId="3302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continue"/>
                  <w:noWrap w:val="0"/>
                  <w:vAlign w:val="center"/>
                </w:tcPr>
                <w:p w14:paraId="60B1B9D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132" w:type="dxa"/>
                  <w:vMerge w:val="continue"/>
                  <w:noWrap w:val="0"/>
                  <w:vAlign w:val="center"/>
                </w:tcPr>
                <w:p w14:paraId="7DB37D9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730" w:type="dxa"/>
                  <w:noWrap w:val="0"/>
                  <w:vAlign w:val="center"/>
                </w:tcPr>
                <w:p w14:paraId="2A2BD5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0"/>
                      <w:szCs w:val="20"/>
                      <w:highlight w:val="none"/>
                      <w:lang w:val="en-US" w:eastAsia="zh-CN" w:bidi="ar"/>
                    </w:rPr>
                    <w:t>2026 年 07 月 18 日~19 日</w:t>
                  </w:r>
                </w:p>
              </w:tc>
              <w:tc>
                <w:tcPr>
                  <w:tcW w:w="1305" w:type="dxa"/>
                  <w:noWrap w:val="0"/>
                  <w:vAlign w:val="center"/>
                </w:tcPr>
                <w:p w14:paraId="659B78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 w:val="20"/>
                      <w:szCs w:val="20"/>
                      <w:highlight w:val="none"/>
                      <w:lang w:val="en-US" w:eastAsia="zh-CN" w:bidi="ar"/>
                    </w:rPr>
                    <w:t>00:00~次日00:00</w:t>
                  </w:r>
                </w:p>
              </w:tc>
              <w:tc>
                <w:tcPr>
                  <w:tcW w:w="1125" w:type="dxa"/>
                  <w:noWrap w:val="0"/>
                  <w:vAlign w:val="center"/>
                </w:tcPr>
                <w:p w14:paraId="5A7516F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137</w:t>
                  </w:r>
                </w:p>
              </w:tc>
              <w:tc>
                <w:tcPr>
                  <w:tcW w:w="1140" w:type="dxa"/>
                  <w:noWrap w:val="0"/>
                  <w:vAlign w:val="center"/>
                </w:tcPr>
                <w:p w14:paraId="78AF675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0B3E5CF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r w14:paraId="3338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5" w:type="dxa"/>
                  <w:vMerge w:val="continue"/>
                  <w:noWrap w:val="0"/>
                  <w:vAlign w:val="center"/>
                </w:tcPr>
                <w:p w14:paraId="399D3AE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132" w:type="dxa"/>
                  <w:vMerge w:val="continue"/>
                  <w:noWrap w:val="0"/>
                  <w:vAlign w:val="center"/>
                </w:tcPr>
                <w:p w14:paraId="5237049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730" w:type="dxa"/>
                  <w:noWrap w:val="0"/>
                  <w:vAlign w:val="center"/>
                </w:tcPr>
                <w:p w14:paraId="01BA68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0"/>
                      <w:szCs w:val="20"/>
                      <w:highlight w:val="none"/>
                      <w:lang w:val="en-US" w:eastAsia="zh-CN" w:bidi="ar"/>
                    </w:rPr>
                    <w:t>2026 年 07 月 19 日~20 日</w:t>
                  </w:r>
                </w:p>
              </w:tc>
              <w:tc>
                <w:tcPr>
                  <w:tcW w:w="1305" w:type="dxa"/>
                  <w:noWrap w:val="0"/>
                  <w:vAlign w:val="center"/>
                </w:tcPr>
                <w:p w14:paraId="150D1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000000"/>
                      <w:kern w:val="0"/>
                      <w:sz w:val="20"/>
                      <w:szCs w:val="20"/>
                      <w:highlight w:val="none"/>
                      <w:lang w:val="en-US" w:eastAsia="zh-CN" w:bidi="ar"/>
                    </w:rPr>
                    <w:t>00:00~次日00:00</w:t>
                  </w:r>
                </w:p>
              </w:tc>
              <w:tc>
                <w:tcPr>
                  <w:tcW w:w="1125" w:type="dxa"/>
                  <w:noWrap w:val="0"/>
                  <w:vAlign w:val="center"/>
                </w:tcPr>
                <w:p w14:paraId="38263AE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135</w:t>
                  </w:r>
                </w:p>
              </w:tc>
              <w:tc>
                <w:tcPr>
                  <w:tcW w:w="1140" w:type="dxa"/>
                  <w:noWrap w:val="0"/>
                  <w:vAlign w:val="center"/>
                </w:tcPr>
                <w:p w14:paraId="5E6F3A0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300</w:t>
                  </w:r>
                </w:p>
              </w:tc>
              <w:tc>
                <w:tcPr>
                  <w:tcW w:w="804" w:type="dxa"/>
                  <w:noWrap w:val="0"/>
                  <w:vAlign w:val="center"/>
                </w:tcPr>
                <w:p w14:paraId="145777A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达标</w:t>
                  </w:r>
                </w:p>
              </w:tc>
            </w:tr>
          </w:tbl>
          <w:p w14:paraId="24A51A6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color w:val="auto"/>
                <w:sz w:val="24"/>
                <w:szCs w:val="24"/>
                <w:highlight w:val="none"/>
                <w:lang w:val="en-US" w:eastAsia="zh-CN"/>
              </w:rPr>
              <w:t>根据上表监测结果可知，项目区TSP环境质量现状满足《环境空气质量标准》（GB3095-2026）表2中二级标准要求。</w:t>
            </w:r>
          </w:p>
          <w:p w14:paraId="5A46B05E">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highlight w:val="yellow"/>
                <w:lang w:val="en-US" w:eastAsia="zh-CN"/>
              </w:rPr>
            </w:pPr>
            <w:r>
              <w:rPr>
                <w:rFonts w:hint="default" w:ascii="Times New Roman" w:hAnsi="Times New Roman" w:eastAsia="宋体" w:cs="Times New Roman"/>
                <w:b/>
                <w:bCs/>
                <w:color w:val="auto"/>
                <w:sz w:val="21"/>
                <w:szCs w:val="21"/>
                <w:highlight w:val="none"/>
                <w:lang w:val="en-US" w:eastAsia="zh-CN"/>
              </w:rPr>
              <w:t>表3-3  引用大气环境质量现状监测结果一览表（非甲烷总烃）</w:t>
            </w:r>
          </w:p>
          <w:tbl>
            <w:tblPr>
              <w:tblStyle w:val="36"/>
              <w:tblW w:w="84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995"/>
              <w:gridCol w:w="1541"/>
              <w:gridCol w:w="1468"/>
              <w:gridCol w:w="1140"/>
              <w:gridCol w:w="975"/>
              <w:gridCol w:w="1035"/>
            </w:tblGrid>
            <w:tr w14:paraId="2619E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noWrap w:val="0"/>
                  <w:vAlign w:val="center"/>
                </w:tcPr>
                <w:p w14:paraId="496735A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val="en-US" w:eastAsia="zh-CN"/>
                    </w:rPr>
                    <w:t>监测</w:t>
                  </w:r>
                  <w:r>
                    <w:rPr>
                      <w:rFonts w:hint="default" w:ascii="Times New Roman" w:hAnsi="Times New Roman" w:eastAsia="宋体" w:cs="Times New Roman"/>
                      <w:b/>
                      <w:bCs/>
                      <w:color w:val="auto"/>
                      <w:sz w:val="21"/>
                      <w:szCs w:val="21"/>
                      <w:highlight w:val="none"/>
                      <w:lang w:eastAsia="zh-CN"/>
                    </w:rPr>
                    <w:t>点位</w:t>
                  </w:r>
                </w:p>
              </w:tc>
              <w:tc>
                <w:tcPr>
                  <w:tcW w:w="995" w:type="dxa"/>
                  <w:noWrap w:val="0"/>
                  <w:vAlign w:val="center"/>
                </w:tcPr>
                <w:p w14:paraId="66EE71E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分析项目</w:t>
                  </w:r>
                </w:p>
              </w:tc>
              <w:tc>
                <w:tcPr>
                  <w:tcW w:w="1541" w:type="dxa"/>
                  <w:noWrap w:val="0"/>
                  <w:vAlign w:val="center"/>
                </w:tcPr>
                <w:p w14:paraId="1AAE38D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采样日期</w:t>
                  </w:r>
                </w:p>
              </w:tc>
              <w:tc>
                <w:tcPr>
                  <w:tcW w:w="1468" w:type="dxa"/>
                  <w:noWrap w:val="0"/>
                  <w:vAlign w:val="center"/>
                </w:tcPr>
                <w:p w14:paraId="6815FE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采样时间</w:t>
                  </w:r>
                </w:p>
              </w:tc>
              <w:tc>
                <w:tcPr>
                  <w:tcW w:w="1140" w:type="dxa"/>
                  <w:noWrap w:val="0"/>
                  <w:vAlign w:val="center"/>
                </w:tcPr>
                <w:p w14:paraId="7E25E6C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监测结果（mg/m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w:t>
                  </w:r>
                </w:p>
              </w:tc>
              <w:tc>
                <w:tcPr>
                  <w:tcW w:w="975" w:type="dxa"/>
                  <w:noWrap w:val="0"/>
                  <w:vAlign w:val="center"/>
                </w:tcPr>
                <w:p w14:paraId="4E8D01B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标准值（mg/m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w:t>
                  </w:r>
                </w:p>
              </w:tc>
              <w:tc>
                <w:tcPr>
                  <w:tcW w:w="1035" w:type="dxa"/>
                  <w:noWrap w:val="0"/>
                  <w:vAlign w:val="center"/>
                </w:tcPr>
                <w:p w14:paraId="37945F2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达标情况</w:t>
                  </w:r>
                </w:p>
              </w:tc>
            </w:tr>
            <w:tr w14:paraId="42FEB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restart"/>
                  <w:noWrap w:val="0"/>
                  <w:vAlign w:val="center"/>
                </w:tcPr>
                <w:p w14:paraId="714FEE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三月三村</w:t>
                  </w:r>
                </w:p>
              </w:tc>
              <w:tc>
                <w:tcPr>
                  <w:tcW w:w="995" w:type="dxa"/>
                  <w:vMerge w:val="restart"/>
                  <w:noWrap w:val="0"/>
                  <w:vAlign w:val="center"/>
                </w:tcPr>
                <w:p w14:paraId="6F7BC8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非甲烷总烃</w:t>
                  </w:r>
                </w:p>
              </w:tc>
              <w:tc>
                <w:tcPr>
                  <w:tcW w:w="1541" w:type="dxa"/>
                  <w:vMerge w:val="restart"/>
                  <w:noWrap w:val="0"/>
                  <w:vAlign w:val="center"/>
                </w:tcPr>
                <w:p w14:paraId="206F81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2026年07月13 日</w:t>
                  </w:r>
                </w:p>
              </w:tc>
              <w:tc>
                <w:tcPr>
                  <w:tcW w:w="1468" w:type="dxa"/>
                  <w:noWrap w:val="0"/>
                  <w:vAlign w:val="center"/>
                </w:tcPr>
                <w:p w14:paraId="5D1E3F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3E3C7F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0.42</w:t>
                  </w:r>
                </w:p>
              </w:tc>
              <w:tc>
                <w:tcPr>
                  <w:tcW w:w="975" w:type="dxa"/>
                  <w:noWrap w:val="0"/>
                  <w:vAlign w:val="center"/>
                </w:tcPr>
                <w:p w14:paraId="56F86E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D1100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446DD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21B086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699A8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4F24BC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61A19E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186A8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0.47</w:t>
                  </w:r>
                </w:p>
              </w:tc>
              <w:tc>
                <w:tcPr>
                  <w:tcW w:w="975" w:type="dxa"/>
                  <w:noWrap w:val="0"/>
                  <w:vAlign w:val="center"/>
                </w:tcPr>
                <w:p w14:paraId="61EAF9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676537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761D9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4BCC11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671B1F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5D5199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073AA6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7DC1D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0.46</w:t>
                  </w:r>
                </w:p>
              </w:tc>
              <w:tc>
                <w:tcPr>
                  <w:tcW w:w="975" w:type="dxa"/>
                  <w:noWrap w:val="0"/>
                  <w:vAlign w:val="center"/>
                </w:tcPr>
                <w:p w14:paraId="227A41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BD392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18FBC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7CDD37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22273F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3F919F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40F2A4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685AF4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0.46</w:t>
                  </w:r>
                </w:p>
              </w:tc>
              <w:tc>
                <w:tcPr>
                  <w:tcW w:w="975" w:type="dxa"/>
                  <w:noWrap w:val="0"/>
                  <w:vAlign w:val="center"/>
                </w:tcPr>
                <w:p w14:paraId="36973A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0DF429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26DE4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25BFBA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0089FE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restart"/>
                  <w:noWrap w:val="0"/>
                  <w:vAlign w:val="center"/>
                </w:tcPr>
                <w:p w14:paraId="105B1B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2026年07月14 日</w:t>
                  </w:r>
                </w:p>
              </w:tc>
              <w:tc>
                <w:tcPr>
                  <w:tcW w:w="1468" w:type="dxa"/>
                  <w:noWrap w:val="0"/>
                  <w:vAlign w:val="center"/>
                </w:tcPr>
                <w:p w14:paraId="76C076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77299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0.44</w:t>
                  </w:r>
                </w:p>
              </w:tc>
              <w:tc>
                <w:tcPr>
                  <w:tcW w:w="975" w:type="dxa"/>
                  <w:noWrap w:val="0"/>
                  <w:vAlign w:val="center"/>
                </w:tcPr>
                <w:p w14:paraId="2D5E8D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1C55E2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6F050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2CD59E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378EE5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1313AB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12274A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5C2E7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0.49</w:t>
                  </w:r>
                </w:p>
              </w:tc>
              <w:tc>
                <w:tcPr>
                  <w:tcW w:w="975" w:type="dxa"/>
                  <w:noWrap w:val="0"/>
                  <w:vAlign w:val="center"/>
                </w:tcPr>
                <w:p w14:paraId="4426AE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25F11D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04AD4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33BA2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06702E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7396C2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46D1D9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423E36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0.50</w:t>
                  </w:r>
                </w:p>
              </w:tc>
              <w:tc>
                <w:tcPr>
                  <w:tcW w:w="975" w:type="dxa"/>
                  <w:noWrap w:val="0"/>
                  <w:vAlign w:val="center"/>
                </w:tcPr>
                <w:p w14:paraId="410EFD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1429C4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4E270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1F139B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4AF1CD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48A2D4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6E6ABE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77A9A3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0.52</w:t>
                  </w:r>
                </w:p>
              </w:tc>
              <w:tc>
                <w:tcPr>
                  <w:tcW w:w="975" w:type="dxa"/>
                  <w:noWrap w:val="0"/>
                  <w:vAlign w:val="center"/>
                </w:tcPr>
                <w:p w14:paraId="437B53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10DD1E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34FD8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77F00C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2C5D6F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restart"/>
                  <w:noWrap w:val="0"/>
                  <w:vAlign w:val="center"/>
                </w:tcPr>
                <w:p w14:paraId="0E93B1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2026年07月15 日</w:t>
                  </w:r>
                </w:p>
              </w:tc>
              <w:tc>
                <w:tcPr>
                  <w:tcW w:w="1468" w:type="dxa"/>
                  <w:noWrap w:val="0"/>
                  <w:vAlign w:val="center"/>
                </w:tcPr>
                <w:p w14:paraId="7ACA8C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3559E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0.46</w:t>
                  </w:r>
                </w:p>
              </w:tc>
              <w:tc>
                <w:tcPr>
                  <w:tcW w:w="975" w:type="dxa"/>
                  <w:noWrap w:val="0"/>
                  <w:vAlign w:val="center"/>
                </w:tcPr>
                <w:p w14:paraId="466EB3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54AC15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31AA2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009EBE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4670F6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0E384E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251DF1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69514D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0.44</w:t>
                  </w:r>
                </w:p>
              </w:tc>
              <w:tc>
                <w:tcPr>
                  <w:tcW w:w="975" w:type="dxa"/>
                  <w:noWrap w:val="0"/>
                  <w:vAlign w:val="center"/>
                </w:tcPr>
                <w:p w14:paraId="2F0C13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8BC2A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51F1D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0B47E9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6A44FD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18537D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2C8CC0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59B8F4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0.58</w:t>
                  </w:r>
                </w:p>
              </w:tc>
              <w:tc>
                <w:tcPr>
                  <w:tcW w:w="975" w:type="dxa"/>
                  <w:noWrap w:val="0"/>
                  <w:vAlign w:val="center"/>
                </w:tcPr>
                <w:p w14:paraId="740127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AC0D3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432F1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4EA537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5038DE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28C311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3A40E5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491FDE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0.49</w:t>
                  </w:r>
                </w:p>
              </w:tc>
              <w:tc>
                <w:tcPr>
                  <w:tcW w:w="975" w:type="dxa"/>
                  <w:noWrap w:val="0"/>
                  <w:vAlign w:val="center"/>
                </w:tcPr>
                <w:p w14:paraId="6A63FE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07B042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35219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3B4014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550770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restart"/>
                  <w:noWrap w:val="0"/>
                  <w:vAlign w:val="center"/>
                </w:tcPr>
                <w:p w14:paraId="451683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2026年07月16 日</w:t>
                  </w:r>
                </w:p>
              </w:tc>
              <w:tc>
                <w:tcPr>
                  <w:tcW w:w="1468" w:type="dxa"/>
                  <w:noWrap w:val="0"/>
                  <w:vAlign w:val="center"/>
                </w:tcPr>
                <w:p w14:paraId="251C7C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16FAC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0.50</w:t>
                  </w:r>
                </w:p>
              </w:tc>
              <w:tc>
                <w:tcPr>
                  <w:tcW w:w="975" w:type="dxa"/>
                  <w:noWrap w:val="0"/>
                  <w:vAlign w:val="center"/>
                </w:tcPr>
                <w:p w14:paraId="60B065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7BC227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达标</w:t>
                  </w:r>
                </w:p>
              </w:tc>
            </w:tr>
            <w:tr w14:paraId="59570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4370DB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1FE1DD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1F1BC8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2476B9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59EDF8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0.56</w:t>
                  </w:r>
                </w:p>
              </w:tc>
              <w:tc>
                <w:tcPr>
                  <w:tcW w:w="975" w:type="dxa"/>
                  <w:noWrap w:val="0"/>
                  <w:vAlign w:val="center"/>
                </w:tcPr>
                <w:p w14:paraId="054A6D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2CB133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7308D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4B5BBB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6D7867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143637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761861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66247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0.61</w:t>
                  </w:r>
                </w:p>
              </w:tc>
              <w:tc>
                <w:tcPr>
                  <w:tcW w:w="975" w:type="dxa"/>
                  <w:noWrap w:val="0"/>
                  <w:vAlign w:val="center"/>
                </w:tcPr>
                <w:p w14:paraId="4BEF04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69E978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1C61F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761B90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7C2A22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1EE435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3F6EE5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597C9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0.60</w:t>
                  </w:r>
                </w:p>
              </w:tc>
              <w:tc>
                <w:tcPr>
                  <w:tcW w:w="975" w:type="dxa"/>
                  <w:noWrap w:val="0"/>
                  <w:vAlign w:val="center"/>
                </w:tcPr>
                <w:p w14:paraId="007231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2E9581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3087C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62AACD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4B061E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restart"/>
                  <w:noWrap w:val="0"/>
                  <w:vAlign w:val="center"/>
                </w:tcPr>
                <w:p w14:paraId="56CF65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2026年07月17 日</w:t>
                  </w:r>
                </w:p>
              </w:tc>
              <w:tc>
                <w:tcPr>
                  <w:tcW w:w="1468" w:type="dxa"/>
                  <w:noWrap w:val="0"/>
                  <w:vAlign w:val="center"/>
                </w:tcPr>
                <w:p w14:paraId="0EFB53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27A98D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0.38</w:t>
                  </w:r>
                </w:p>
              </w:tc>
              <w:tc>
                <w:tcPr>
                  <w:tcW w:w="975" w:type="dxa"/>
                  <w:noWrap w:val="0"/>
                  <w:vAlign w:val="center"/>
                </w:tcPr>
                <w:p w14:paraId="5B274A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25F779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10B74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3EED99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47AA19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103E3D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0029AE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7AC3A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0.48</w:t>
                  </w:r>
                </w:p>
              </w:tc>
              <w:tc>
                <w:tcPr>
                  <w:tcW w:w="975" w:type="dxa"/>
                  <w:noWrap w:val="0"/>
                  <w:vAlign w:val="center"/>
                </w:tcPr>
                <w:p w14:paraId="34B2B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4AB8C6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46703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03840F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519484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42CA96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1EF5AF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2BC1FC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0.50</w:t>
                  </w:r>
                </w:p>
              </w:tc>
              <w:tc>
                <w:tcPr>
                  <w:tcW w:w="975" w:type="dxa"/>
                  <w:noWrap w:val="0"/>
                  <w:vAlign w:val="center"/>
                </w:tcPr>
                <w:p w14:paraId="69B0C8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12139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5DD2B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20284E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7EFDB4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327BAB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2910BAE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6D2CA2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0.51</w:t>
                  </w:r>
                </w:p>
              </w:tc>
              <w:tc>
                <w:tcPr>
                  <w:tcW w:w="975" w:type="dxa"/>
                  <w:noWrap w:val="0"/>
                  <w:vAlign w:val="center"/>
                </w:tcPr>
                <w:p w14:paraId="6FE599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761C30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6B1C2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0AE1BA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2675FD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restart"/>
                  <w:noWrap w:val="0"/>
                  <w:vAlign w:val="center"/>
                </w:tcPr>
                <w:p w14:paraId="7A3783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2026年07月18 日</w:t>
                  </w:r>
                </w:p>
              </w:tc>
              <w:tc>
                <w:tcPr>
                  <w:tcW w:w="1468" w:type="dxa"/>
                  <w:noWrap w:val="0"/>
                  <w:vAlign w:val="center"/>
                </w:tcPr>
                <w:p w14:paraId="7CE5A8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3E3C42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0.46</w:t>
                  </w:r>
                </w:p>
              </w:tc>
              <w:tc>
                <w:tcPr>
                  <w:tcW w:w="975" w:type="dxa"/>
                  <w:noWrap w:val="0"/>
                  <w:vAlign w:val="center"/>
                </w:tcPr>
                <w:p w14:paraId="54E06C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5C8C74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6034F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5BEDF0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3A4769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05BB8C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04BF9B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4DE582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0.54</w:t>
                  </w:r>
                </w:p>
              </w:tc>
              <w:tc>
                <w:tcPr>
                  <w:tcW w:w="975" w:type="dxa"/>
                  <w:noWrap w:val="0"/>
                  <w:vAlign w:val="center"/>
                </w:tcPr>
                <w:p w14:paraId="52BA3C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2A937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058F3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3C01A8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394214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5272FB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6B9509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0FB379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0.52</w:t>
                  </w:r>
                </w:p>
              </w:tc>
              <w:tc>
                <w:tcPr>
                  <w:tcW w:w="975" w:type="dxa"/>
                  <w:noWrap w:val="0"/>
                  <w:vAlign w:val="center"/>
                </w:tcPr>
                <w:p w14:paraId="5DB6E1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04E4F0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36980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16E669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22EC5A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76FEBB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0D591A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7CCCD0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0.53</w:t>
                  </w:r>
                </w:p>
              </w:tc>
              <w:tc>
                <w:tcPr>
                  <w:tcW w:w="975" w:type="dxa"/>
                  <w:noWrap w:val="0"/>
                  <w:vAlign w:val="center"/>
                </w:tcPr>
                <w:p w14:paraId="686FC5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565797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6291F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2E99DD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2C6779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restart"/>
                  <w:noWrap w:val="0"/>
                  <w:vAlign w:val="center"/>
                </w:tcPr>
                <w:p w14:paraId="11FB5B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0"/>
                      <w:sz w:val="21"/>
                      <w:szCs w:val="21"/>
                      <w:highlight w:val="none"/>
                      <w:lang w:val="en-US" w:eastAsia="zh-CN" w:bidi="ar"/>
                    </w:rPr>
                    <w:t>2026年07月19 日</w:t>
                  </w:r>
                </w:p>
              </w:tc>
              <w:tc>
                <w:tcPr>
                  <w:tcW w:w="1468" w:type="dxa"/>
                  <w:noWrap w:val="0"/>
                  <w:vAlign w:val="center"/>
                </w:tcPr>
                <w:p w14:paraId="17D085C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02:00~02:45</w:t>
                  </w:r>
                </w:p>
              </w:tc>
              <w:tc>
                <w:tcPr>
                  <w:tcW w:w="1140" w:type="dxa"/>
                  <w:noWrap w:val="0"/>
                  <w:vAlign w:val="center"/>
                </w:tcPr>
                <w:p w14:paraId="1E00D8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0.44</w:t>
                  </w:r>
                </w:p>
              </w:tc>
              <w:tc>
                <w:tcPr>
                  <w:tcW w:w="975" w:type="dxa"/>
                  <w:noWrap w:val="0"/>
                  <w:vAlign w:val="center"/>
                </w:tcPr>
                <w:p w14:paraId="6714D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97500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1A015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49DAC6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399DEA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0ABD47E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433A1A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08:00~08:45</w:t>
                  </w:r>
                </w:p>
              </w:tc>
              <w:tc>
                <w:tcPr>
                  <w:tcW w:w="1140" w:type="dxa"/>
                  <w:noWrap w:val="0"/>
                  <w:vAlign w:val="center"/>
                </w:tcPr>
                <w:p w14:paraId="332BFA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0.50</w:t>
                  </w:r>
                </w:p>
              </w:tc>
              <w:tc>
                <w:tcPr>
                  <w:tcW w:w="975" w:type="dxa"/>
                  <w:noWrap w:val="0"/>
                  <w:vAlign w:val="center"/>
                </w:tcPr>
                <w:p w14:paraId="242898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5545A4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1FDEE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303677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0640D6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081429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57A7C17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14:00~14:45</w:t>
                  </w:r>
                </w:p>
              </w:tc>
              <w:tc>
                <w:tcPr>
                  <w:tcW w:w="1140" w:type="dxa"/>
                  <w:noWrap w:val="0"/>
                  <w:vAlign w:val="center"/>
                </w:tcPr>
                <w:p w14:paraId="4617B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0.48</w:t>
                  </w:r>
                </w:p>
              </w:tc>
              <w:tc>
                <w:tcPr>
                  <w:tcW w:w="975" w:type="dxa"/>
                  <w:noWrap w:val="0"/>
                  <w:vAlign w:val="center"/>
                </w:tcPr>
                <w:p w14:paraId="142FAE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391946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r w14:paraId="09288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53" w:type="dxa"/>
                  <w:vMerge w:val="continue"/>
                  <w:noWrap w:val="0"/>
                  <w:vAlign w:val="center"/>
                </w:tcPr>
                <w:p w14:paraId="465195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995" w:type="dxa"/>
                  <w:vMerge w:val="continue"/>
                  <w:noWrap w:val="0"/>
                  <w:vAlign w:val="center"/>
                </w:tcPr>
                <w:p w14:paraId="448B69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541" w:type="dxa"/>
                  <w:vMerge w:val="continue"/>
                  <w:noWrap w:val="0"/>
                  <w:vAlign w:val="center"/>
                </w:tcPr>
                <w:p w14:paraId="08FAD4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468" w:type="dxa"/>
                  <w:noWrap w:val="0"/>
                  <w:vAlign w:val="center"/>
                </w:tcPr>
                <w:p w14:paraId="50A809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0"/>
                      <w:sz w:val="21"/>
                      <w:szCs w:val="21"/>
                      <w:highlight w:val="none"/>
                      <w:u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20:00~20:45</w:t>
                  </w:r>
                </w:p>
              </w:tc>
              <w:tc>
                <w:tcPr>
                  <w:tcW w:w="1140" w:type="dxa"/>
                  <w:noWrap w:val="0"/>
                  <w:vAlign w:val="center"/>
                </w:tcPr>
                <w:p w14:paraId="2C0D6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0.55</w:t>
                  </w:r>
                </w:p>
              </w:tc>
              <w:tc>
                <w:tcPr>
                  <w:tcW w:w="975" w:type="dxa"/>
                  <w:noWrap w:val="0"/>
                  <w:vAlign w:val="center"/>
                </w:tcPr>
                <w:p w14:paraId="16222C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35" w:type="dxa"/>
                  <w:noWrap w:val="0"/>
                  <w:vAlign w:val="center"/>
                </w:tcPr>
                <w:p w14:paraId="6A25B6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w:t>
                  </w:r>
                </w:p>
              </w:tc>
            </w:tr>
          </w:tbl>
          <w:p w14:paraId="3DAF1007">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000000"/>
                <w:kern w:val="0"/>
                <w:sz w:val="24"/>
                <w:szCs w:val="24"/>
                <w:lang w:val="en-US" w:eastAsia="zh-CN" w:bidi="ar"/>
              </w:rPr>
              <w:t>根据上表可知，区域非甲烷总烃的小时浓度均值</w:t>
            </w:r>
            <w:r>
              <w:rPr>
                <w:rFonts w:hint="eastAsia" w:ascii="Times New Roman" w:hAnsi="Times New Roman" w:eastAsia="宋体" w:cs="Times New Roman"/>
                <w:color w:val="000000"/>
                <w:kern w:val="0"/>
                <w:sz w:val="24"/>
                <w:szCs w:val="24"/>
                <w:lang w:val="en-US" w:eastAsia="zh-CN" w:bidi="ar"/>
              </w:rPr>
              <w:t>均能</w:t>
            </w:r>
            <w:r>
              <w:rPr>
                <w:rFonts w:hint="default" w:ascii="Times New Roman" w:hAnsi="Times New Roman" w:eastAsia="宋体" w:cs="Times New Roman"/>
                <w:color w:val="000000"/>
                <w:kern w:val="0"/>
                <w:sz w:val="24"/>
                <w:szCs w:val="24"/>
                <w:lang w:val="en-US" w:eastAsia="zh-CN" w:bidi="ar"/>
              </w:rPr>
              <w:t>满足《大气污染物综合排放标准</w:t>
            </w:r>
            <w:r>
              <w:rPr>
                <w:rFonts w:hint="default" w:ascii="Times New Roman" w:hAnsi="Times New Roman" w:eastAsia="宋体" w:cs="Times New Roman"/>
                <w:color w:val="auto"/>
                <w:kern w:val="0"/>
                <w:sz w:val="24"/>
                <w:szCs w:val="24"/>
                <w:lang w:val="en-US" w:eastAsia="zh-CN" w:bidi="ar"/>
              </w:rPr>
              <w:t>详解》中</w:t>
            </w:r>
            <w:r>
              <w:rPr>
                <w:rFonts w:hint="eastAsia" w:cs="Times New Roman"/>
                <w:b w:val="0"/>
                <w:bCs w:val="0"/>
                <w:color w:val="auto"/>
                <w:kern w:val="0"/>
                <w:sz w:val="24"/>
                <w:szCs w:val="24"/>
                <w:lang w:val="en-US" w:eastAsia="zh-CN" w:bidi="ar"/>
              </w:rPr>
              <w:t>推荐限值</w:t>
            </w:r>
            <w:r>
              <w:rPr>
                <w:rFonts w:hint="default" w:ascii="Times New Roman" w:hAnsi="Times New Roman" w:eastAsia="宋体" w:cs="Times New Roman"/>
                <w:color w:val="auto"/>
                <w:kern w:val="0"/>
                <w:sz w:val="24"/>
                <w:szCs w:val="24"/>
                <w:lang w:val="en-US" w:eastAsia="zh-CN" w:bidi="ar"/>
              </w:rPr>
              <w:t xml:space="preserve">。 </w:t>
            </w:r>
          </w:p>
          <w:p w14:paraId="55A6C13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b/>
                <w:bCs/>
                <w:color w:val="auto"/>
                <w:sz w:val="24"/>
                <w:lang w:eastAsia="zh-CN"/>
              </w:rPr>
            </w:pPr>
            <w:r>
              <w:rPr>
                <w:rFonts w:hint="default" w:ascii="Times New Roman" w:hAnsi="Times New Roman" w:eastAsia="宋体" w:cs="Times New Roman"/>
                <w:b/>
                <w:bCs/>
                <w:color w:val="auto"/>
                <w:sz w:val="24"/>
                <w:lang w:eastAsia="zh-CN"/>
              </w:rPr>
              <w:drawing>
                <wp:inline distT="0" distB="0" distL="114300" distR="114300">
                  <wp:extent cx="5289550" cy="6424930"/>
                  <wp:effectExtent l="0" t="0" r="6350" b="13970"/>
                  <wp:docPr id="7" name="图片 41" descr="引用数据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1" descr="引用数据位置图"/>
                          <pic:cNvPicPr>
                            <a:picLocks noChangeAspect="1"/>
                          </pic:cNvPicPr>
                        </pic:nvPicPr>
                        <pic:blipFill>
                          <a:blip r:embed="rId13"/>
                          <a:stretch>
                            <a:fillRect/>
                          </a:stretch>
                        </pic:blipFill>
                        <pic:spPr>
                          <a:xfrm>
                            <a:off x="0" y="0"/>
                            <a:ext cx="5289550" cy="6424930"/>
                          </a:xfrm>
                          <a:prstGeom prst="rect">
                            <a:avLst/>
                          </a:prstGeom>
                          <a:noFill/>
                          <a:ln>
                            <a:noFill/>
                          </a:ln>
                        </pic:spPr>
                      </pic:pic>
                    </a:graphicData>
                  </a:graphic>
                </wp:inline>
              </w:drawing>
            </w:r>
          </w:p>
          <w:p w14:paraId="689B1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000000"/>
                <w:kern w:val="0"/>
                <w:sz w:val="21"/>
                <w:szCs w:val="21"/>
                <w:lang w:bidi="ar"/>
              </w:rPr>
              <w:t>图3-1  引用</w:t>
            </w:r>
            <w:r>
              <w:rPr>
                <w:rFonts w:hint="default" w:ascii="Times New Roman" w:hAnsi="Times New Roman" w:eastAsia="宋体" w:cs="Times New Roman"/>
                <w:b/>
                <w:bCs/>
                <w:color w:val="000000"/>
                <w:kern w:val="0"/>
                <w:sz w:val="21"/>
                <w:szCs w:val="21"/>
                <w:lang w:eastAsia="zh-CN" w:bidi="ar"/>
              </w:rPr>
              <w:t>《</w:t>
            </w:r>
            <w:r>
              <w:rPr>
                <w:rFonts w:hint="default" w:ascii="Times New Roman" w:hAnsi="Times New Roman" w:eastAsia="宋体" w:cs="Times New Roman"/>
                <w:b/>
                <w:bCs/>
                <w:color w:val="000000"/>
                <w:kern w:val="0"/>
                <w:sz w:val="21"/>
                <w:szCs w:val="21"/>
                <w:lang w:val="en-US" w:eastAsia="zh-CN" w:bidi="ar"/>
              </w:rPr>
              <w:t>寻甸县三月三塑料制品经营部</w:t>
            </w:r>
            <w:r>
              <w:rPr>
                <w:rFonts w:hint="eastAsia"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个体工商户</w:t>
            </w:r>
            <w:r>
              <w:rPr>
                <w:rFonts w:hint="eastAsia" w:cs="Times New Roman"/>
                <w:b/>
                <w:bCs/>
                <w:color w:val="000000"/>
                <w:kern w:val="0"/>
                <w:sz w:val="21"/>
                <w:szCs w:val="21"/>
                <w:lang w:val="en-US" w:eastAsia="zh-CN" w:bidi="ar"/>
              </w:rPr>
              <w:t>）</w:t>
            </w:r>
            <w:r>
              <w:rPr>
                <w:rFonts w:hint="default" w:ascii="Times New Roman" w:hAnsi="Times New Roman" w:eastAsia="宋体" w:cs="Times New Roman"/>
                <w:b/>
                <w:bCs/>
                <w:color w:val="000000"/>
                <w:kern w:val="0"/>
                <w:sz w:val="21"/>
                <w:szCs w:val="21"/>
                <w:lang w:val="en-US" w:eastAsia="zh-CN" w:bidi="ar"/>
              </w:rPr>
              <w:t>果蔬筐生产及销售项目环境影响报告书</w:t>
            </w:r>
            <w:r>
              <w:rPr>
                <w:rFonts w:hint="default" w:ascii="Times New Roman" w:hAnsi="Times New Roman" w:eastAsia="宋体" w:cs="Times New Roman"/>
                <w:b/>
                <w:bCs/>
                <w:color w:val="000000"/>
                <w:kern w:val="0"/>
                <w:sz w:val="21"/>
                <w:szCs w:val="21"/>
                <w:lang w:eastAsia="zh-CN" w:bidi="ar"/>
              </w:rPr>
              <w:t>》</w:t>
            </w:r>
            <w:r>
              <w:rPr>
                <w:rFonts w:hint="default" w:ascii="Times New Roman" w:hAnsi="Times New Roman" w:eastAsia="宋体" w:cs="Times New Roman"/>
                <w:b/>
                <w:bCs/>
                <w:color w:val="000000"/>
                <w:kern w:val="0"/>
                <w:sz w:val="21"/>
                <w:szCs w:val="21"/>
                <w:lang w:bidi="ar"/>
              </w:rPr>
              <w:t>现状监测点位与项目位置关系图</w:t>
            </w:r>
          </w:p>
          <w:p w14:paraId="74A4489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000000"/>
                <w:kern w:val="0"/>
                <w:sz w:val="24"/>
                <w:szCs w:val="24"/>
                <w:lang w:val="en-US" w:eastAsia="zh-CN" w:bidi="ar"/>
              </w:rPr>
              <w:t>综上所述，项目区域的大气环境质量良好。</w:t>
            </w:r>
          </w:p>
          <w:p w14:paraId="67DBF24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2、地表水环境质量现状</w:t>
            </w:r>
          </w:p>
          <w:p w14:paraId="0224D2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000000"/>
                <w:kern w:val="0"/>
                <w:sz w:val="24"/>
                <w:szCs w:val="24"/>
                <w:lang w:val="en-US" w:eastAsia="zh-CN" w:bidi="ar"/>
              </w:rPr>
              <w:t>项目选址位于</w:t>
            </w:r>
            <w:r>
              <w:rPr>
                <w:rFonts w:hint="default" w:ascii="Times New Roman" w:hAnsi="Times New Roman" w:eastAsia="宋体" w:cs="Times New Roman"/>
                <w:color w:val="auto"/>
                <w:kern w:val="0"/>
                <w:sz w:val="24"/>
                <w:szCs w:val="24"/>
                <w:highlight w:val="none"/>
              </w:rPr>
              <w:t>云南省昆明市寻甸</w:t>
            </w:r>
            <w:r>
              <w:rPr>
                <w:rFonts w:hint="eastAsia" w:cs="Times New Roman"/>
                <w:color w:val="auto"/>
                <w:kern w:val="0"/>
                <w:sz w:val="24"/>
                <w:szCs w:val="24"/>
                <w:highlight w:val="none"/>
                <w:lang w:val="en-US" w:eastAsia="zh-CN"/>
              </w:rPr>
              <w:t>县</w:t>
            </w:r>
            <w:r>
              <w:rPr>
                <w:rFonts w:hint="default" w:ascii="Times New Roman" w:hAnsi="Times New Roman" w:eastAsia="宋体" w:cs="Times New Roman"/>
                <w:color w:val="auto"/>
                <w:kern w:val="0"/>
                <w:sz w:val="24"/>
                <w:szCs w:val="24"/>
                <w:highlight w:val="none"/>
              </w:rPr>
              <w:t>金所街道办事处竹沟社区居委会魏所工业园区01号</w:t>
            </w:r>
            <w:r>
              <w:rPr>
                <w:rFonts w:hint="default" w:ascii="Times New Roman" w:hAnsi="Times New Roman" w:eastAsia="宋体" w:cs="Times New Roman"/>
                <w:color w:val="000000"/>
                <w:kern w:val="0"/>
                <w:sz w:val="24"/>
                <w:szCs w:val="24"/>
                <w:lang w:val="en-US" w:eastAsia="zh-CN" w:bidi="ar"/>
              </w:rPr>
              <w:t>，项目区</w:t>
            </w:r>
            <w:r>
              <w:rPr>
                <w:rFonts w:hint="eastAsia" w:cs="Times New Roman"/>
                <w:color w:val="000000"/>
                <w:kern w:val="0"/>
                <w:sz w:val="24"/>
                <w:szCs w:val="24"/>
                <w:lang w:val="en-US" w:eastAsia="zh-CN" w:bidi="ar"/>
              </w:rPr>
              <w:t>最</w:t>
            </w:r>
            <w:r>
              <w:rPr>
                <w:rFonts w:hint="default" w:ascii="Times New Roman" w:hAnsi="Times New Roman" w:eastAsia="宋体" w:cs="Times New Roman"/>
                <w:color w:val="000000"/>
                <w:kern w:val="0"/>
                <w:sz w:val="24"/>
                <w:szCs w:val="24"/>
                <w:lang w:val="en-US" w:eastAsia="zh-CN" w:bidi="ar"/>
              </w:rPr>
              <w:t>近的地表水体</w:t>
            </w:r>
            <w:r>
              <w:rPr>
                <w:rFonts w:hint="default" w:ascii="Times New Roman" w:hAnsi="Times New Roman" w:eastAsia="宋体" w:cs="Times New Roman"/>
                <w:color w:val="000000"/>
                <w:kern w:val="0"/>
                <w:sz w:val="24"/>
                <w:szCs w:val="24"/>
                <w:lang w:val="zh-CN" w:eastAsia="zh-CN" w:bidi="ar"/>
              </w:rPr>
              <w:t>为谓所河</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zh-CN" w:eastAsia="zh-CN" w:bidi="ar"/>
              </w:rPr>
              <w:t>谓所河</w:t>
            </w:r>
            <w:r>
              <w:rPr>
                <w:rFonts w:hint="eastAsia" w:ascii="Times New Roman" w:hAnsi="Times New Roman" w:eastAsia="宋体" w:cs="Times New Roman"/>
                <w:color w:val="000000"/>
                <w:kern w:val="0"/>
                <w:sz w:val="24"/>
                <w:szCs w:val="24"/>
                <w:lang w:val="en-US" w:eastAsia="zh-CN" w:bidi="ar"/>
              </w:rPr>
              <w:t>位于项目区南侧1600m</w:t>
            </w:r>
            <w:r>
              <w:rPr>
                <w:rFonts w:hint="eastAsia" w:cs="Times New Roman"/>
                <w:color w:val="000000"/>
                <w:kern w:val="0"/>
                <w:sz w:val="24"/>
                <w:szCs w:val="24"/>
                <w:lang w:val="en-US" w:eastAsia="zh-CN" w:bidi="ar"/>
              </w:rPr>
              <w:t>处</w:t>
            </w:r>
            <w:r>
              <w:rPr>
                <w:rFonts w:hint="default" w:ascii="Times New Roman" w:hAnsi="Times New Roman" w:eastAsia="宋体" w:cs="Times New Roman"/>
                <w:color w:val="000000"/>
                <w:kern w:val="0"/>
                <w:sz w:val="24"/>
                <w:szCs w:val="24"/>
                <w:lang w:val="zh-CN" w:eastAsia="zh-CN" w:bidi="ar"/>
              </w:rPr>
              <w:t>，</w:t>
            </w:r>
            <w:r>
              <w:rPr>
                <w:rFonts w:hint="default" w:ascii="Times New Roman" w:hAnsi="Times New Roman" w:eastAsia="宋体" w:cs="Times New Roman"/>
                <w:color w:val="000000"/>
                <w:kern w:val="0"/>
                <w:sz w:val="24"/>
                <w:szCs w:val="24"/>
                <w:lang w:val="en-US" w:eastAsia="zh-CN" w:bidi="ar"/>
              </w:rPr>
              <w:t>经落水洞转为地下伏流，</w:t>
            </w:r>
            <w:r>
              <w:rPr>
                <w:rFonts w:hint="eastAsia" w:cs="Times New Roman"/>
                <w:color w:val="000000"/>
                <w:kern w:val="0"/>
                <w:sz w:val="24"/>
                <w:szCs w:val="24"/>
                <w:lang w:val="en-US" w:eastAsia="zh-CN" w:bidi="ar"/>
              </w:rPr>
              <w:t>汇入潘所海（项目</w:t>
            </w:r>
            <w:r>
              <w:rPr>
                <w:rFonts w:hint="eastAsia" w:ascii="Times New Roman" w:hAnsi="Times New Roman" w:eastAsia="宋体" w:cs="Times New Roman"/>
                <w:color w:val="000000"/>
                <w:kern w:val="0"/>
                <w:sz w:val="24"/>
                <w:szCs w:val="24"/>
                <w:lang w:val="en-US" w:eastAsia="zh-CN" w:bidi="ar"/>
              </w:rPr>
              <w:t>南侧5.2km）</w:t>
            </w:r>
            <w:r>
              <w:rPr>
                <w:rFonts w:hint="eastAsia" w:cs="Times New Roman"/>
                <w:color w:val="000000"/>
                <w:kern w:val="0"/>
                <w:sz w:val="24"/>
                <w:szCs w:val="24"/>
                <w:lang w:val="en-US" w:eastAsia="zh-CN" w:bidi="ar"/>
              </w:rPr>
              <w:t>，</w:t>
            </w:r>
            <w:r>
              <w:rPr>
                <w:rFonts w:hint="default" w:ascii="Times New Roman" w:hAnsi="Times New Roman" w:eastAsia="宋体" w:cs="Times New Roman"/>
                <w:color w:val="auto"/>
                <w:spacing w:val="0"/>
                <w:sz w:val="24"/>
                <w:szCs w:val="24"/>
                <w:highlight w:val="none"/>
              </w:rPr>
              <w:t>潘所海地表水通过溶洞流入三月三水库</w:t>
            </w:r>
            <w:r>
              <w:rPr>
                <w:rFonts w:hint="eastAsia"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三月三水库由前进河出水，最终汇入牛栏江，属牛栏江支流。</w:t>
            </w:r>
            <w:r>
              <w:rPr>
                <w:rFonts w:hint="default" w:ascii="Times New Roman" w:hAnsi="Times New Roman" w:eastAsia="宋体" w:cs="Times New Roman"/>
                <w:caps w:val="0"/>
                <w:smallCaps w:val="0"/>
                <w:color w:val="auto"/>
                <w:sz w:val="24"/>
                <w:szCs w:val="24"/>
                <w:lang w:val="en-US" w:eastAsia="zh-CN"/>
              </w:rPr>
              <w:t>根据《昆明市和滇中产业新区水功能区划》（2011-2030年），</w:t>
            </w:r>
            <w:r>
              <w:rPr>
                <w:rFonts w:hint="eastAsia" w:ascii="Times New Roman" w:hAnsi="Times New Roman" w:eastAsia="宋体" w:cs="Times New Roman"/>
                <w:caps w:val="0"/>
                <w:smallCaps w:val="0"/>
                <w:color w:val="auto"/>
                <w:sz w:val="24"/>
                <w:szCs w:val="24"/>
                <w:lang w:val="en-US" w:eastAsia="zh-CN"/>
              </w:rPr>
              <w:t>项目区属于</w:t>
            </w:r>
            <w:r>
              <w:rPr>
                <w:rFonts w:hint="eastAsia" w:ascii="宋体" w:hAnsi="宋体" w:eastAsia="宋体" w:cs="宋体"/>
                <w:b w:val="0"/>
                <w:bCs w:val="0"/>
                <w:color w:val="auto"/>
                <w:kern w:val="0"/>
                <w:sz w:val="24"/>
                <w:szCs w:val="24"/>
                <w:lang w:val="en-US" w:eastAsia="zh-CN" w:bidi="ar"/>
              </w:rPr>
              <w:t>前进河寻甸源头水保护区</w:t>
            </w:r>
            <w:r>
              <w:rPr>
                <w:rFonts w:hint="default" w:ascii="Times New Roman" w:hAnsi="Times New Roman" w:eastAsia="宋体" w:cs="Times New Roman"/>
                <w:caps w:val="0"/>
                <w:smallCaps w:val="0"/>
                <w:color w:val="auto"/>
                <w:sz w:val="24"/>
                <w:szCs w:val="24"/>
                <w:lang w:val="en-US" w:eastAsia="zh-CN"/>
              </w:rPr>
              <w:t>，</w:t>
            </w:r>
            <w:r>
              <w:rPr>
                <w:rFonts w:hint="eastAsia" w:ascii="宋体" w:hAnsi="宋体" w:eastAsia="宋体" w:cs="宋体"/>
                <w:color w:val="auto"/>
                <w:kern w:val="0"/>
                <w:sz w:val="24"/>
                <w:szCs w:val="24"/>
                <w:lang w:val="en-US" w:eastAsia="zh-CN" w:bidi="ar"/>
              </w:rPr>
              <w:t xml:space="preserve">源头至谓所落水洞，主支河长 </w:t>
            </w:r>
            <w:r>
              <w:rPr>
                <w:rFonts w:hint="default" w:ascii="Times New Roman" w:hAnsi="Times New Roman" w:eastAsia="宋体" w:cs="Times New Roman"/>
                <w:color w:val="auto"/>
                <w:kern w:val="0"/>
                <w:sz w:val="24"/>
                <w:szCs w:val="24"/>
                <w:lang w:val="en-US" w:eastAsia="zh-CN" w:bidi="ar"/>
              </w:rPr>
              <w:t>12.6km</w:t>
            </w:r>
            <w:r>
              <w:rPr>
                <w:rFonts w:hint="eastAsia" w:ascii="Times New Roman" w:hAnsi="Times New Roman" w:eastAsia="宋体" w:cs="Times New Roman"/>
                <w:caps w:val="0"/>
                <w:smallCaps w:val="0"/>
                <w:color w:val="auto"/>
                <w:sz w:val="24"/>
                <w:szCs w:val="24"/>
                <w:lang w:val="en-US" w:eastAsia="zh-CN"/>
              </w:rPr>
              <w:t>，</w:t>
            </w:r>
            <w:r>
              <w:rPr>
                <w:rFonts w:hint="default" w:ascii="Times New Roman" w:hAnsi="Times New Roman" w:eastAsia="宋体" w:cs="Times New Roman"/>
                <w:caps w:val="0"/>
                <w:smallCaps w:val="0"/>
                <w:color w:val="auto"/>
                <w:sz w:val="24"/>
                <w:szCs w:val="24"/>
                <w:lang w:val="en-US" w:eastAsia="zh-CN"/>
              </w:rPr>
              <w:t>2</w:t>
            </w:r>
            <w:r>
              <w:rPr>
                <w:rFonts w:hint="eastAsia" w:ascii="Times New Roman" w:hAnsi="Times New Roman" w:eastAsia="宋体" w:cs="Times New Roman"/>
                <w:caps w:val="0"/>
                <w:smallCaps w:val="0"/>
                <w:color w:val="auto"/>
                <w:sz w:val="24"/>
                <w:szCs w:val="24"/>
                <w:lang w:val="en-US" w:eastAsia="zh-CN"/>
              </w:rPr>
              <w:t>030规划水平年水质保护目标为</w:t>
            </w:r>
            <w:r>
              <w:rPr>
                <w:rFonts w:hint="default" w:ascii="Times New Roman" w:hAnsi="Times New Roman" w:eastAsia="宋体" w:cs="Times New Roman"/>
                <w:caps w:val="0"/>
                <w:smallCaps w:val="0"/>
                <w:color w:val="auto"/>
                <w:sz w:val="24"/>
                <w:szCs w:val="24"/>
                <w:lang w:val="en-US" w:eastAsia="zh-CN"/>
              </w:rPr>
              <w:t>Ⅲ</w:t>
            </w:r>
            <w:r>
              <w:rPr>
                <w:rFonts w:hint="eastAsia" w:ascii="Times New Roman" w:hAnsi="Times New Roman" w:eastAsia="宋体" w:cs="Times New Roman"/>
                <w:caps w:val="0"/>
                <w:smallCaps w:val="0"/>
                <w:color w:val="auto"/>
                <w:sz w:val="24"/>
                <w:szCs w:val="24"/>
                <w:lang w:val="en-US" w:eastAsia="zh-CN"/>
              </w:rPr>
              <w:t>类</w:t>
            </w:r>
            <w:r>
              <w:rPr>
                <w:rFonts w:hint="eastAsia" w:ascii="Times New Roman" w:hAnsi="Times New Roman" w:cs="Times New Roman"/>
                <w:caps w:val="0"/>
                <w:smallCaps w:val="0"/>
                <w:color w:val="auto"/>
                <w:sz w:val="24"/>
                <w:szCs w:val="24"/>
                <w:lang w:val="en-US" w:eastAsia="zh-CN"/>
              </w:rPr>
              <w:t>。</w:t>
            </w:r>
            <w:r>
              <w:rPr>
                <w:rFonts w:hint="eastAsia" w:cs="Times New Roman"/>
                <w:caps w:val="0"/>
                <w:smallCaps w:val="0"/>
                <w:color w:val="auto"/>
                <w:sz w:val="24"/>
                <w:szCs w:val="24"/>
                <w:lang w:val="en-US" w:eastAsia="zh-CN"/>
              </w:rPr>
              <w:t>潘所海</w:t>
            </w:r>
            <w:r>
              <w:rPr>
                <w:rFonts w:hint="default" w:ascii="Times New Roman" w:hAnsi="Times New Roman" w:eastAsia="宋体" w:cs="Times New Roman"/>
                <w:caps w:val="0"/>
                <w:smallCaps w:val="0"/>
                <w:color w:val="auto"/>
                <w:sz w:val="24"/>
                <w:szCs w:val="24"/>
                <w:lang w:val="en-US" w:eastAsia="zh-CN"/>
              </w:rPr>
              <w:t>水质执行《地表水环境质量标准》（GB3838-2002）中Ⅲ类水质标准。</w:t>
            </w:r>
          </w:p>
          <w:p w14:paraId="7F3A8AD5">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aps w:val="0"/>
                <w:smallCaps w:val="0"/>
                <w:color w:val="auto"/>
                <w:sz w:val="24"/>
                <w:lang w:val="en-US" w:eastAsia="zh-CN"/>
              </w:rPr>
            </w:pPr>
            <w:r>
              <w:rPr>
                <w:rFonts w:hint="default" w:ascii="Times New Roman" w:hAnsi="Times New Roman" w:eastAsia="宋体" w:cs="Times New Roman"/>
                <w:caps w:val="0"/>
                <w:smallCaps w:val="0"/>
                <w:color w:val="auto"/>
                <w:sz w:val="24"/>
                <w:lang w:val="en-US" w:eastAsia="zh-CN"/>
              </w:rPr>
              <w:t>根据寻甸县人民政府发布的“2025年第一季度一第四季度环境质量公报”，2025年第一至第四季度潘所海水质均不能满足《地表水环境质量标准》</w:t>
            </w:r>
            <w:r>
              <w:rPr>
                <w:rFonts w:hint="eastAsia" w:cs="Times New Roman"/>
                <w:caps w:val="0"/>
                <w:smallCaps w:val="0"/>
                <w:color w:val="auto"/>
                <w:sz w:val="24"/>
                <w:lang w:val="en-US" w:eastAsia="zh-CN"/>
              </w:rPr>
              <w:t>（</w:t>
            </w:r>
            <w:r>
              <w:rPr>
                <w:rFonts w:hint="default" w:ascii="Times New Roman" w:hAnsi="Times New Roman" w:eastAsia="宋体" w:cs="Times New Roman"/>
                <w:caps w:val="0"/>
                <w:smallCaps w:val="0"/>
                <w:color w:val="auto"/>
                <w:sz w:val="24"/>
                <w:lang w:val="en-US" w:eastAsia="zh-CN"/>
              </w:rPr>
              <w:t>GB3838-2002</w:t>
            </w:r>
            <w:r>
              <w:rPr>
                <w:rFonts w:hint="eastAsia" w:cs="Times New Roman"/>
                <w:caps w:val="0"/>
                <w:smallCaps w:val="0"/>
                <w:color w:val="auto"/>
                <w:sz w:val="24"/>
                <w:lang w:val="en-US" w:eastAsia="zh-CN"/>
              </w:rPr>
              <w:t>）</w:t>
            </w:r>
            <w:r>
              <w:rPr>
                <w:rFonts w:hint="default" w:ascii="Times New Roman" w:hAnsi="Times New Roman" w:eastAsia="宋体" w:cs="Times New Roman"/>
                <w:caps w:val="0"/>
                <w:smallCaps w:val="0"/>
                <w:color w:val="auto"/>
                <w:sz w:val="24"/>
                <w:szCs w:val="24"/>
                <w:lang w:val="en-US" w:eastAsia="zh-CN"/>
              </w:rPr>
              <w:t>Ⅲ</w:t>
            </w:r>
            <w:r>
              <w:rPr>
                <w:rFonts w:hint="default" w:ascii="Times New Roman" w:hAnsi="Times New Roman" w:eastAsia="宋体" w:cs="Times New Roman"/>
                <w:caps w:val="0"/>
                <w:smallCaps w:val="0"/>
                <w:color w:val="auto"/>
                <w:sz w:val="24"/>
                <w:lang w:val="en-US" w:eastAsia="zh-CN"/>
              </w:rPr>
              <w:t>类标准。潘所海水质结果如下表所示。</w:t>
            </w:r>
          </w:p>
          <w:p w14:paraId="52BF6BDD">
            <w:pPr>
              <w:keepNext w:val="0"/>
              <w:keepLines w:val="0"/>
              <w:widowControl/>
              <w:suppressLineNumbers w:val="0"/>
              <w:adjustRightInd w:val="0"/>
              <w:snapToGrid w:val="0"/>
              <w:spacing w:before="0" w:beforeAutospacing="0" w:after="0" w:afterAutospacing="0" w:line="360" w:lineRule="auto"/>
              <w:ind w:left="0" w:right="0" w:firstLine="422" w:firstLineChars="200"/>
              <w:jc w:val="center"/>
              <w:rPr>
                <w:rFonts w:hint="default" w:ascii="Times New Roman" w:hAnsi="Times New Roman" w:eastAsia="宋体" w:cs="Times New Roman"/>
                <w:b/>
                <w:bCs/>
                <w:caps w:val="0"/>
                <w:smallCaps w:val="0"/>
                <w:color w:val="auto"/>
                <w:sz w:val="21"/>
                <w:szCs w:val="21"/>
                <w:lang w:val="en-US" w:eastAsia="zh-CN"/>
              </w:rPr>
            </w:pPr>
            <w:r>
              <w:rPr>
                <w:rFonts w:hint="default" w:ascii="Times New Roman" w:hAnsi="Times New Roman" w:eastAsia="宋体" w:cs="Times New Roman"/>
                <w:b/>
                <w:bCs/>
                <w:caps w:val="0"/>
                <w:smallCaps w:val="0"/>
                <w:color w:val="auto"/>
                <w:sz w:val="21"/>
                <w:szCs w:val="21"/>
                <w:lang w:val="en-US" w:eastAsia="zh-CN"/>
              </w:rPr>
              <w:t>表</w:t>
            </w:r>
            <w:r>
              <w:rPr>
                <w:rFonts w:hint="eastAsia" w:cs="Times New Roman"/>
                <w:b/>
                <w:bCs/>
                <w:caps w:val="0"/>
                <w:smallCaps w:val="0"/>
                <w:color w:val="auto"/>
                <w:sz w:val="21"/>
                <w:szCs w:val="21"/>
                <w:lang w:val="en-US" w:eastAsia="zh-CN"/>
              </w:rPr>
              <w:t xml:space="preserve">3-4  </w:t>
            </w:r>
            <w:r>
              <w:rPr>
                <w:rFonts w:hint="eastAsia" w:ascii="Times New Roman" w:hAnsi="Times New Roman" w:eastAsia="宋体" w:cs="Times New Roman"/>
                <w:b/>
                <w:bCs/>
                <w:caps w:val="0"/>
                <w:smallCaps w:val="0"/>
                <w:color w:val="auto"/>
                <w:sz w:val="21"/>
                <w:szCs w:val="21"/>
                <w:lang w:val="en-US" w:eastAsia="zh-CN"/>
              </w:rPr>
              <w:t>地表水</w:t>
            </w:r>
            <w:r>
              <w:rPr>
                <w:rFonts w:hint="default" w:ascii="Times New Roman" w:hAnsi="Times New Roman" w:eastAsia="宋体" w:cs="Times New Roman"/>
                <w:b/>
                <w:bCs/>
                <w:caps w:val="0"/>
                <w:smallCaps w:val="0"/>
                <w:color w:val="auto"/>
                <w:sz w:val="21"/>
                <w:szCs w:val="21"/>
                <w:lang w:val="en-US" w:eastAsia="zh-CN"/>
              </w:rPr>
              <w:t>水质状况统计表</w:t>
            </w:r>
          </w:p>
          <w:tbl>
            <w:tblPr>
              <w:tblStyle w:val="37"/>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1950"/>
              <w:gridCol w:w="1554"/>
              <w:gridCol w:w="2277"/>
              <w:gridCol w:w="1179"/>
            </w:tblGrid>
            <w:tr w14:paraId="3607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7" w:type="dxa"/>
                  <w:vAlign w:val="center"/>
                </w:tcPr>
                <w:p w14:paraId="52A947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eastAsia" w:ascii="Times New Roman" w:hAnsi="Times New Roman" w:eastAsia="宋体" w:cs="Times New Roman"/>
                      <w:b/>
                      <w:bCs/>
                      <w:caps w:val="0"/>
                      <w:smallCaps w:val="0"/>
                      <w:color w:val="auto"/>
                      <w:sz w:val="21"/>
                      <w:szCs w:val="21"/>
                      <w:vertAlign w:val="baseline"/>
                      <w:lang w:val="en-US" w:eastAsia="zh-CN"/>
                    </w:rPr>
                    <w:t>地表水监测点</w:t>
                  </w:r>
                </w:p>
              </w:tc>
              <w:tc>
                <w:tcPr>
                  <w:tcW w:w="1950" w:type="dxa"/>
                  <w:vAlign w:val="center"/>
                </w:tcPr>
                <w:p w14:paraId="1119F3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eastAsia" w:ascii="Times New Roman" w:hAnsi="Times New Roman" w:eastAsia="宋体" w:cs="Times New Roman"/>
                      <w:b/>
                      <w:bCs/>
                      <w:caps w:val="0"/>
                      <w:smallCaps w:val="0"/>
                      <w:color w:val="auto"/>
                      <w:sz w:val="21"/>
                      <w:szCs w:val="21"/>
                      <w:vertAlign w:val="baseline"/>
                      <w:lang w:val="en-US" w:eastAsia="zh-CN"/>
                    </w:rPr>
                    <w:t>时间</w:t>
                  </w:r>
                </w:p>
              </w:tc>
              <w:tc>
                <w:tcPr>
                  <w:tcW w:w="1554" w:type="dxa"/>
                  <w:vAlign w:val="center"/>
                </w:tcPr>
                <w:p w14:paraId="272BBB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eastAsia" w:ascii="Times New Roman" w:hAnsi="Times New Roman" w:eastAsia="宋体" w:cs="Times New Roman"/>
                      <w:b/>
                      <w:bCs/>
                      <w:caps w:val="0"/>
                      <w:smallCaps w:val="0"/>
                      <w:color w:val="auto"/>
                      <w:sz w:val="21"/>
                      <w:szCs w:val="21"/>
                      <w:vertAlign w:val="baseline"/>
                      <w:lang w:val="en-US" w:eastAsia="zh-CN"/>
                    </w:rPr>
                    <w:t>水质类别</w:t>
                  </w:r>
                </w:p>
              </w:tc>
              <w:tc>
                <w:tcPr>
                  <w:tcW w:w="2277" w:type="dxa"/>
                  <w:vAlign w:val="center"/>
                </w:tcPr>
                <w:p w14:paraId="7DD189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eastAsia" w:ascii="Times New Roman" w:hAnsi="Times New Roman" w:cs="Times New Roman"/>
                      <w:b/>
                      <w:bCs/>
                      <w:caps w:val="0"/>
                      <w:smallCaps w:val="0"/>
                      <w:color w:val="auto"/>
                      <w:sz w:val="21"/>
                      <w:szCs w:val="21"/>
                      <w:vertAlign w:val="baseline"/>
                      <w:lang w:val="en-US" w:eastAsia="zh-CN"/>
                    </w:rPr>
                    <w:t>执行</w:t>
                  </w:r>
                  <w:r>
                    <w:rPr>
                      <w:rFonts w:hint="eastAsia" w:ascii="Times New Roman" w:hAnsi="Times New Roman" w:eastAsia="宋体" w:cs="Times New Roman"/>
                      <w:b/>
                      <w:bCs/>
                      <w:caps w:val="0"/>
                      <w:smallCaps w:val="0"/>
                      <w:color w:val="auto"/>
                      <w:sz w:val="21"/>
                      <w:szCs w:val="21"/>
                      <w:vertAlign w:val="baseline"/>
                      <w:lang w:val="en-US" w:eastAsia="zh-CN"/>
                    </w:rPr>
                    <w:t>标准</w:t>
                  </w:r>
                </w:p>
              </w:tc>
              <w:tc>
                <w:tcPr>
                  <w:tcW w:w="1179" w:type="dxa"/>
                  <w:vAlign w:val="center"/>
                </w:tcPr>
                <w:p w14:paraId="7BC923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aps w:val="0"/>
                      <w:smallCaps w:val="0"/>
                      <w:color w:val="auto"/>
                      <w:sz w:val="21"/>
                      <w:szCs w:val="21"/>
                      <w:vertAlign w:val="baseline"/>
                      <w:lang w:val="en-US" w:eastAsia="zh-CN"/>
                    </w:rPr>
                  </w:pPr>
                  <w:r>
                    <w:rPr>
                      <w:rFonts w:hint="eastAsia" w:ascii="Times New Roman" w:hAnsi="Times New Roman" w:eastAsia="宋体" w:cs="Times New Roman"/>
                      <w:b/>
                      <w:bCs/>
                      <w:caps w:val="0"/>
                      <w:smallCaps w:val="0"/>
                      <w:color w:val="auto"/>
                      <w:sz w:val="21"/>
                      <w:szCs w:val="21"/>
                      <w:vertAlign w:val="baseline"/>
                      <w:lang w:val="en-US" w:eastAsia="zh-CN"/>
                    </w:rPr>
                    <w:t>达标情况</w:t>
                  </w:r>
                </w:p>
              </w:tc>
            </w:tr>
            <w:tr w14:paraId="1BD2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7" w:type="dxa"/>
                  <w:vMerge w:val="restart"/>
                  <w:vAlign w:val="center"/>
                </w:tcPr>
                <w:p w14:paraId="3E166E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cs="Times New Roman"/>
                      <w:caps w:val="0"/>
                      <w:smallCaps w:val="0"/>
                      <w:color w:val="auto"/>
                      <w:sz w:val="21"/>
                      <w:szCs w:val="21"/>
                      <w:vertAlign w:val="baseline"/>
                      <w:lang w:val="en-US" w:eastAsia="zh-CN"/>
                    </w:rPr>
                    <w:t>潘所海</w:t>
                  </w:r>
                </w:p>
              </w:tc>
              <w:tc>
                <w:tcPr>
                  <w:tcW w:w="1950" w:type="dxa"/>
                  <w:vAlign w:val="center"/>
                </w:tcPr>
                <w:p w14:paraId="7E032F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2025年第一季度</w:t>
                  </w:r>
                </w:p>
              </w:tc>
              <w:tc>
                <w:tcPr>
                  <w:tcW w:w="1554" w:type="dxa"/>
                  <w:vAlign w:val="center"/>
                </w:tcPr>
                <w:p w14:paraId="090263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default" w:ascii="Times New Roman" w:hAnsi="Times New Roman" w:eastAsia="宋体" w:cs="Times New Roman"/>
                      <w:caps w:val="0"/>
                      <w:smallCaps w:val="0"/>
                      <w:color w:val="auto"/>
                      <w:sz w:val="21"/>
                      <w:szCs w:val="21"/>
                      <w:vertAlign w:val="baseline"/>
                      <w:lang w:val="en-US" w:eastAsia="zh-CN"/>
                    </w:rPr>
                    <w:t>Ⅴ</w:t>
                  </w:r>
                  <w:r>
                    <w:rPr>
                      <w:rFonts w:hint="eastAsia" w:ascii="Times New Roman" w:hAnsi="Times New Roman" w:eastAsia="宋体" w:cs="Times New Roman"/>
                      <w:caps w:val="0"/>
                      <w:smallCaps w:val="0"/>
                      <w:color w:val="auto"/>
                      <w:sz w:val="21"/>
                      <w:szCs w:val="21"/>
                      <w:vertAlign w:val="baseline"/>
                      <w:lang w:val="en-US" w:eastAsia="zh-CN"/>
                    </w:rPr>
                    <w:t>类</w:t>
                  </w:r>
                </w:p>
              </w:tc>
              <w:tc>
                <w:tcPr>
                  <w:tcW w:w="2277" w:type="dxa"/>
                  <w:vMerge w:val="restart"/>
                  <w:vAlign w:val="center"/>
                </w:tcPr>
                <w:p w14:paraId="2E05E8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default" w:ascii="Times New Roman" w:hAnsi="Times New Roman" w:eastAsia="宋体" w:cs="Times New Roman"/>
                      <w:caps w:val="0"/>
                      <w:smallCaps w:val="0"/>
                      <w:color w:val="auto"/>
                      <w:sz w:val="21"/>
                      <w:szCs w:val="21"/>
                      <w:vertAlign w:val="baseline"/>
                      <w:lang w:val="en-US" w:eastAsia="zh-CN"/>
                    </w:rPr>
                    <w:t>《地表水环境质量标准》（GB3838-2002）Ⅲ类</w:t>
                  </w:r>
                </w:p>
              </w:tc>
              <w:tc>
                <w:tcPr>
                  <w:tcW w:w="1179" w:type="dxa"/>
                  <w:vAlign w:val="center"/>
                </w:tcPr>
                <w:p w14:paraId="5F517B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未达标</w:t>
                  </w:r>
                </w:p>
              </w:tc>
            </w:tr>
            <w:tr w14:paraId="2B68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7" w:type="dxa"/>
                  <w:vMerge w:val="continue"/>
                  <w:vAlign w:val="center"/>
                </w:tcPr>
                <w:p w14:paraId="18C8A6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aps w:val="0"/>
                      <w:smallCaps w:val="0"/>
                      <w:color w:val="auto"/>
                      <w:sz w:val="21"/>
                      <w:szCs w:val="21"/>
                      <w:vertAlign w:val="baseline"/>
                      <w:lang w:val="en-US" w:eastAsia="zh-CN"/>
                    </w:rPr>
                  </w:pPr>
                </w:p>
              </w:tc>
              <w:tc>
                <w:tcPr>
                  <w:tcW w:w="1950" w:type="dxa"/>
                  <w:vAlign w:val="center"/>
                </w:tcPr>
                <w:p w14:paraId="163EE4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2025年第二季度</w:t>
                  </w:r>
                </w:p>
              </w:tc>
              <w:tc>
                <w:tcPr>
                  <w:tcW w:w="1554" w:type="dxa"/>
                  <w:vAlign w:val="center"/>
                </w:tcPr>
                <w:p w14:paraId="68357C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default" w:ascii="Times New Roman" w:hAnsi="Times New Roman" w:eastAsia="宋体" w:cs="Times New Roman"/>
                      <w:caps w:val="0"/>
                      <w:smallCaps w:val="0"/>
                      <w:color w:val="auto"/>
                      <w:sz w:val="21"/>
                      <w:szCs w:val="21"/>
                      <w:vertAlign w:val="baseline"/>
                      <w:lang w:val="en-US" w:eastAsia="zh-CN"/>
                    </w:rPr>
                    <w:t>Ⅴ</w:t>
                  </w:r>
                  <w:r>
                    <w:rPr>
                      <w:rFonts w:hint="eastAsia" w:ascii="Times New Roman" w:hAnsi="Times New Roman" w:eastAsia="宋体" w:cs="Times New Roman"/>
                      <w:caps w:val="0"/>
                      <w:smallCaps w:val="0"/>
                      <w:color w:val="auto"/>
                      <w:sz w:val="21"/>
                      <w:szCs w:val="21"/>
                      <w:vertAlign w:val="baseline"/>
                      <w:lang w:val="en-US" w:eastAsia="zh-CN"/>
                    </w:rPr>
                    <w:t>类</w:t>
                  </w:r>
                </w:p>
              </w:tc>
              <w:tc>
                <w:tcPr>
                  <w:tcW w:w="2277" w:type="dxa"/>
                  <w:vMerge w:val="continue"/>
                  <w:vAlign w:val="center"/>
                </w:tcPr>
                <w:p w14:paraId="39AB02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p>
              </w:tc>
              <w:tc>
                <w:tcPr>
                  <w:tcW w:w="1179" w:type="dxa"/>
                  <w:vAlign w:val="center"/>
                </w:tcPr>
                <w:p w14:paraId="3B7FD6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未达标</w:t>
                  </w:r>
                </w:p>
              </w:tc>
            </w:tr>
            <w:tr w14:paraId="5C65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7" w:type="dxa"/>
                  <w:vMerge w:val="continue"/>
                  <w:vAlign w:val="center"/>
                </w:tcPr>
                <w:p w14:paraId="6E68B4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aps w:val="0"/>
                      <w:smallCaps w:val="0"/>
                      <w:color w:val="auto"/>
                      <w:sz w:val="21"/>
                      <w:szCs w:val="21"/>
                      <w:vertAlign w:val="baseline"/>
                      <w:lang w:val="en-US" w:eastAsia="zh-CN"/>
                    </w:rPr>
                  </w:pPr>
                </w:p>
              </w:tc>
              <w:tc>
                <w:tcPr>
                  <w:tcW w:w="1950" w:type="dxa"/>
                  <w:vAlign w:val="center"/>
                </w:tcPr>
                <w:p w14:paraId="3CA19A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2025年第三季度</w:t>
                  </w:r>
                </w:p>
              </w:tc>
              <w:tc>
                <w:tcPr>
                  <w:tcW w:w="1554" w:type="dxa"/>
                  <w:vAlign w:val="center"/>
                </w:tcPr>
                <w:p w14:paraId="4275C1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default" w:ascii="Times New Roman" w:hAnsi="Times New Roman" w:eastAsia="宋体" w:cs="Times New Roman"/>
                      <w:caps w:val="0"/>
                      <w:smallCaps w:val="0"/>
                      <w:color w:val="auto"/>
                      <w:sz w:val="21"/>
                      <w:szCs w:val="21"/>
                      <w:vertAlign w:val="baseline"/>
                      <w:lang w:val="en-US" w:eastAsia="zh-CN"/>
                    </w:rPr>
                    <w:t>Ⅴ</w:t>
                  </w:r>
                  <w:r>
                    <w:rPr>
                      <w:rFonts w:hint="eastAsia" w:ascii="Times New Roman" w:hAnsi="Times New Roman" w:eastAsia="宋体" w:cs="Times New Roman"/>
                      <w:caps w:val="0"/>
                      <w:smallCaps w:val="0"/>
                      <w:color w:val="auto"/>
                      <w:sz w:val="21"/>
                      <w:szCs w:val="21"/>
                      <w:vertAlign w:val="baseline"/>
                      <w:lang w:val="en-US" w:eastAsia="zh-CN"/>
                    </w:rPr>
                    <w:t>类</w:t>
                  </w:r>
                </w:p>
              </w:tc>
              <w:tc>
                <w:tcPr>
                  <w:tcW w:w="2277" w:type="dxa"/>
                  <w:vMerge w:val="continue"/>
                  <w:vAlign w:val="center"/>
                </w:tcPr>
                <w:p w14:paraId="3935D7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p>
              </w:tc>
              <w:tc>
                <w:tcPr>
                  <w:tcW w:w="1179" w:type="dxa"/>
                  <w:vAlign w:val="center"/>
                </w:tcPr>
                <w:p w14:paraId="431716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未达标</w:t>
                  </w:r>
                </w:p>
              </w:tc>
            </w:tr>
            <w:tr w14:paraId="1D4D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7" w:type="dxa"/>
                  <w:vMerge w:val="continue"/>
                  <w:vAlign w:val="center"/>
                </w:tcPr>
                <w:p w14:paraId="6544FF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aps w:val="0"/>
                      <w:smallCaps w:val="0"/>
                      <w:color w:val="auto"/>
                      <w:sz w:val="21"/>
                      <w:szCs w:val="21"/>
                      <w:vertAlign w:val="baseline"/>
                      <w:lang w:val="en-US" w:eastAsia="zh-CN"/>
                    </w:rPr>
                  </w:pPr>
                </w:p>
              </w:tc>
              <w:tc>
                <w:tcPr>
                  <w:tcW w:w="1950" w:type="dxa"/>
                  <w:vAlign w:val="center"/>
                </w:tcPr>
                <w:p w14:paraId="267555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2025年第四季度</w:t>
                  </w:r>
                </w:p>
              </w:tc>
              <w:tc>
                <w:tcPr>
                  <w:tcW w:w="1554" w:type="dxa"/>
                  <w:vAlign w:val="center"/>
                </w:tcPr>
                <w:p w14:paraId="0AF2D4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default" w:ascii="Times New Roman" w:hAnsi="Times New Roman" w:eastAsia="宋体" w:cs="Times New Roman"/>
                      <w:caps w:val="0"/>
                      <w:smallCaps w:val="0"/>
                      <w:color w:val="auto"/>
                      <w:sz w:val="21"/>
                      <w:szCs w:val="21"/>
                      <w:vertAlign w:val="baseline"/>
                      <w:lang w:val="en-US" w:eastAsia="zh-CN"/>
                    </w:rPr>
                    <w:t>Ⅴ</w:t>
                  </w:r>
                  <w:r>
                    <w:rPr>
                      <w:rFonts w:hint="eastAsia" w:ascii="Times New Roman" w:hAnsi="Times New Roman" w:eastAsia="宋体" w:cs="Times New Roman"/>
                      <w:caps w:val="0"/>
                      <w:smallCaps w:val="0"/>
                      <w:color w:val="auto"/>
                      <w:sz w:val="21"/>
                      <w:szCs w:val="21"/>
                      <w:vertAlign w:val="baseline"/>
                      <w:lang w:val="en-US" w:eastAsia="zh-CN"/>
                    </w:rPr>
                    <w:t>类</w:t>
                  </w:r>
                </w:p>
              </w:tc>
              <w:tc>
                <w:tcPr>
                  <w:tcW w:w="2277" w:type="dxa"/>
                  <w:vMerge w:val="continue"/>
                  <w:vAlign w:val="center"/>
                </w:tcPr>
                <w:p w14:paraId="0A6FB7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p>
              </w:tc>
              <w:tc>
                <w:tcPr>
                  <w:tcW w:w="1179" w:type="dxa"/>
                  <w:vAlign w:val="center"/>
                </w:tcPr>
                <w:p w14:paraId="7F1D7F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aps w:val="0"/>
                      <w:smallCaps w:val="0"/>
                      <w:color w:val="auto"/>
                      <w:sz w:val="21"/>
                      <w:szCs w:val="21"/>
                      <w:vertAlign w:val="baseline"/>
                      <w:lang w:val="en-US" w:eastAsia="zh-CN"/>
                    </w:rPr>
                  </w:pPr>
                  <w:r>
                    <w:rPr>
                      <w:rFonts w:hint="eastAsia" w:ascii="Times New Roman" w:hAnsi="Times New Roman" w:eastAsia="宋体" w:cs="Times New Roman"/>
                      <w:caps w:val="0"/>
                      <w:smallCaps w:val="0"/>
                      <w:color w:val="auto"/>
                      <w:sz w:val="21"/>
                      <w:szCs w:val="21"/>
                      <w:vertAlign w:val="baseline"/>
                      <w:lang w:val="en-US" w:eastAsia="zh-CN"/>
                    </w:rPr>
                    <w:t>未达标</w:t>
                  </w:r>
                </w:p>
              </w:tc>
            </w:tr>
          </w:tbl>
          <w:p w14:paraId="41889014">
            <w:pPr>
              <w:pStyle w:val="22"/>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bCs/>
                <w:color w:val="auto"/>
                <w:sz w:val="24"/>
              </w:rPr>
              <w:t>根据</w:t>
            </w:r>
            <w:r>
              <w:rPr>
                <w:rFonts w:hint="eastAsia" w:ascii="Times New Roman" w:hAnsi="Times New Roman"/>
                <w:bCs/>
                <w:color w:val="auto"/>
                <w:sz w:val="24"/>
                <w:lang w:val="en-US" w:eastAsia="zh-CN"/>
              </w:rPr>
              <w:t>上表</w:t>
            </w:r>
            <w:r>
              <w:rPr>
                <w:rFonts w:hint="default" w:ascii="Times New Roman" w:hAnsi="Times New Roman"/>
                <w:bCs/>
                <w:color w:val="auto"/>
                <w:sz w:val="24"/>
              </w:rPr>
              <w:t>可知，</w:t>
            </w:r>
            <w:r>
              <w:rPr>
                <w:rFonts w:hint="default" w:ascii="Times New Roman" w:hAnsi="Times New Roman" w:eastAsia="宋体" w:cs="Times New Roman"/>
                <w:caps w:val="0"/>
                <w:smallCaps w:val="0"/>
                <w:color w:val="auto"/>
                <w:sz w:val="24"/>
                <w:lang w:val="en-US" w:eastAsia="zh-CN"/>
              </w:rPr>
              <w:t>潘所海</w:t>
            </w:r>
            <w:r>
              <w:rPr>
                <w:rFonts w:hint="default" w:ascii="Times New Roman" w:hAnsi="Times New Roman" w:eastAsia="宋体" w:cs="Times New Roman"/>
                <w:color w:val="auto"/>
                <w:sz w:val="24"/>
                <w:szCs w:val="24"/>
                <w:highlight w:val="none"/>
              </w:rPr>
              <w:t>水质不能达到《地表水环境质量标准》（GB3838-2002）Ⅲ类标准限值</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不能满足相关功能区划要求</w:t>
            </w:r>
            <w:r>
              <w:rPr>
                <w:rFonts w:hint="default" w:ascii="Times New Roman" w:hAnsi="Times New Roman" w:eastAsia="宋体" w:cs="Times New Roman"/>
                <w:color w:val="auto"/>
                <w:sz w:val="24"/>
                <w:szCs w:val="24"/>
                <w:highlight w:val="none"/>
                <w:lang w:eastAsia="zh-CN"/>
              </w:rPr>
              <w:t>。</w:t>
            </w:r>
          </w:p>
          <w:p w14:paraId="3A0B8D0F">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lang w:eastAsia="zh-CN"/>
              </w:rPr>
            </w:pPr>
            <w:r>
              <w:rPr>
                <w:rFonts w:hint="default" w:ascii="Times New Roman" w:hAnsi="Times New Roman" w:eastAsia="宋体" w:cs="Times New Roman"/>
                <w:b/>
                <w:bCs/>
                <w:color w:val="auto"/>
                <w:sz w:val="24"/>
                <w:lang w:eastAsia="zh-CN"/>
              </w:rPr>
              <w:t>3、声环境质量现状</w:t>
            </w:r>
          </w:p>
          <w:p w14:paraId="1EBED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val="en-US" w:eastAsia="zh-CN"/>
              </w:rPr>
              <w:t>项目选址位于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lang w:val="en-US" w:eastAsia="zh-CN"/>
              </w:rPr>
              <w:t>，主导功能为工业发展、物流仓储。</w:t>
            </w:r>
            <w:r>
              <w:rPr>
                <w:rFonts w:hint="default" w:ascii="Times New Roman" w:hAnsi="Times New Roman" w:eastAsia="宋体" w:cs="Times New Roman"/>
                <w:color w:val="auto"/>
                <w:sz w:val="24"/>
                <w:szCs w:val="24"/>
                <w:highlight w:val="none"/>
                <w:lang w:val="en-US" w:eastAsia="zh-CN"/>
              </w:rPr>
              <w:t>根据</w:t>
            </w:r>
            <w:r>
              <w:rPr>
                <w:rFonts w:hint="default" w:ascii="Times New Roman" w:hAnsi="Times New Roman" w:eastAsia="宋体" w:cs="Times New Roman"/>
                <w:b w:val="0"/>
                <w:bCs w:val="0"/>
                <w:color w:val="auto"/>
                <w:kern w:val="2"/>
                <w:sz w:val="24"/>
                <w:szCs w:val="24"/>
                <w:highlight w:val="none"/>
                <w:lang w:val="zh-CN"/>
              </w:rPr>
              <w:t>《</w:t>
            </w:r>
            <w:r>
              <w:rPr>
                <w:rFonts w:hint="default" w:ascii="Times New Roman" w:hAnsi="Times New Roman" w:eastAsia="宋体" w:cs="Times New Roman"/>
                <w:b w:val="0"/>
                <w:bCs w:val="0"/>
                <w:color w:val="auto"/>
                <w:sz w:val="24"/>
                <w:szCs w:val="24"/>
              </w:rPr>
              <w:t>云南寻甸产业园区总体规划修编（2021-2035）环境影</w:t>
            </w:r>
            <w:r>
              <w:rPr>
                <w:rFonts w:hint="default" w:ascii="Times New Roman" w:hAnsi="Times New Roman" w:eastAsia="宋体" w:cs="Times New Roman"/>
                <w:b w:val="0"/>
                <w:bCs w:val="0"/>
                <w:color w:val="auto"/>
                <w:sz w:val="24"/>
                <w:szCs w:val="24"/>
                <w:highlight w:val="none"/>
              </w:rPr>
              <w:t>响报告书</w:t>
            </w:r>
            <w:r>
              <w:rPr>
                <w:rFonts w:hint="default" w:ascii="Times New Roman" w:hAnsi="Times New Roman" w:eastAsia="宋体" w:cs="Times New Roman"/>
                <w:b w:val="0"/>
                <w:bCs w:val="0"/>
                <w:color w:val="auto"/>
                <w:kern w:val="2"/>
                <w:sz w:val="24"/>
                <w:szCs w:val="24"/>
                <w:highlight w:val="none"/>
                <w:lang w:val="zh-CN" w:eastAsia="zh-CN"/>
              </w:rPr>
              <w:t>》</w:t>
            </w:r>
            <w:r>
              <w:rPr>
                <w:rFonts w:hint="default" w:ascii="Times New Roman" w:hAnsi="Times New Roman" w:eastAsia="宋体" w:cs="Times New Roman"/>
                <w:b w:val="0"/>
                <w:bCs w:val="0"/>
                <w:color w:val="auto"/>
                <w:kern w:val="2"/>
                <w:sz w:val="24"/>
                <w:szCs w:val="24"/>
                <w:highlight w:val="none"/>
                <w:lang w:val="en-US" w:eastAsia="zh-CN"/>
              </w:rPr>
              <w:t>可知，</w:t>
            </w:r>
            <w:r>
              <w:rPr>
                <w:rFonts w:hint="default" w:ascii="Times New Roman" w:hAnsi="Times New Roman" w:eastAsia="宋体" w:cs="Times New Roman"/>
                <w:color w:val="auto"/>
                <w:sz w:val="24"/>
                <w:szCs w:val="24"/>
              </w:rPr>
              <w:t>工业、仓储物流区执行《声环境质量标准》（GB3096-2008）3类标准</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highlight w:val="none"/>
                <w:lang w:val="zh-CN"/>
              </w:rPr>
              <w:t>因此</w:t>
            </w:r>
            <w:r>
              <w:rPr>
                <w:rFonts w:hint="default" w:ascii="Times New Roman" w:hAnsi="Times New Roman" w:eastAsia="宋体" w:cs="Times New Roman"/>
                <w:color w:val="auto"/>
                <w:sz w:val="24"/>
                <w:highlight w:val="none"/>
              </w:rPr>
              <w:t>评价区域</w:t>
            </w:r>
            <w:r>
              <w:rPr>
                <w:rFonts w:hint="default" w:ascii="Times New Roman" w:hAnsi="Times New Roman" w:eastAsia="宋体" w:cs="Times New Roman"/>
                <w:color w:val="auto"/>
                <w:sz w:val="24"/>
                <w:highlight w:val="none"/>
                <w:lang w:val="zh-CN"/>
              </w:rPr>
              <w:t>属于</w:t>
            </w:r>
            <w:r>
              <w:rPr>
                <w:rFonts w:hint="default" w:ascii="Times New Roman" w:hAnsi="Times New Roman" w:eastAsia="宋体" w:cs="Times New Roman"/>
                <w:color w:val="auto"/>
                <w:sz w:val="24"/>
                <w:highlight w:val="none"/>
              </w:rPr>
              <w:t>《声环境质量标准》（GB3096-2008）3类声环境功能区。</w:t>
            </w:r>
          </w:p>
          <w:p w14:paraId="09AA0163">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lang w:eastAsia="zh-CN"/>
              </w:rPr>
              <w:t>根据《建设项目环境影响报告表编制技术指南（污染影响类）（试行）》，项目厂界外50m范围内无声环境保护目标，无需开展声环境质量现状监测。根据昆明市生态环境局发布的《2024年度昆明市生态环境状况公报》，2024年，寻甸县区域环境昼间等效声级平均值为46.3分贝，区域昼间环境噪声总体水平评价为一级（好）。根据现场调查，项目周边500m范围内主要分布有家具制造、建筑涂料生产加工、生活用品及纸制品加工、塑胶制品制造、机械设备制造、铝材加工及建材仓储销售等企业（详见前文表1-21项目周边企业情况一览表），现有企业均已建成投产，运行正常，与本项目产业类型相近，区域以工业企业为主，无学校、医院、集中居民区等噪声敏感目标。周围存在较多工业污染源，各工业源均采取了隔声降噪措施，项目所在区域声环境能满足《声环境质量标准》（GB3096-2008）3类区标准要求。</w:t>
            </w:r>
          </w:p>
          <w:p w14:paraId="00446BE3">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4、生态环境现状</w:t>
            </w:r>
          </w:p>
          <w:p w14:paraId="0CAA4D15">
            <w:pPr>
              <w:keepNext w:val="0"/>
              <w:keepLines w:val="0"/>
              <w:suppressLineNumbers w:val="0"/>
              <w:adjustRightInd w:val="0"/>
              <w:snapToGrid w:val="0"/>
              <w:spacing w:before="0" w:beforeAutospacing="0" w:after="0" w:afterAutospacing="0" w:line="360" w:lineRule="auto"/>
              <w:ind w:left="0" w:right="0" w:firstLine="480"/>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sz w:val="24"/>
              </w:rPr>
              <w:t>项目选址位于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rPr>
              <w:t>，</w:t>
            </w:r>
            <w:r>
              <w:rPr>
                <w:rFonts w:hint="default" w:ascii="Times New Roman" w:hAnsi="Times New Roman" w:eastAsia="宋体" w:cs="Times New Roman"/>
                <w:color w:val="000000"/>
                <w:sz w:val="24"/>
              </w:rPr>
              <w:t>区域</w:t>
            </w:r>
            <w:r>
              <w:rPr>
                <w:rFonts w:hint="default" w:ascii="Times New Roman" w:hAnsi="Times New Roman" w:eastAsia="宋体" w:cs="Times New Roman"/>
                <w:color w:val="000000"/>
                <w:sz w:val="24"/>
                <w:lang w:val="zh-CN"/>
              </w:rPr>
              <w:t>现状主要为水泥路面和人工绿化植被，无天然植被，生态环境自我调节能力低。调查范围内未涉及国家保护的珍贵野生动、植物。</w:t>
            </w:r>
            <w:r>
              <w:rPr>
                <w:rFonts w:hint="default" w:ascii="Times New Roman" w:hAnsi="Times New Roman" w:eastAsia="宋体" w:cs="Times New Roman"/>
                <w:color w:val="000000"/>
                <w:sz w:val="24"/>
              </w:rPr>
              <w:t>评价范围</w:t>
            </w:r>
            <w:r>
              <w:rPr>
                <w:rFonts w:hint="default" w:ascii="Times New Roman" w:hAnsi="Times New Roman" w:eastAsia="宋体" w:cs="Times New Roman"/>
                <w:color w:val="000000"/>
                <w:sz w:val="24"/>
                <w:lang w:val="zh-CN"/>
              </w:rPr>
              <w:t>内无自然保护区、风景名胜区、森林公园、历史文化遗迹等需要特殊保护的生态敏感目标，无国家珍稀濒危保护物种、国家重点保护野生植物和云南省级重点野生保护动物，也没有特有种类存在</w:t>
            </w:r>
            <w:r>
              <w:rPr>
                <w:rFonts w:hint="default" w:ascii="Times New Roman" w:hAnsi="Times New Roman" w:eastAsia="宋体" w:cs="Times New Roman"/>
                <w:color w:val="auto"/>
                <w:sz w:val="24"/>
                <w:lang w:val="zh-CN"/>
              </w:rPr>
              <w:t>。</w:t>
            </w:r>
            <w:r>
              <w:rPr>
                <w:rFonts w:hint="default" w:ascii="Times New Roman" w:hAnsi="Times New Roman" w:eastAsia="宋体" w:cs="Times New Roman"/>
                <w:color w:val="auto"/>
                <w:sz w:val="24"/>
              </w:rPr>
              <w:t>综上所述，项目区生态环境质量一般。</w:t>
            </w:r>
          </w:p>
        </w:tc>
      </w:tr>
      <w:tr w14:paraId="47AE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8" w:hRule="atLeast"/>
          <w:jc w:val="center"/>
        </w:trPr>
        <w:tc>
          <w:tcPr>
            <w:tcW w:w="504" w:type="dxa"/>
            <w:noWrap w:val="0"/>
            <w:vAlign w:val="center"/>
          </w:tcPr>
          <w:p w14:paraId="0EA9C09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 w:val="24"/>
              </w:rPr>
              <w:t>环境保护目标</w:t>
            </w:r>
          </w:p>
        </w:tc>
        <w:tc>
          <w:tcPr>
            <w:tcW w:w="8557" w:type="dxa"/>
            <w:noWrap w:val="0"/>
            <w:vAlign w:val="center"/>
          </w:tcPr>
          <w:p w14:paraId="01E6181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bookmarkStart w:id="9" w:name="_Toc3558545"/>
            <w:r>
              <w:rPr>
                <w:rFonts w:hint="default" w:ascii="Times New Roman" w:hAnsi="Times New Roman" w:eastAsia="宋体" w:cs="Times New Roman"/>
                <w:color w:val="auto"/>
                <w:sz w:val="24"/>
                <w:szCs w:val="24"/>
              </w:rPr>
              <w:t>根据《建设项目环境影响报告表编制技术指南（污染影响类）（试行）》，本项目环境保护目标识别方式如下：</w:t>
            </w:r>
          </w:p>
          <w:p w14:paraId="4D42B67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1、大气环境。明确厂界外500米范围内的自然保护区、风景名胜区、居住区、文化区和农村地区中人群较集中的区域等保护目标的名称及与建设项目厂界位置关系。</w:t>
            </w:r>
          </w:p>
          <w:p w14:paraId="699D7A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2、声环境。明确厂界外50米范围内声环境保护目标，根据现场调查，项目周边50m范围内无声环境保护目标。</w:t>
            </w:r>
          </w:p>
          <w:p w14:paraId="4E01E55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3、地下水环境。明确厂界外500米范围内的地下水集中式饮用水水源和热水、矿泉水、温泉等特殊地下水资源。</w:t>
            </w:r>
          </w:p>
          <w:p w14:paraId="17BF48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4、生态环境。产业园区外建设项目新增用地的，应明确新增用地范围内生态环境保护目标。</w:t>
            </w:r>
            <w:r>
              <w:rPr>
                <w:rFonts w:hint="eastAsia" w:ascii="Times New Roman" w:hAnsi="Times New Roman" w:eastAsia="宋体" w:cs="Times New Roman"/>
                <w:color w:val="auto"/>
                <w:sz w:val="24"/>
                <w:szCs w:val="24"/>
                <w:lang w:val="en-US" w:eastAsia="zh-CN"/>
              </w:rPr>
              <w:t>本项目</w:t>
            </w:r>
            <w:r>
              <w:rPr>
                <w:rFonts w:hint="eastAsia" w:ascii="Times New Roman" w:hAnsi="Times New Roman"/>
                <w:color w:val="auto"/>
                <w:sz w:val="24"/>
              </w:rPr>
              <w:t>租用</w:t>
            </w:r>
            <w:r>
              <w:rPr>
                <w:rFonts w:hint="eastAsia" w:ascii="Times New Roman" w:hAnsi="Times New Roman"/>
                <w:color w:val="auto"/>
                <w:sz w:val="24"/>
                <w:lang w:eastAsia="zh-CN"/>
              </w:rPr>
              <w:t>云南鹏达冠得有限公司</w:t>
            </w:r>
            <w:r>
              <w:rPr>
                <w:rFonts w:hint="eastAsia" w:ascii="Times New Roman" w:hAnsi="Times New Roman"/>
                <w:color w:val="auto"/>
                <w:sz w:val="24"/>
              </w:rPr>
              <w:t>已建闲置厂房进行建设</w:t>
            </w:r>
            <w:r>
              <w:rPr>
                <w:rFonts w:hint="eastAsia" w:ascii="Times New Roman" w:hAnsi="Times New Roman"/>
                <w:color w:val="auto"/>
                <w:sz w:val="24"/>
                <w:lang w:eastAsia="zh-CN"/>
              </w:rPr>
              <w:t>，</w:t>
            </w:r>
            <w:r>
              <w:rPr>
                <w:rFonts w:hint="eastAsia" w:ascii="Times New Roman" w:hAnsi="Times New Roman"/>
                <w:color w:val="auto"/>
                <w:sz w:val="24"/>
                <w:lang w:val="en-US" w:eastAsia="zh-CN"/>
              </w:rPr>
              <w:t>区域现状已进行硬化，用地范围内</w:t>
            </w:r>
            <w:r>
              <w:rPr>
                <w:rFonts w:hint="eastAsia"/>
                <w:color w:val="auto"/>
                <w:sz w:val="24"/>
                <w:lang w:val="en-US" w:eastAsia="zh-CN"/>
              </w:rPr>
              <w:t>无</w:t>
            </w:r>
            <w:r>
              <w:rPr>
                <w:rFonts w:hint="eastAsia" w:ascii="Times New Roman" w:hAnsi="Times New Roman"/>
                <w:color w:val="auto"/>
                <w:sz w:val="24"/>
                <w:lang w:val="en-US" w:eastAsia="zh-CN"/>
              </w:rPr>
              <w:t>生态保护目标。</w:t>
            </w:r>
          </w:p>
          <w:p w14:paraId="284C4C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szCs w:val="24"/>
              </w:rPr>
              <w:t>根据现场调查，项目</w:t>
            </w:r>
            <w:r>
              <w:rPr>
                <w:rFonts w:hint="default" w:ascii="Times New Roman" w:hAnsi="Times New Roman" w:eastAsia="宋体" w:cs="Times New Roman"/>
                <w:color w:val="auto"/>
                <w:sz w:val="24"/>
                <w:szCs w:val="24"/>
                <w:lang w:eastAsia="zh-CN"/>
              </w:rPr>
              <w:t>50</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eastAsia="zh-CN"/>
              </w:rPr>
              <w:t>m范围内无</w:t>
            </w:r>
            <w:r>
              <w:rPr>
                <w:rFonts w:hint="default" w:ascii="Times New Roman" w:hAnsi="Times New Roman" w:eastAsia="宋体" w:cs="Times New Roman"/>
                <w:color w:val="auto"/>
                <w:sz w:val="24"/>
                <w:szCs w:val="24"/>
                <w:lang w:val="en-US" w:eastAsia="zh-CN"/>
              </w:rPr>
              <w:t>大气</w:t>
            </w:r>
            <w:r>
              <w:rPr>
                <w:rFonts w:hint="default" w:ascii="Times New Roman" w:hAnsi="Times New Roman" w:eastAsia="宋体" w:cs="Times New Roman"/>
                <w:color w:val="auto"/>
                <w:sz w:val="24"/>
                <w:szCs w:val="24"/>
                <w:lang w:eastAsia="zh-CN"/>
              </w:rPr>
              <w:t>环境保护目标，</w:t>
            </w:r>
            <w:r>
              <w:rPr>
                <w:rFonts w:hint="default" w:ascii="Times New Roman" w:hAnsi="Times New Roman" w:eastAsia="宋体" w:cs="Times New Roman"/>
                <w:color w:val="auto"/>
                <w:sz w:val="24"/>
                <w:szCs w:val="24"/>
              </w:rPr>
              <w:t>项目</w:t>
            </w:r>
            <w:r>
              <w:rPr>
                <w:rFonts w:hint="default" w:ascii="Times New Roman" w:hAnsi="Times New Roman" w:eastAsia="宋体" w:cs="Times New Roman"/>
                <w:color w:val="auto"/>
                <w:sz w:val="24"/>
                <w:szCs w:val="24"/>
                <w:lang w:eastAsia="zh-CN"/>
              </w:rPr>
              <w:t>50m范围内无声环境保护目标，项目厂界外500m范围内无集中式饮用水源和热水、矿泉水、温泉等特殊地下水资源，项目区域及周边200m范围内无国家、省、市（县）级保护动植物分布，无生态环境保护目标。</w:t>
            </w:r>
            <w:r>
              <w:rPr>
                <w:rFonts w:hint="default" w:ascii="Times New Roman" w:hAnsi="Times New Roman" w:eastAsia="宋体" w:cs="Times New Roman"/>
                <w:color w:val="auto"/>
                <w:sz w:val="24"/>
              </w:rPr>
              <w:t>项目主要的环境保护目标具体见表3-</w:t>
            </w:r>
            <w:r>
              <w:rPr>
                <w:rFonts w:hint="eastAsia" w:cs="Times New Roman"/>
                <w:color w:val="auto"/>
                <w:sz w:val="24"/>
                <w:lang w:val="en-US" w:eastAsia="zh-CN"/>
              </w:rPr>
              <w:t>5</w:t>
            </w:r>
            <w:r>
              <w:rPr>
                <w:rFonts w:hint="default" w:ascii="Times New Roman" w:hAnsi="Times New Roman" w:eastAsia="宋体" w:cs="Times New Roman"/>
                <w:color w:val="auto"/>
                <w:sz w:val="24"/>
              </w:rPr>
              <w:t>。</w:t>
            </w:r>
            <w:bookmarkEnd w:id="9"/>
          </w:p>
          <w:p w14:paraId="3890CA07">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表3-</w:t>
            </w:r>
            <w:r>
              <w:rPr>
                <w:rFonts w:hint="eastAsia" w:cs="Times New Roman"/>
                <w:b/>
                <w:bCs/>
                <w:color w:val="auto"/>
                <w:sz w:val="21"/>
                <w:szCs w:val="21"/>
                <w:lang w:val="en-US" w:eastAsia="zh-CN"/>
              </w:rPr>
              <w:t>5</w:t>
            </w:r>
            <w:r>
              <w:rPr>
                <w:rFonts w:hint="default" w:ascii="Times New Roman" w:hAnsi="Times New Roman" w:eastAsia="宋体" w:cs="Times New Roman"/>
                <w:b/>
                <w:bCs/>
                <w:color w:val="auto"/>
                <w:sz w:val="21"/>
                <w:szCs w:val="21"/>
              </w:rPr>
              <w:t xml:space="preserve">  环境保护目标一览表</w:t>
            </w:r>
          </w:p>
          <w:tbl>
            <w:tblPr>
              <w:tblStyle w:val="3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0"/>
              <w:gridCol w:w="1095"/>
              <w:gridCol w:w="915"/>
              <w:gridCol w:w="1815"/>
              <w:gridCol w:w="1126"/>
              <w:gridCol w:w="2266"/>
            </w:tblGrid>
            <w:tr w14:paraId="5115E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060" w:type="dxa"/>
                  <w:noWrap w:val="0"/>
                  <w:vAlign w:val="center"/>
                </w:tcPr>
                <w:p w14:paraId="222269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环境要素</w:t>
                  </w:r>
                </w:p>
              </w:tc>
              <w:tc>
                <w:tcPr>
                  <w:tcW w:w="1095" w:type="dxa"/>
                  <w:noWrap w:val="0"/>
                  <w:vAlign w:val="center"/>
                </w:tcPr>
                <w:p w14:paraId="163D17A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保护对象</w:t>
                  </w:r>
                </w:p>
              </w:tc>
              <w:tc>
                <w:tcPr>
                  <w:tcW w:w="915" w:type="dxa"/>
                  <w:noWrap w:val="0"/>
                  <w:vAlign w:val="center"/>
                </w:tcPr>
                <w:p w14:paraId="2A7F78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与厂界距离</w:t>
                  </w:r>
                </w:p>
              </w:tc>
              <w:tc>
                <w:tcPr>
                  <w:tcW w:w="1815" w:type="dxa"/>
                  <w:noWrap w:val="0"/>
                  <w:vAlign w:val="center"/>
                </w:tcPr>
                <w:p w14:paraId="0B62BF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地理位置</w:t>
                  </w:r>
                </w:p>
              </w:tc>
              <w:tc>
                <w:tcPr>
                  <w:tcW w:w="1126" w:type="dxa"/>
                  <w:noWrap w:val="0"/>
                  <w:vAlign w:val="center"/>
                </w:tcPr>
                <w:p w14:paraId="68F044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规模（人）</w:t>
                  </w:r>
                </w:p>
              </w:tc>
              <w:tc>
                <w:tcPr>
                  <w:tcW w:w="2266" w:type="dxa"/>
                  <w:noWrap w:val="0"/>
                  <w:vAlign w:val="center"/>
                </w:tcPr>
                <w:p w14:paraId="728E567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保护级别</w:t>
                  </w:r>
                </w:p>
              </w:tc>
            </w:tr>
            <w:tr w14:paraId="32054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060" w:type="dxa"/>
                  <w:noWrap w:val="0"/>
                  <w:vAlign w:val="center"/>
                </w:tcPr>
                <w:p w14:paraId="719E975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地表水环境</w:t>
                  </w:r>
                </w:p>
              </w:tc>
              <w:tc>
                <w:tcPr>
                  <w:tcW w:w="1095" w:type="dxa"/>
                  <w:noWrap w:val="0"/>
                  <w:vAlign w:val="center"/>
                </w:tcPr>
                <w:p w14:paraId="2E8F3E7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highlight w:val="none"/>
                      <w:lang w:val="en-US" w:eastAsia="zh-CN"/>
                    </w:rPr>
                    <w:t>潘所海</w:t>
                  </w:r>
                </w:p>
              </w:tc>
              <w:tc>
                <w:tcPr>
                  <w:tcW w:w="915" w:type="dxa"/>
                  <w:noWrap w:val="0"/>
                  <w:vAlign w:val="center"/>
                </w:tcPr>
                <w:p w14:paraId="00156BDB">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南侧5.2km</w:t>
                  </w:r>
                </w:p>
              </w:tc>
              <w:tc>
                <w:tcPr>
                  <w:tcW w:w="1815" w:type="dxa"/>
                  <w:noWrap w:val="0"/>
                  <w:vAlign w:val="center"/>
                </w:tcPr>
                <w:p w14:paraId="3A43DF4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E：103°12′7.944″</w:t>
                  </w:r>
                </w:p>
                <w:p w14:paraId="076F1C14">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N：25°32′14.122″</w:t>
                  </w:r>
                </w:p>
              </w:tc>
              <w:tc>
                <w:tcPr>
                  <w:tcW w:w="1126" w:type="dxa"/>
                  <w:noWrap w:val="0"/>
                  <w:vAlign w:val="center"/>
                </w:tcPr>
                <w:p w14:paraId="2E950D79">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w:t>
                  </w:r>
                </w:p>
              </w:tc>
              <w:tc>
                <w:tcPr>
                  <w:tcW w:w="2266" w:type="dxa"/>
                  <w:noWrap w:val="0"/>
                  <w:vAlign w:val="center"/>
                </w:tcPr>
                <w:p w14:paraId="207B35DC">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《地表水环境质量标准》（GB3838-2002）Ⅲ类标准</w:t>
                  </w:r>
                </w:p>
              </w:tc>
            </w:tr>
          </w:tbl>
          <w:p w14:paraId="613D2379">
            <w:pPr>
              <w:pStyle w:val="60"/>
              <w:keepNext w:val="0"/>
              <w:keepLines w:val="0"/>
              <w:suppressLineNumbers w:val="0"/>
              <w:spacing w:before="0" w:beforeAutospacing="0" w:after="0" w:afterAutospacing="0"/>
              <w:ind w:firstLine="0"/>
              <w:jc w:val="both"/>
              <w:rPr>
                <w:rFonts w:hint="default" w:ascii="Times New Roman" w:hAnsi="Times New Roman" w:eastAsia="宋体" w:cs="Times New Roman"/>
                <w:bCs/>
                <w:color w:val="auto"/>
                <w:szCs w:val="21"/>
              </w:rPr>
            </w:pPr>
          </w:p>
        </w:tc>
      </w:tr>
      <w:tr w14:paraId="7458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noWrap w:val="0"/>
            <w:tcMar>
              <w:left w:w="28" w:type="dxa"/>
              <w:right w:w="28" w:type="dxa"/>
            </w:tcMar>
            <w:vAlign w:val="center"/>
          </w:tcPr>
          <w:p w14:paraId="6B01D96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 w:val="24"/>
              </w:rPr>
              <w:t>污染物排放控制标准</w:t>
            </w:r>
          </w:p>
        </w:tc>
        <w:tc>
          <w:tcPr>
            <w:tcW w:w="8557" w:type="dxa"/>
            <w:noWrap w:val="0"/>
            <w:vAlign w:val="center"/>
          </w:tcPr>
          <w:p w14:paraId="57EA8CC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1、废气</w:t>
            </w:r>
          </w:p>
          <w:p w14:paraId="490D2BC5">
            <w:pPr>
              <w:keepNext w:val="0"/>
              <w:keepLines w:val="0"/>
              <w:suppressLineNumbers w:val="0"/>
              <w:bidi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施工期</w:t>
            </w:r>
          </w:p>
          <w:p w14:paraId="38C88A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caps w:val="0"/>
                <w:smallCaps w:val="0"/>
                <w:color w:val="auto"/>
                <w:sz w:val="24"/>
              </w:rPr>
              <w:t>施工期扬尘执行《大气污染物综合排放标准》（GB16297-1996）表2中的无组织排放监控浓度限值</w:t>
            </w:r>
            <w:r>
              <w:rPr>
                <w:rFonts w:hint="default" w:ascii="Times New Roman" w:hAnsi="Times New Roman" w:eastAsia="宋体" w:cs="Times New Roman"/>
                <w:color w:val="auto"/>
                <w:sz w:val="24"/>
              </w:rPr>
              <w:t>，即厂界颗粒物</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sz w:val="24"/>
              </w:rPr>
              <w:t>1.0mg/m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p>
          <w:p w14:paraId="7E371D41">
            <w:pPr>
              <w:keepNext w:val="0"/>
              <w:keepLines w:val="0"/>
              <w:suppressLineNumbers w:val="0"/>
              <w:bidi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运营期</w:t>
            </w:r>
          </w:p>
          <w:p w14:paraId="772375AE">
            <w:pPr>
              <w:keepNext w:val="0"/>
              <w:keepLines w:val="0"/>
              <w:suppressLineNumbers w:val="0"/>
              <w:bidi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 1 \* GB3 \* MERGEFORMAT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z w:val="24"/>
                <w:szCs w:val="24"/>
              </w:rPr>
              <w:t>①</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lang w:val="en-US" w:eastAsia="zh-CN"/>
              </w:rPr>
              <w:t>有组织废气：</w:t>
            </w:r>
            <w:r>
              <w:rPr>
                <w:rFonts w:hint="default" w:ascii="Times New Roman" w:hAnsi="Times New Roman" w:eastAsia="宋体" w:cs="Times New Roman"/>
                <w:color w:val="auto"/>
                <w:sz w:val="24"/>
                <w:szCs w:val="24"/>
                <w:highlight w:val="none"/>
                <w:lang w:val="en-US" w:eastAsia="zh-CN"/>
              </w:rPr>
              <w:t>项目加热注塑工序产生的非甲烷总烃、异味经设备上方设置的集气罩收集进入一套三级活性炭吸附装置</w:t>
            </w:r>
            <w:r>
              <w:rPr>
                <w:rFonts w:hint="default" w:ascii="Times New Roman" w:hAnsi="Times New Roman" w:eastAsia="宋体" w:cs="Times New Roman"/>
                <w:color w:val="auto"/>
                <w:sz w:val="24"/>
                <w:szCs w:val="24"/>
                <w:lang w:val="en-US" w:eastAsia="zh-CN"/>
              </w:rPr>
              <w:t>处理后</w:t>
            </w:r>
            <w:r>
              <w:rPr>
                <w:rFonts w:hint="default" w:ascii="Times New Roman" w:hAnsi="Times New Roman" w:eastAsia="宋体" w:cs="Times New Roman"/>
                <w:color w:val="auto"/>
                <w:sz w:val="24"/>
                <w:szCs w:val="24"/>
                <w:highlight w:val="none"/>
                <w:lang w:val="en-US" w:eastAsia="zh-CN"/>
              </w:rPr>
              <w:t>通过1根15m高的排气筒（DA001）排放。</w:t>
            </w:r>
            <w:r>
              <w:rPr>
                <w:rFonts w:hint="default" w:ascii="Times New Roman" w:hAnsi="Times New Roman" w:eastAsia="宋体" w:cs="Times New Roman"/>
                <w:b w:val="0"/>
                <w:bCs w:val="0"/>
                <w:color w:val="auto"/>
                <w:sz w:val="24"/>
                <w:szCs w:val="24"/>
                <w:highlight w:val="none"/>
                <w:lang w:val="en-US" w:eastAsia="zh-CN"/>
              </w:rPr>
              <w:t>非甲烷总烃</w:t>
            </w:r>
            <w:r>
              <w:rPr>
                <w:rFonts w:hint="default" w:ascii="Times New Roman" w:hAnsi="Times New Roman" w:eastAsia="宋体" w:cs="Times New Roman"/>
                <w:color w:val="auto"/>
                <w:sz w:val="24"/>
                <w:szCs w:val="24"/>
                <w:highlight w:val="none"/>
                <w:lang w:val="en-US" w:eastAsia="zh-CN"/>
              </w:rPr>
              <w:t>排放执行《合成树脂工业污染物排放标准》（GB31572-2015含2024年修改单）表4中标准限值，</w:t>
            </w:r>
            <w:r>
              <w:rPr>
                <w:rFonts w:hint="eastAsia" w:cs="Times New Roman"/>
                <w:color w:val="auto"/>
                <w:sz w:val="24"/>
                <w:szCs w:val="24"/>
                <w:highlight w:val="none"/>
                <w:lang w:val="en-US" w:eastAsia="zh-CN"/>
              </w:rPr>
              <w:t>臭气浓度</w:t>
            </w:r>
            <w:r>
              <w:rPr>
                <w:rFonts w:hint="default" w:ascii="Times New Roman" w:hAnsi="Times New Roman" w:eastAsia="宋体" w:cs="Times New Roman"/>
                <w:color w:val="auto"/>
                <w:sz w:val="24"/>
                <w:szCs w:val="24"/>
                <w:highlight w:val="none"/>
                <w:lang w:val="en-US" w:eastAsia="zh-CN"/>
              </w:rPr>
              <w:t>排放</w:t>
            </w:r>
            <w:r>
              <w:rPr>
                <w:rFonts w:hint="default" w:ascii="Times New Roman" w:hAnsi="Times New Roman" w:eastAsia="宋体" w:cs="Times New Roman"/>
                <w:color w:val="auto"/>
                <w:sz w:val="24"/>
                <w:szCs w:val="24"/>
                <w:lang w:val="en-US" w:eastAsia="zh-CN"/>
              </w:rPr>
              <w:t>执行《恶臭污染物排放标准》（GB14554-93）表2中标准限值。具体标准值详见下表。</w:t>
            </w:r>
          </w:p>
          <w:p w14:paraId="488A7273">
            <w:pPr>
              <w:keepNext w:val="0"/>
              <w:keepLines w:val="0"/>
              <w:suppressLineNumbers w:val="0"/>
              <w:bidi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cs="Times New Roman"/>
                <w:b/>
                <w:bCs/>
                <w:color w:val="auto"/>
                <w:sz w:val="21"/>
                <w:szCs w:val="21"/>
                <w:lang w:val="en-US" w:eastAsia="zh-CN"/>
              </w:rPr>
              <w:t>6</w:t>
            </w:r>
            <w:r>
              <w:rPr>
                <w:rFonts w:hint="default" w:ascii="Times New Roman" w:hAnsi="Times New Roman" w:eastAsia="宋体" w:cs="Times New Roman"/>
                <w:b/>
                <w:bCs/>
                <w:color w:val="auto"/>
                <w:sz w:val="21"/>
                <w:szCs w:val="21"/>
                <w:lang w:val="en-US" w:eastAsia="zh-CN"/>
              </w:rPr>
              <w:t xml:space="preserve">  项目有组织废气污染物排放标准限值</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0"/>
              <w:gridCol w:w="1137"/>
              <w:gridCol w:w="1575"/>
              <w:gridCol w:w="1207"/>
              <w:gridCol w:w="921"/>
              <w:gridCol w:w="1334"/>
              <w:gridCol w:w="1277"/>
            </w:tblGrid>
            <w:tr w14:paraId="5BE27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80" w:type="dxa"/>
                  <w:noWrap w:val="0"/>
                  <w:vAlign w:val="center"/>
                </w:tcPr>
                <w:p w14:paraId="52BA17D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污染源</w:t>
                  </w:r>
                </w:p>
              </w:tc>
              <w:tc>
                <w:tcPr>
                  <w:tcW w:w="1137" w:type="dxa"/>
                  <w:noWrap w:val="0"/>
                  <w:vAlign w:val="center"/>
                </w:tcPr>
                <w:p w14:paraId="7547442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1575" w:type="dxa"/>
                  <w:noWrap w:val="0"/>
                  <w:vAlign w:val="center"/>
                </w:tcPr>
                <w:p w14:paraId="006A963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执行标准</w:t>
                  </w:r>
                </w:p>
              </w:tc>
              <w:tc>
                <w:tcPr>
                  <w:tcW w:w="1207" w:type="dxa"/>
                  <w:noWrap w:val="0"/>
                  <w:vAlign w:val="center"/>
                </w:tcPr>
                <w:p w14:paraId="4EC4BD8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排放限值</w:t>
                  </w:r>
                </w:p>
              </w:tc>
              <w:tc>
                <w:tcPr>
                  <w:tcW w:w="921" w:type="dxa"/>
                  <w:noWrap w:val="0"/>
                  <w:vAlign w:val="center"/>
                </w:tcPr>
                <w:p w14:paraId="64B5623B">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排气筒高度</w:t>
                  </w:r>
                </w:p>
              </w:tc>
              <w:tc>
                <w:tcPr>
                  <w:tcW w:w="1334" w:type="dxa"/>
                  <w:noWrap w:val="0"/>
                  <w:vAlign w:val="center"/>
                </w:tcPr>
                <w:p w14:paraId="6139E1D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适用的合成树脂类型</w:t>
                  </w:r>
                </w:p>
              </w:tc>
              <w:tc>
                <w:tcPr>
                  <w:tcW w:w="1277" w:type="dxa"/>
                  <w:noWrap w:val="0"/>
                  <w:vAlign w:val="center"/>
                </w:tcPr>
                <w:p w14:paraId="68F534E3">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污染物排放监控位置</w:t>
                  </w:r>
                </w:p>
              </w:tc>
            </w:tr>
            <w:tr w14:paraId="40B54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80" w:type="dxa"/>
                  <w:vMerge w:val="restart"/>
                  <w:noWrap w:val="0"/>
                  <w:vAlign w:val="center"/>
                </w:tcPr>
                <w:p w14:paraId="7CC2033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DA001</w:t>
                  </w:r>
                </w:p>
              </w:tc>
              <w:tc>
                <w:tcPr>
                  <w:tcW w:w="1137" w:type="dxa"/>
                  <w:noWrap w:val="0"/>
                  <w:vAlign w:val="center"/>
                </w:tcPr>
                <w:p w14:paraId="2DC4E72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非甲烷总烃</w:t>
                  </w:r>
                </w:p>
              </w:tc>
              <w:tc>
                <w:tcPr>
                  <w:tcW w:w="1575" w:type="dxa"/>
                  <w:noWrap w:val="0"/>
                  <w:vAlign w:val="center"/>
                </w:tcPr>
                <w:p w14:paraId="4748CF4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GB31572-2015</w:t>
                  </w:r>
                </w:p>
              </w:tc>
              <w:tc>
                <w:tcPr>
                  <w:tcW w:w="1207" w:type="dxa"/>
                  <w:noWrap w:val="0"/>
                  <w:vAlign w:val="center"/>
                </w:tcPr>
                <w:p w14:paraId="744DC5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100</w:t>
                  </w:r>
                  <w:r>
                    <w:rPr>
                      <w:rFonts w:hint="default" w:ascii="Times New Roman" w:hAnsi="Times New Roman" w:eastAsia="宋体" w:cs="Times New Roman"/>
                      <w:color w:val="auto"/>
                      <w:sz w:val="21"/>
                      <w:szCs w:val="21"/>
                      <w:lang w:val="en-US" w:eastAsia="zh-CN"/>
                    </w:rPr>
                    <w:t>mg/m</w:t>
                  </w:r>
                  <w:r>
                    <w:rPr>
                      <w:rFonts w:hint="default" w:ascii="Times New Roman" w:hAnsi="Times New Roman" w:eastAsia="宋体" w:cs="Times New Roman"/>
                      <w:color w:val="auto"/>
                      <w:sz w:val="21"/>
                      <w:szCs w:val="21"/>
                      <w:vertAlign w:val="superscript"/>
                      <w:lang w:val="en-US" w:eastAsia="zh-CN"/>
                    </w:rPr>
                    <w:t>3</w:t>
                  </w:r>
                </w:p>
              </w:tc>
              <w:tc>
                <w:tcPr>
                  <w:tcW w:w="921" w:type="dxa"/>
                  <w:vMerge w:val="restart"/>
                  <w:noWrap w:val="0"/>
                  <w:vAlign w:val="center"/>
                </w:tcPr>
                <w:p w14:paraId="6E2AEA9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至少不低于</w:t>
                  </w:r>
                  <w:r>
                    <w:rPr>
                      <w:rFonts w:hint="default" w:ascii="Times New Roman" w:hAnsi="Times New Roman" w:eastAsia="宋体" w:cs="Times New Roman"/>
                      <w:color w:val="auto"/>
                      <w:sz w:val="21"/>
                      <w:szCs w:val="21"/>
                      <w:lang w:val="en-US" w:eastAsia="zh-CN"/>
                    </w:rPr>
                    <w:t>15m</w:t>
                  </w:r>
                </w:p>
              </w:tc>
              <w:tc>
                <w:tcPr>
                  <w:tcW w:w="1334" w:type="dxa"/>
                  <w:noWrap w:val="0"/>
                  <w:vAlign w:val="center"/>
                </w:tcPr>
                <w:p w14:paraId="43D025D3">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所有合成树脂</w:t>
                  </w:r>
                </w:p>
              </w:tc>
              <w:tc>
                <w:tcPr>
                  <w:tcW w:w="1277" w:type="dxa"/>
                  <w:vMerge w:val="restart"/>
                  <w:noWrap w:val="0"/>
                  <w:vAlign w:val="center"/>
                </w:tcPr>
                <w:p w14:paraId="62FFC19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排气筒</w:t>
                  </w:r>
                </w:p>
              </w:tc>
            </w:tr>
            <w:tr w14:paraId="681DD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80" w:type="dxa"/>
                  <w:vMerge w:val="continue"/>
                  <w:noWrap w:val="0"/>
                  <w:vAlign w:val="center"/>
                </w:tcPr>
                <w:p w14:paraId="4291953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137" w:type="dxa"/>
                  <w:noWrap w:val="0"/>
                  <w:vAlign w:val="center"/>
                </w:tcPr>
                <w:p w14:paraId="1993779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臭气浓度</w:t>
                  </w:r>
                </w:p>
              </w:tc>
              <w:tc>
                <w:tcPr>
                  <w:tcW w:w="1575" w:type="dxa"/>
                  <w:noWrap w:val="0"/>
                  <w:vAlign w:val="center"/>
                </w:tcPr>
                <w:p w14:paraId="4F8285A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GB14554-93</w:t>
                  </w:r>
                </w:p>
              </w:tc>
              <w:tc>
                <w:tcPr>
                  <w:tcW w:w="1207" w:type="dxa"/>
                  <w:noWrap w:val="0"/>
                  <w:vAlign w:val="center"/>
                </w:tcPr>
                <w:p w14:paraId="1F3A831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2000</w:t>
                  </w:r>
                </w:p>
                <w:p w14:paraId="5EDD2B4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921" w:type="dxa"/>
                  <w:vMerge w:val="continue"/>
                  <w:noWrap w:val="0"/>
                  <w:vAlign w:val="center"/>
                </w:tcPr>
                <w:p w14:paraId="7A57863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334" w:type="dxa"/>
                  <w:noWrap w:val="0"/>
                  <w:vAlign w:val="center"/>
                </w:tcPr>
                <w:p w14:paraId="4CE955E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w:t>
                  </w:r>
                </w:p>
              </w:tc>
              <w:tc>
                <w:tcPr>
                  <w:tcW w:w="1277" w:type="dxa"/>
                  <w:vMerge w:val="continue"/>
                  <w:noWrap w:val="0"/>
                  <w:vAlign w:val="center"/>
                </w:tcPr>
                <w:p w14:paraId="181E18A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r>
          </w:tbl>
          <w:p w14:paraId="72E43CD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rPr>
              <w:t>②无组织废气：</w:t>
            </w:r>
            <w:r>
              <w:rPr>
                <w:rFonts w:hint="default" w:ascii="Times New Roman" w:hAnsi="Times New Roman" w:eastAsia="宋体" w:cs="Times New Roman"/>
                <w:b w:val="0"/>
                <w:bCs w:val="0"/>
                <w:color w:val="auto"/>
                <w:sz w:val="24"/>
                <w:szCs w:val="24"/>
                <w:lang w:val="en-US" w:eastAsia="zh-CN"/>
              </w:rPr>
              <w:t>项目运营期无组织废气主要为注塑工序集气罩未收集的</w:t>
            </w:r>
            <w:r>
              <w:rPr>
                <w:rFonts w:hint="default" w:ascii="Times New Roman" w:hAnsi="Times New Roman" w:eastAsia="宋体" w:cs="Times New Roman"/>
                <w:b w:val="0"/>
                <w:bCs w:val="0"/>
                <w:color w:val="auto"/>
                <w:sz w:val="24"/>
                <w:szCs w:val="24"/>
                <w:lang w:eastAsia="zh-CN"/>
              </w:rPr>
              <w:t>非甲烷总烃</w:t>
            </w:r>
            <w:r>
              <w:rPr>
                <w:rFonts w:hint="default" w:ascii="Times New Roman" w:hAnsi="Times New Roman" w:eastAsia="宋体" w:cs="Times New Roman"/>
                <w:b w:val="0"/>
                <w:bCs w:val="0"/>
                <w:color w:val="auto"/>
                <w:sz w:val="24"/>
                <w:szCs w:val="24"/>
                <w:lang w:val="en-US" w:eastAsia="zh-CN"/>
              </w:rPr>
              <w:t>、异味及拌料</w:t>
            </w:r>
            <w:r>
              <w:rPr>
                <w:rFonts w:hint="eastAsia" w:ascii="Times New Roman" w:hAnsi="Times New Roman" w:eastAsia="宋体" w:cs="Times New Roman"/>
                <w:b w:val="0"/>
                <w:bCs w:val="0"/>
                <w:color w:val="auto"/>
                <w:sz w:val="24"/>
                <w:szCs w:val="24"/>
                <w:lang w:val="en-US" w:eastAsia="zh-CN"/>
              </w:rPr>
              <w:t>、上料</w:t>
            </w:r>
            <w:r>
              <w:rPr>
                <w:rFonts w:hint="default" w:ascii="Times New Roman" w:hAnsi="Times New Roman" w:eastAsia="宋体" w:cs="Times New Roman"/>
                <w:b w:val="0"/>
                <w:bCs w:val="0"/>
                <w:color w:val="auto"/>
                <w:sz w:val="24"/>
                <w:szCs w:val="24"/>
                <w:lang w:val="en-US" w:eastAsia="zh-CN"/>
              </w:rPr>
              <w:t>、破碎过</w:t>
            </w:r>
            <w:r>
              <w:rPr>
                <w:rFonts w:hint="eastAsia" w:cs="Times New Roman"/>
                <w:b w:val="0"/>
                <w:bCs w:val="0"/>
                <w:color w:val="auto"/>
                <w:sz w:val="24"/>
                <w:szCs w:val="24"/>
                <w:lang w:val="en-US" w:eastAsia="zh-CN"/>
              </w:rPr>
              <w:t>程中</w:t>
            </w:r>
            <w:r>
              <w:rPr>
                <w:rFonts w:hint="default" w:ascii="Times New Roman" w:hAnsi="Times New Roman" w:eastAsia="宋体" w:cs="Times New Roman"/>
                <w:b w:val="0"/>
                <w:bCs w:val="0"/>
                <w:color w:val="auto"/>
                <w:sz w:val="24"/>
                <w:szCs w:val="24"/>
                <w:lang w:val="en-US" w:eastAsia="zh-CN"/>
              </w:rPr>
              <w:t>产生的颗粒物。颗粒物、</w:t>
            </w:r>
            <w:r>
              <w:rPr>
                <w:rFonts w:hint="default" w:ascii="Times New Roman" w:hAnsi="Times New Roman" w:eastAsia="宋体" w:cs="Times New Roman"/>
                <w:b w:val="0"/>
                <w:bCs w:val="0"/>
                <w:color w:val="auto"/>
                <w:sz w:val="24"/>
                <w:szCs w:val="24"/>
                <w:lang w:eastAsia="zh-CN"/>
              </w:rPr>
              <w:t>非甲烷总烃</w:t>
            </w:r>
            <w:r>
              <w:rPr>
                <w:rFonts w:hint="default" w:ascii="Times New Roman" w:hAnsi="Times New Roman" w:eastAsia="宋体" w:cs="Times New Roman"/>
                <w:b w:val="0"/>
                <w:bCs w:val="0"/>
                <w:color w:val="auto"/>
                <w:sz w:val="24"/>
                <w:szCs w:val="24"/>
                <w:lang w:val="en-US" w:eastAsia="zh-CN"/>
              </w:rPr>
              <w:t>厂界</w:t>
            </w:r>
            <w:r>
              <w:rPr>
                <w:rFonts w:hint="default" w:ascii="Times New Roman" w:hAnsi="Times New Roman" w:eastAsia="宋体" w:cs="Times New Roman"/>
                <w:b w:val="0"/>
                <w:bCs w:val="0"/>
                <w:color w:val="auto"/>
                <w:sz w:val="24"/>
                <w:szCs w:val="24"/>
                <w:lang w:eastAsia="zh-CN"/>
              </w:rPr>
              <w:t>无组织排放执行</w:t>
            </w:r>
            <w:r>
              <w:rPr>
                <w:rFonts w:hint="default" w:ascii="Times New Roman" w:hAnsi="Times New Roman" w:eastAsia="宋体" w:cs="Times New Roman"/>
                <w:color w:val="auto"/>
                <w:sz w:val="24"/>
                <w:szCs w:val="24"/>
                <w:lang w:val="en-US" w:eastAsia="zh-CN"/>
              </w:rPr>
              <w:t>《合成树脂工业污染物排放标准》</w:t>
            </w:r>
            <w:r>
              <w:rPr>
                <w:rFonts w:hint="default" w:ascii="Times New Roman" w:hAnsi="Times New Roman" w:eastAsia="宋体" w:cs="Times New Roman"/>
                <w:color w:val="auto"/>
                <w:sz w:val="24"/>
                <w:szCs w:val="24"/>
                <w:highlight w:val="none"/>
                <w:lang w:val="en-US" w:eastAsia="zh-CN"/>
              </w:rPr>
              <w:t>（GB31572-2015含2024年修改单）</w:t>
            </w:r>
            <w:r>
              <w:rPr>
                <w:rFonts w:hint="default" w:ascii="Times New Roman" w:hAnsi="Times New Roman" w:eastAsia="宋体" w:cs="Times New Roman"/>
                <w:color w:val="auto"/>
                <w:sz w:val="24"/>
                <w:szCs w:val="24"/>
                <w:lang w:val="en-US" w:eastAsia="zh-CN"/>
              </w:rPr>
              <w:t>表9企业边界大气污染物浓度限值，</w:t>
            </w:r>
            <w:r>
              <w:rPr>
                <w:rFonts w:hint="default" w:ascii="Times New Roman" w:hAnsi="Times New Roman" w:eastAsia="宋体" w:cs="Times New Roman"/>
                <w:color w:val="auto"/>
                <w:sz w:val="24"/>
                <w:szCs w:val="24"/>
                <w:lang w:eastAsia="zh-CN"/>
              </w:rPr>
              <w:t>异味厂界</w:t>
            </w:r>
            <w:r>
              <w:rPr>
                <w:rFonts w:hint="default" w:ascii="Times New Roman" w:hAnsi="Times New Roman" w:eastAsia="宋体" w:cs="Times New Roman"/>
                <w:color w:val="auto"/>
                <w:sz w:val="24"/>
                <w:szCs w:val="24"/>
                <w:lang w:val="en-US" w:eastAsia="zh-CN"/>
              </w:rPr>
              <w:t>无组织排放</w:t>
            </w:r>
            <w:r>
              <w:rPr>
                <w:rFonts w:hint="default" w:ascii="Times New Roman" w:hAnsi="Times New Roman" w:eastAsia="宋体" w:cs="Times New Roman"/>
                <w:color w:val="auto"/>
                <w:sz w:val="24"/>
                <w:szCs w:val="24"/>
                <w:lang w:eastAsia="zh-CN"/>
              </w:rPr>
              <w:t>执行《恶臭污染物排放标准》（GB14554-93）</w:t>
            </w:r>
            <w:r>
              <w:rPr>
                <w:rFonts w:hint="default" w:ascii="Times New Roman" w:hAnsi="Times New Roman" w:eastAsia="宋体" w:cs="Times New Roman"/>
                <w:color w:val="auto"/>
                <w:sz w:val="24"/>
                <w:szCs w:val="24"/>
                <w:lang w:val="en-US" w:eastAsia="zh-CN"/>
              </w:rPr>
              <w:t>表1</w:t>
            </w:r>
            <w:r>
              <w:rPr>
                <w:rFonts w:hint="default" w:ascii="Times New Roman" w:hAnsi="Times New Roman" w:eastAsia="宋体" w:cs="Times New Roman"/>
                <w:color w:val="auto"/>
                <w:sz w:val="24"/>
                <w:szCs w:val="24"/>
                <w:lang w:eastAsia="zh-CN"/>
              </w:rPr>
              <w:t>中“臭气浓度”新扩改建二级标准</w:t>
            </w:r>
            <w:r>
              <w:rPr>
                <w:rFonts w:hint="default" w:ascii="Times New Roman" w:hAnsi="Times New Roman" w:eastAsia="宋体" w:cs="Times New Roman"/>
                <w:color w:val="auto"/>
                <w:sz w:val="24"/>
                <w:szCs w:val="24"/>
                <w:lang w:val="en-US" w:eastAsia="zh-CN"/>
              </w:rPr>
              <w:t>。具体标准限值详见下表。</w:t>
            </w:r>
          </w:p>
          <w:p w14:paraId="1CB1D892">
            <w:pPr>
              <w:keepNext w:val="0"/>
              <w:keepLines w:val="0"/>
              <w:suppressLineNumbers w:val="0"/>
              <w:bidi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3-</w:t>
            </w:r>
            <w:r>
              <w:rPr>
                <w:rFonts w:hint="eastAsia" w:cs="Times New Roman"/>
                <w:b/>
                <w:bCs/>
                <w:color w:val="auto"/>
                <w:sz w:val="21"/>
                <w:szCs w:val="21"/>
                <w:lang w:val="en-US" w:eastAsia="zh-CN"/>
              </w:rPr>
              <w:t>7</w:t>
            </w:r>
            <w:r>
              <w:rPr>
                <w:rFonts w:hint="default" w:ascii="Times New Roman" w:hAnsi="Times New Roman" w:eastAsia="宋体" w:cs="Times New Roman"/>
                <w:b/>
                <w:bCs/>
                <w:color w:val="auto"/>
                <w:sz w:val="21"/>
                <w:szCs w:val="21"/>
                <w:lang w:val="en-US" w:eastAsia="zh-CN"/>
              </w:rPr>
              <w:t xml:space="preserve">  项目厂界无组织废气污染物</w:t>
            </w:r>
            <w:r>
              <w:rPr>
                <w:rFonts w:hint="default" w:ascii="Times New Roman" w:hAnsi="Times New Roman" w:eastAsia="宋体" w:cs="Times New Roman"/>
                <w:b/>
                <w:bCs/>
                <w:color w:val="auto"/>
                <w:sz w:val="21"/>
                <w:szCs w:val="21"/>
              </w:rPr>
              <w:t>排放标准限值</w:t>
            </w:r>
          </w:p>
          <w:tbl>
            <w:tblPr>
              <w:tblStyle w:val="36"/>
              <w:tblW w:w="8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800"/>
              <w:gridCol w:w="2895"/>
              <w:gridCol w:w="2140"/>
            </w:tblGrid>
            <w:tr w14:paraId="54C6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5" w:type="dxa"/>
                  <w:noWrap/>
                  <w:vAlign w:val="center"/>
                </w:tcPr>
                <w:p w14:paraId="43C29EC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污染物</w:t>
                  </w:r>
                </w:p>
              </w:tc>
              <w:tc>
                <w:tcPr>
                  <w:tcW w:w="1800" w:type="dxa"/>
                  <w:noWrap/>
                  <w:vAlign w:val="center"/>
                </w:tcPr>
                <w:p w14:paraId="5FC6D7E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执行标准</w:t>
                  </w:r>
                </w:p>
              </w:tc>
              <w:tc>
                <w:tcPr>
                  <w:tcW w:w="2895" w:type="dxa"/>
                  <w:noWrap/>
                  <w:vAlign w:val="center"/>
                </w:tcPr>
                <w:p w14:paraId="7E5E3D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监控要求</w:t>
                  </w:r>
                </w:p>
              </w:tc>
              <w:tc>
                <w:tcPr>
                  <w:tcW w:w="2140" w:type="dxa"/>
                  <w:noWrap/>
                  <w:vAlign w:val="center"/>
                </w:tcPr>
                <w:p w14:paraId="0804625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浓度</w:t>
                  </w:r>
                  <w:r>
                    <w:rPr>
                      <w:rFonts w:hint="default" w:ascii="Times New Roman" w:hAnsi="Times New Roman" w:eastAsia="宋体" w:cs="Times New Roman"/>
                      <w:b/>
                      <w:bCs/>
                      <w:color w:val="auto"/>
                      <w:sz w:val="21"/>
                      <w:szCs w:val="21"/>
                      <w:lang w:val="en-US" w:eastAsia="zh-CN"/>
                    </w:rPr>
                    <w:t>限值</w:t>
                  </w:r>
                  <w:r>
                    <w:rPr>
                      <w:rFonts w:hint="default" w:ascii="Times New Roman" w:hAnsi="Times New Roman" w:eastAsia="宋体" w:cs="Times New Roman"/>
                      <w:b/>
                      <w:bCs/>
                      <w:color w:val="auto"/>
                      <w:sz w:val="21"/>
                      <w:szCs w:val="21"/>
                    </w:rPr>
                    <w:t>（mg/m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w:t>
                  </w:r>
                </w:p>
              </w:tc>
            </w:tr>
            <w:tr w14:paraId="5E37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5" w:type="dxa"/>
                  <w:noWrap/>
                  <w:vAlign w:val="center"/>
                </w:tcPr>
                <w:p w14:paraId="4B5FB2D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颗粒物</w:t>
                  </w:r>
                </w:p>
              </w:tc>
              <w:tc>
                <w:tcPr>
                  <w:tcW w:w="1800" w:type="dxa"/>
                  <w:vMerge w:val="restart"/>
                  <w:noWrap/>
                  <w:vAlign w:val="center"/>
                </w:tcPr>
                <w:p w14:paraId="1C574C8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GB31572-2015</w:t>
                  </w:r>
                </w:p>
              </w:tc>
              <w:tc>
                <w:tcPr>
                  <w:tcW w:w="2895" w:type="dxa"/>
                  <w:vMerge w:val="restart"/>
                  <w:noWrap/>
                  <w:vAlign w:val="center"/>
                </w:tcPr>
                <w:p w14:paraId="6530882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企业边界任何1小时大气污染物平均浓度</w:t>
                  </w:r>
                </w:p>
              </w:tc>
              <w:tc>
                <w:tcPr>
                  <w:tcW w:w="2140" w:type="dxa"/>
                  <w:noWrap/>
                  <w:vAlign w:val="center"/>
                </w:tcPr>
                <w:p w14:paraId="76FEFCA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r>
            <w:tr w14:paraId="08B7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5" w:type="dxa"/>
                  <w:noWrap/>
                  <w:vAlign w:val="center"/>
                </w:tcPr>
                <w:p w14:paraId="30DB9B9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非甲烷总烃</w:t>
                  </w:r>
                </w:p>
              </w:tc>
              <w:tc>
                <w:tcPr>
                  <w:tcW w:w="1800" w:type="dxa"/>
                  <w:vMerge w:val="continue"/>
                  <w:noWrap/>
                  <w:vAlign w:val="center"/>
                </w:tcPr>
                <w:p w14:paraId="6827342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2895" w:type="dxa"/>
                  <w:vMerge w:val="continue"/>
                  <w:noWrap/>
                  <w:vAlign w:val="center"/>
                </w:tcPr>
                <w:p w14:paraId="799286B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2140" w:type="dxa"/>
                  <w:noWrap/>
                  <w:vAlign w:val="center"/>
                </w:tcPr>
                <w:p w14:paraId="19E877E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r>
            <w:tr w14:paraId="0B06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5" w:type="dxa"/>
                  <w:noWrap/>
                  <w:vAlign w:val="center"/>
                </w:tcPr>
                <w:p w14:paraId="03EBB4F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臭气浓度</w:t>
                  </w:r>
                </w:p>
              </w:tc>
              <w:tc>
                <w:tcPr>
                  <w:tcW w:w="1800" w:type="dxa"/>
                  <w:noWrap/>
                  <w:vAlign w:val="center"/>
                </w:tcPr>
                <w:p w14:paraId="11BF21A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GB14554-93</w:t>
                  </w:r>
                </w:p>
              </w:tc>
              <w:tc>
                <w:tcPr>
                  <w:tcW w:w="2895" w:type="dxa"/>
                  <w:noWrap/>
                  <w:vAlign w:val="center"/>
                </w:tcPr>
                <w:p w14:paraId="6F8CC5A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w:t>
                  </w:r>
                </w:p>
              </w:tc>
              <w:tc>
                <w:tcPr>
                  <w:tcW w:w="2140" w:type="dxa"/>
                  <w:noWrap/>
                  <w:vAlign w:val="center"/>
                </w:tcPr>
                <w:p w14:paraId="4FDC7AC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20（无量纲）</w:t>
                  </w:r>
                </w:p>
              </w:tc>
            </w:tr>
          </w:tbl>
          <w:p w14:paraId="494F666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105" w:leftChars="-50" w:right="-105" w:rightChars="-50" w:firstLine="482"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③厂区内挥发性有机物：</w:t>
            </w:r>
            <w:r>
              <w:rPr>
                <w:rFonts w:hint="default" w:ascii="Times New Roman" w:hAnsi="Times New Roman" w:eastAsia="宋体" w:cs="Times New Roman"/>
                <w:b w:val="0"/>
                <w:bCs w:val="0"/>
                <w:color w:val="auto"/>
                <w:sz w:val="24"/>
                <w:szCs w:val="24"/>
                <w:lang w:val="en-US" w:eastAsia="zh-CN"/>
              </w:rPr>
              <w:t>项目</w:t>
            </w:r>
            <w:r>
              <w:rPr>
                <w:rFonts w:hint="default" w:ascii="Times New Roman" w:hAnsi="Times New Roman" w:eastAsia="宋体" w:cs="Times New Roman"/>
                <w:color w:val="auto"/>
                <w:sz w:val="24"/>
                <w:szCs w:val="24"/>
                <w:lang w:val="en-US" w:eastAsia="zh-CN"/>
              </w:rPr>
              <w:t>注塑工序</w:t>
            </w:r>
            <w:r>
              <w:rPr>
                <w:rFonts w:hint="default" w:ascii="Times New Roman" w:hAnsi="Times New Roman" w:eastAsia="宋体" w:cs="Times New Roman"/>
                <w:color w:val="auto"/>
                <w:sz w:val="24"/>
                <w:szCs w:val="24"/>
              </w:rPr>
              <w:t>无组织排放的有机废气企业厂区内VOC</w:t>
            </w:r>
            <w:r>
              <w:rPr>
                <w:rFonts w:hint="default" w:ascii="Times New Roman" w:hAnsi="Times New Roman" w:eastAsia="宋体" w:cs="Times New Roman"/>
                <w:color w:val="auto"/>
                <w:sz w:val="24"/>
                <w:szCs w:val="24"/>
                <w:vertAlign w:val="subscript"/>
              </w:rPr>
              <w:t>S</w:t>
            </w:r>
            <w:r>
              <w:rPr>
                <w:rFonts w:hint="default" w:ascii="Times New Roman" w:hAnsi="Times New Roman" w:eastAsia="宋体" w:cs="Times New Roman"/>
                <w:color w:val="auto"/>
                <w:sz w:val="24"/>
                <w:szCs w:val="24"/>
              </w:rPr>
              <w:t>无组织排放执行《挥发性有机物无组织排放控制标准》（GB37822-2019）</w:t>
            </w:r>
            <w:r>
              <w:rPr>
                <w:rFonts w:hint="default" w:ascii="Times New Roman" w:hAnsi="Times New Roman" w:eastAsia="宋体" w:cs="Times New Roman"/>
                <w:color w:val="auto"/>
                <w:sz w:val="24"/>
                <w:szCs w:val="24"/>
                <w:lang w:val="en-US" w:eastAsia="zh-CN"/>
              </w:rPr>
              <w:t>表A.1</w:t>
            </w:r>
            <w:r>
              <w:rPr>
                <w:rFonts w:hint="default" w:ascii="Times New Roman" w:hAnsi="Times New Roman" w:eastAsia="宋体" w:cs="Times New Roman"/>
                <w:color w:val="auto"/>
                <w:sz w:val="24"/>
                <w:szCs w:val="24"/>
              </w:rPr>
              <w:t>中的排放限值，标准限值见下表</w:t>
            </w:r>
            <w:r>
              <w:rPr>
                <w:rFonts w:hint="default" w:ascii="Times New Roman" w:hAnsi="Times New Roman" w:eastAsia="宋体" w:cs="Times New Roman"/>
                <w:b w:val="0"/>
                <w:bCs w:val="0"/>
                <w:color w:val="auto"/>
                <w:sz w:val="24"/>
                <w:szCs w:val="24"/>
                <w:lang w:eastAsia="zh-CN"/>
              </w:rPr>
              <w:t>。</w:t>
            </w:r>
          </w:p>
          <w:p w14:paraId="6BCA88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8</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 xml:space="preserve"> 厂区内</w:t>
            </w:r>
            <w:r>
              <w:rPr>
                <w:rFonts w:hint="default" w:ascii="Times New Roman" w:hAnsi="Times New Roman" w:eastAsia="宋体" w:cs="Times New Roman"/>
                <w:b/>
                <w:bCs/>
                <w:color w:val="auto"/>
                <w:sz w:val="21"/>
                <w:szCs w:val="21"/>
                <w:lang w:val="en-US" w:eastAsia="zh-CN"/>
              </w:rPr>
              <w:t>非甲烷总烃</w:t>
            </w:r>
            <w:r>
              <w:rPr>
                <w:rFonts w:hint="default" w:ascii="Times New Roman" w:hAnsi="Times New Roman" w:eastAsia="宋体" w:cs="Times New Roman"/>
                <w:b/>
                <w:bCs/>
                <w:color w:val="auto"/>
                <w:sz w:val="21"/>
                <w:szCs w:val="21"/>
              </w:rPr>
              <w:t>无组织排放限值</w:t>
            </w:r>
          </w:p>
          <w:tbl>
            <w:tblPr>
              <w:tblStyle w:val="36"/>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1831"/>
              <w:gridCol w:w="2850"/>
              <w:gridCol w:w="2391"/>
            </w:tblGrid>
            <w:tr w14:paraId="7E92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0" w:type="dxa"/>
                  <w:noWrap w:val="0"/>
                  <w:vAlign w:val="center"/>
                </w:tcPr>
                <w:p w14:paraId="6E843FE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污染物项目</w:t>
                  </w:r>
                </w:p>
              </w:tc>
              <w:tc>
                <w:tcPr>
                  <w:tcW w:w="1831" w:type="dxa"/>
                  <w:noWrap w:val="0"/>
                  <w:vAlign w:val="center"/>
                </w:tcPr>
                <w:p w14:paraId="1246689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排放限值mg/m</w:t>
                  </w:r>
                  <w:r>
                    <w:rPr>
                      <w:rFonts w:hint="default" w:ascii="Times New Roman" w:hAnsi="Times New Roman" w:eastAsia="宋体" w:cs="Times New Roman"/>
                      <w:b/>
                      <w:bCs/>
                      <w:color w:val="auto"/>
                      <w:sz w:val="21"/>
                      <w:szCs w:val="21"/>
                      <w:vertAlign w:val="superscript"/>
                    </w:rPr>
                    <w:t>3</w:t>
                  </w:r>
                </w:p>
              </w:tc>
              <w:tc>
                <w:tcPr>
                  <w:tcW w:w="2850" w:type="dxa"/>
                  <w:noWrap w:val="0"/>
                  <w:vAlign w:val="center"/>
                </w:tcPr>
                <w:p w14:paraId="5F924A4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限值含义</w:t>
                  </w:r>
                </w:p>
              </w:tc>
              <w:tc>
                <w:tcPr>
                  <w:tcW w:w="2391" w:type="dxa"/>
                  <w:noWrap w:val="0"/>
                  <w:vAlign w:val="center"/>
                </w:tcPr>
                <w:p w14:paraId="526EF5D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无组织排放监控位置</w:t>
                  </w:r>
                </w:p>
              </w:tc>
            </w:tr>
            <w:tr w14:paraId="4826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0" w:type="dxa"/>
                  <w:vMerge w:val="restart"/>
                  <w:noWrap w:val="0"/>
                  <w:vAlign w:val="center"/>
                </w:tcPr>
                <w:p w14:paraId="4DD9DA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NMHC</w:t>
                  </w:r>
                </w:p>
              </w:tc>
              <w:tc>
                <w:tcPr>
                  <w:tcW w:w="1831" w:type="dxa"/>
                  <w:noWrap w:val="0"/>
                  <w:vAlign w:val="center"/>
                </w:tcPr>
                <w:p w14:paraId="231A955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2850" w:type="dxa"/>
                  <w:noWrap w:val="0"/>
                  <w:vAlign w:val="center"/>
                </w:tcPr>
                <w:p w14:paraId="687CCEB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监控点处1h平均浓度值</w:t>
                  </w:r>
                </w:p>
              </w:tc>
              <w:tc>
                <w:tcPr>
                  <w:tcW w:w="2391" w:type="dxa"/>
                  <w:vMerge w:val="restart"/>
                  <w:noWrap w:val="0"/>
                  <w:vAlign w:val="center"/>
                </w:tcPr>
                <w:p w14:paraId="79C18BE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在厂房外设置监控点</w:t>
                  </w:r>
                </w:p>
              </w:tc>
            </w:tr>
            <w:tr w14:paraId="5FE4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0" w:type="dxa"/>
                  <w:vMerge w:val="continue"/>
                  <w:noWrap w:val="0"/>
                  <w:vAlign w:val="center"/>
                </w:tcPr>
                <w:p w14:paraId="40646F9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c>
                <w:tcPr>
                  <w:tcW w:w="1831" w:type="dxa"/>
                  <w:noWrap w:val="0"/>
                  <w:vAlign w:val="center"/>
                </w:tcPr>
                <w:p w14:paraId="267F1A0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2850" w:type="dxa"/>
                  <w:noWrap w:val="0"/>
                  <w:vAlign w:val="center"/>
                </w:tcPr>
                <w:p w14:paraId="6B71F68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监控点处任意一次浓度值</w:t>
                  </w:r>
                </w:p>
              </w:tc>
              <w:tc>
                <w:tcPr>
                  <w:tcW w:w="2391" w:type="dxa"/>
                  <w:vMerge w:val="continue"/>
                  <w:noWrap w:val="0"/>
                  <w:vAlign w:val="center"/>
                </w:tcPr>
                <w:p w14:paraId="1AA9721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p>
              </w:tc>
            </w:tr>
          </w:tbl>
          <w:p w14:paraId="630A9A8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highlight w:val="none"/>
                <w:lang w:val="en-US" w:eastAsia="zh-CN"/>
              </w:rPr>
              <w:t>2、废水</w:t>
            </w:r>
          </w:p>
          <w:p w14:paraId="15A7875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lang w:eastAsia="zh-CN"/>
              </w:rPr>
            </w:pPr>
            <w:r>
              <w:rPr>
                <w:rFonts w:hint="default" w:ascii="Times New Roman" w:hAnsi="Times New Roman" w:eastAsia="宋体" w:cs="Times New Roman"/>
                <w:b w:val="0"/>
                <w:bCs w:val="0"/>
                <w:color w:val="auto"/>
                <w:sz w:val="24"/>
                <w:szCs w:val="24"/>
                <w:lang w:val="en-US" w:eastAsia="zh-CN"/>
              </w:rPr>
              <w:t>项目实行雨污分流，</w:t>
            </w:r>
            <w:r>
              <w:rPr>
                <w:rFonts w:hint="default" w:ascii="Times New Roman" w:hAnsi="Times New Roman" w:eastAsia="宋体" w:cs="Times New Roman"/>
                <w:color w:val="auto"/>
                <w:sz w:val="24"/>
                <w:szCs w:val="24"/>
              </w:rPr>
              <w:t>雨水经租用厂房已建的雨水收集</w:t>
            </w:r>
            <w:r>
              <w:rPr>
                <w:rFonts w:hint="default" w:ascii="Times New Roman" w:hAnsi="Times New Roman" w:eastAsia="宋体" w:cs="Times New Roman"/>
                <w:color w:val="auto"/>
                <w:sz w:val="24"/>
                <w:szCs w:val="24"/>
                <w:lang w:val="en-US" w:eastAsia="zh-CN"/>
              </w:rPr>
              <w:t>系统</w:t>
            </w:r>
            <w:r>
              <w:rPr>
                <w:rFonts w:hint="default" w:ascii="Times New Roman" w:hAnsi="Times New Roman" w:eastAsia="宋体" w:cs="Times New Roman"/>
                <w:color w:val="auto"/>
                <w:sz w:val="24"/>
                <w:szCs w:val="24"/>
              </w:rPr>
              <w:t>收集后</w:t>
            </w:r>
            <w:r>
              <w:rPr>
                <w:rFonts w:hint="default" w:ascii="Times New Roman" w:hAnsi="Times New Roman" w:eastAsia="宋体" w:cs="Times New Roman"/>
                <w:color w:val="auto"/>
                <w:kern w:val="0"/>
                <w:sz w:val="24"/>
                <w:szCs w:val="24"/>
                <w:lang w:val="en-US" w:eastAsia="zh-CN" w:bidi="ar"/>
              </w:rPr>
              <w:t>排至</w:t>
            </w:r>
            <w:r>
              <w:rPr>
                <w:rFonts w:hint="default" w:ascii="Times New Roman" w:hAnsi="Times New Roman" w:eastAsia="宋体" w:cs="Times New Roman"/>
                <w:b w:val="0"/>
                <w:bCs w:val="0"/>
                <w:color w:val="auto"/>
                <w:sz w:val="24"/>
                <w:szCs w:val="24"/>
                <w:highlight w:val="none"/>
                <w:lang w:val="en-US" w:eastAsia="zh-CN"/>
              </w:rPr>
              <w:t>市政雨水管网</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项目</w:t>
            </w:r>
            <w:r>
              <w:rPr>
                <w:rFonts w:hint="eastAsia" w:cs="Times New Roman"/>
                <w:color w:val="auto"/>
                <w:sz w:val="24"/>
                <w:szCs w:val="24"/>
                <w:lang w:val="en-US" w:eastAsia="zh-CN"/>
              </w:rPr>
              <w:t>注塑</w:t>
            </w:r>
            <w:r>
              <w:rPr>
                <w:rFonts w:hint="eastAsia" w:cs="Times New Roman"/>
                <w:color w:val="auto"/>
                <w:kern w:val="0"/>
                <w:sz w:val="24"/>
                <w:szCs w:val="24"/>
                <w:highlight w:val="none"/>
                <w:lang w:val="en-US" w:eastAsia="zh-CN" w:bidi="ar"/>
              </w:rPr>
              <w:t>间接</w:t>
            </w:r>
            <w:r>
              <w:rPr>
                <w:rFonts w:hint="default" w:ascii="Times New Roman" w:hAnsi="Times New Roman" w:eastAsia="宋体" w:cs="Times New Roman"/>
                <w:color w:val="auto"/>
                <w:kern w:val="0"/>
                <w:sz w:val="24"/>
                <w:szCs w:val="24"/>
                <w:highlight w:val="none"/>
                <w:lang w:val="en-US" w:eastAsia="zh-CN" w:bidi="ar"/>
              </w:rPr>
              <w:t>冷却循环</w:t>
            </w:r>
            <w:r>
              <w:rPr>
                <w:rFonts w:hint="eastAsia" w:cs="Times New Roman"/>
                <w:color w:val="auto"/>
                <w:kern w:val="0"/>
                <w:sz w:val="24"/>
                <w:szCs w:val="24"/>
                <w:highlight w:val="none"/>
                <w:lang w:val="en-US" w:eastAsia="zh-CN" w:bidi="ar"/>
              </w:rPr>
              <w:t>废水经</w:t>
            </w:r>
            <w:r>
              <w:rPr>
                <w:rFonts w:hint="default" w:ascii="Times New Roman" w:hAnsi="Times New Roman" w:eastAsia="宋体" w:cs="Times New Roman"/>
                <w:color w:val="auto"/>
                <w:kern w:val="0"/>
                <w:sz w:val="24"/>
                <w:szCs w:val="24"/>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4"/>
                <w:szCs w:val="24"/>
                <w:highlight w:val="none"/>
              </w:rPr>
              <w:t>用于</w:t>
            </w:r>
            <w:r>
              <w:rPr>
                <w:rFonts w:hint="default" w:ascii="Times New Roman" w:hAnsi="Times New Roman" w:eastAsia="宋体" w:cs="Times New Roman"/>
                <w:color w:val="auto"/>
                <w:kern w:val="0"/>
                <w:sz w:val="24"/>
                <w:szCs w:val="24"/>
                <w:highlight w:val="none"/>
                <w:lang w:val="en-US" w:eastAsia="zh-CN" w:bidi="ar"/>
              </w:rPr>
              <w:t>绿化浇灌及道路洒水</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生活污水</w:t>
            </w:r>
            <w:r>
              <w:rPr>
                <w:rFonts w:hint="default" w:ascii="Times New Roman" w:hAnsi="Times New Roman" w:eastAsia="宋体" w:cs="Times New Roman"/>
                <w:color w:val="auto"/>
                <w:sz w:val="24"/>
                <w:szCs w:val="24"/>
                <w:lang w:val="en-US" w:eastAsia="zh-CN"/>
              </w:rPr>
              <w:t>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已建污水处理系统（化粪池+</w:t>
            </w:r>
            <w:r>
              <w:rPr>
                <w:rFonts w:hint="default" w:ascii="Times New Roman" w:hAnsi="Times New Roman" w:eastAsia="宋体" w:cs="Times New Roman"/>
                <w:color w:val="auto"/>
                <w:kern w:val="0"/>
                <w:sz w:val="24"/>
                <w:szCs w:val="24"/>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处理</w:t>
            </w:r>
            <w:r>
              <w:rPr>
                <w:rFonts w:hint="eastAsia" w:cs="Times New Roman"/>
                <w:color w:val="auto"/>
                <w:kern w:val="0"/>
                <w:sz w:val="24"/>
                <w:szCs w:val="24"/>
                <w:lang w:val="en-US" w:eastAsia="zh-CN" w:bidi="ar"/>
              </w:rPr>
              <w:t>达到</w:t>
            </w:r>
            <w:r>
              <w:rPr>
                <w:rFonts w:hint="default" w:ascii="Times New Roman" w:hAnsi="Times New Roman" w:eastAsia="宋体" w:cs="Times New Roman"/>
                <w:color w:val="auto"/>
                <w:kern w:val="0"/>
                <w:sz w:val="24"/>
                <w:szCs w:val="24"/>
                <w:lang w:val="en-US" w:eastAsia="zh-CN" w:bidi="ar"/>
              </w:rPr>
              <w:t>《城市污水再生利用 城市杂用水水质》（GB/T18920-2020）标准后</w:t>
            </w:r>
            <w:r>
              <w:rPr>
                <w:rFonts w:hint="default" w:ascii="Times New Roman" w:hAnsi="Times New Roman" w:eastAsia="宋体" w:cs="Times New Roman"/>
                <w:color w:val="auto"/>
                <w:sz w:val="24"/>
                <w:szCs w:val="24"/>
              </w:rPr>
              <w:t>用于</w:t>
            </w:r>
            <w:r>
              <w:rPr>
                <w:rFonts w:hint="default" w:ascii="Times New Roman" w:hAnsi="Times New Roman" w:eastAsia="宋体" w:cs="Times New Roman"/>
                <w:color w:val="auto"/>
                <w:kern w:val="0"/>
                <w:sz w:val="24"/>
                <w:szCs w:val="24"/>
                <w:lang w:val="en-US" w:eastAsia="zh-CN" w:bidi="ar"/>
              </w:rPr>
              <w:t>绿化浇灌及道路洒水</w:t>
            </w:r>
            <w:r>
              <w:rPr>
                <w:rFonts w:hint="default" w:ascii="Times New Roman" w:hAnsi="Times New Roman" w:eastAsia="宋体" w:cs="Times New Roman"/>
                <w:color w:val="auto"/>
                <w:sz w:val="24"/>
                <w:szCs w:val="24"/>
              </w:rPr>
              <w:t>，</w:t>
            </w:r>
            <w:r>
              <w:rPr>
                <w:rFonts w:hint="default" w:ascii="Times New Roman" w:hAnsi="Times New Roman" w:eastAsia="宋体" w:cs="Times New Roman"/>
                <w:b w:val="0"/>
                <w:bCs w:val="0"/>
                <w:color w:val="auto"/>
                <w:sz w:val="24"/>
                <w:szCs w:val="24"/>
                <w:lang w:val="en-US" w:eastAsia="zh-CN"/>
              </w:rPr>
              <w:t>项目废水不外排</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eastAsia="宋体" w:cs="Times New Roman"/>
                <w:bCs/>
                <w:color w:val="auto"/>
                <w:kern w:val="0"/>
                <w:sz w:val="24"/>
                <w:lang w:eastAsia="zh-CN"/>
              </w:rPr>
              <w:t>因此，项目不设废水排放标准。</w:t>
            </w:r>
          </w:p>
          <w:p w14:paraId="186786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119" w:firstLine="482"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rPr>
              <w:t>噪声</w:t>
            </w:r>
          </w:p>
          <w:p w14:paraId="7227C9E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1</w:t>
            </w: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施工期</w:t>
            </w:r>
          </w:p>
          <w:p w14:paraId="6D1E91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施工噪声执行《建筑施工噪声排放标准》（GB12523-2025）噪声排放限值，即昼间</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sz w:val="24"/>
              </w:rPr>
              <w:t>70dB（A），夜间</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sz w:val="24"/>
              </w:rPr>
              <w:t>55dB（A）。</w:t>
            </w:r>
          </w:p>
          <w:p w14:paraId="6E3378E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运营期</w:t>
            </w:r>
          </w:p>
          <w:p w14:paraId="34241FB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运营期项目</w:t>
            </w:r>
            <w:r>
              <w:rPr>
                <w:rFonts w:hint="eastAsia" w:cs="Times New Roman"/>
                <w:color w:val="auto"/>
                <w:sz w:val="24"/>
                <w:lang w:val="en-US" w:eastAsia="zh-CN"/>
              </w:rPr>
              <w:t>区</w:t>
            </w:r>
            <w:r>
              <w:rPr>
                <w:rFonts w:hint="default" w:ascii="Times New Roman" w:hAnsi="Times New Roman" w:eastAsia="宋体" w:cs="Times New Roman"/>
                <w:color w:val="auto"/>
                <w:sz w:val="24"/>
              </w:rPr>
              <w:t>噪声执行《工业企业厂界环境噪声排放标准》（GB12348-2008）中</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类标准，</w:t>
            </w:r>
            <w:r>
              <w:rPr>
                <w:rFonts w:hint="eastAsia" w:cs="Times New Roman"/>
                <w:color w:val="auto"/>
                <w:sz w:val="24"/>
                <w:lang w:val="en-US" w:eastAsia="zh-CN"/>
              </w:rPr>
              <w:t>项目西侧厂界距</w:t>
            </w:r>
            <w:r>
              <w:rPr>
                <w:rFonts w:hint="eastAsia" w:cs="Times New Roman"/>
                <w:color w:val="auto"/>
                <w:sz w:val="24"/>
                <w:szCs w:val="24"/>
                <w:lang w:val="en-US" w:eastAsia="zh-CN"/>
              </w:rPr>
              <w:t>离18m处与园区主干道金海路相邻，</w:t>
            </w:r>
            <w:r>
              <w:rPr>
                <w:rFonts w:hint="default" w:ascii="Times New Roman" w:hAnsi="Times New Roman" w:eastAsia="宋体" w:cs="Times New Roman"/>
                <w:color w:val="auto"/>
                <w:sz w:val="24"/>
                <w:szCs w:val="24"/>
                <w:lang w:val="en-US" w:eastAsia="zh-CN"/>
              </w:rPr>
              <w:t>项目</w:t>
            </w:r>
            <w:r>
              <w:rPr>
                <w:rFonts w:hint="eastAsia" w:ascii="Times New Roman" w:hAnsi="Times New Roman" w:eastAsia="宋体" w:cs="Times New Roman"/>
                <w:color w:val="auto"/>
                <w:sz w:val="24"/>
                <w:szCs w:val="24"/>
                <w:lang w:val="en-US" w:eastAsia="zh-CN"/>
              </w:rPr>
              <w:t>西</w:t>
            </w:r>
            <w:r>
              <w:rPr>
                <w:rFonts w:hint="default" w:ascii="Times New Roman" w:hAnsi="Times New Roman" w:eastAsia="宋体" w:cs="Times New Roman"/>
                <w:color w:val="auto"/>
                <w:sz w:val="24"/>
                <w:szCs w:val="24"/>
                <w:lang w:val="en-US" w:eastAsia="zh-CN"/>
              </w:rPr>
              <w:t>侧</w:t>
            </w:r>
            <w:r>
              <w:rPr>
                <w:rFonts w:hint="eastAsia" w:ascii="Times New Roman" w:hAnsi="Times New Roman" w:eastAsia="宋体" w:cs="Times New Roman"/>
                <w:color w:val="auto"/>
                <w:sz w:val="24"/>
                <w:szCs w:val="24"/>
                <w:lang w:val="en-US" w:eastAsia="zh-CN"/>
              </w:rPr>
              <w:t>厂界</w:t>
            </w:r>
            <w:r>
              <w:rPr>
                <w:rFonts w:hint="default" w:ascii="Times New Roman" w:hAnsi="Times New Roman" w:eastAsia="宋体" w:cs="Times New Roman"/>
                <w:color w:val="auto"/>
                <w:sz w:val="24"/>
                <w:szCs w:val="24"/>
                <w:lang w:val="en-US" w:eastAsia="zh-CN"/>
              </w:rPr>
              <w:t>执行</w:t>
            </w:r>
            <w:r>
              <w:rPr>
                <w:rFonts w:hint="default" w:ascii="Times New Roman" w:hAnsi="Times New Roman" w:cs="Times New Roman"/>
                <w:color w:val="auto"/>
                <w:sz w:val="24"/>
                <w:szCs w:val="24"/>
                <w:highlight w:val="none"/>
              </w:rPr>
              <w:t>《工业企业厂界环境噪声排放标准》（GB12348-2008）中</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类标准</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rPr>
              <w:t>具体标准值见下表。</w:t>
            </w:r>
          </w:p>
          <w:p w14:paraId="6D988F2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表3-</w:t>
            </w:r>
            <w:r>
              <w:rPr>
                <w:rFonts w:hint="eastAsia" w:cs="Times New Roman"/>
                <w:b/>
                <w:color w:val="auto"/>
                <w:sz w:val="21"/>
                <w:szCs w:val="21"/>
                <w:lang w:val="en-US" w:eastAsia="zh-CN"/>
              </w:rPr>
              <w:t>9</w:t>
            </w:r>
            <w:r>
              <w:rPr>
                <w:rFonts w:hint="default" w:ascii="Times New Roman" w:hAnsi="Times New Roman" w:eastAsia="宋体" w:cs="Times New Roman"/>
                <w:b/>
                <w:color w:val="auto"/>
                <w:sz w:val="21"/>
                <w:szCs w:val="21"/>
              </w:rPr>
              <w:t xml:space="preserve">  项目</w:t>
            </w:r>
            <w:r>
              <w:rPr>
                <w:rFonts w:hint="default" w:ascii="Times New Roman" w:hAnsi="Times New Roman" w:eastAsia="宋体" w:cs="Times New Roman"/>
                <w:b/>
                <w:color w:val="auto"/>
                <w:sz w:val="21"/>
                <w:szCs w:val="21"/>
                <w:lang w:val="en-US" w:eastAsia="zh-CN"/>
              </w:rPr>
              <w:t>厂界</w:t>
            </w:r>
            <w:r>
              <w:rPr>
                <w:rFonts w:hint="default" w:ascii="Times New Roman" w:hAnsi="Times New Roman" w:eastAsia="宋体" w:cs="Times New Roman"/>
                <w:b/>
                <w:color w:val="auto"/>
                <w:sz w:val="21"/>
                <w:szCs w:val="21"/>
              </w:rPr>
              <w:t>噪声排放标准限值</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2382"/>
              <w:gridCol w:w="1962"/>
              <w:gridCol w:w="1894"/>
            </w:tblGrid>
            <w:tr w14:paraId="2E23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91" w:type="dxa"/>
                  <w:vMerge w:val="restart"/>
                  <w:tcBorders>
                    <w:top w:val="single" w:color="auto" w:sz="4" w:space="0"/>
                    <w:left w:val="single" w:color="auto" w:sz="4" w:space="0"/>
                    <w:bottom w:val="single" w:color="auto" w:sz="4" w:space="0"/>
                    <w:right w:val="single" w:color="auto" w:sz="4" w:space="0"/>
                  </w:tcBorders>
                  <w:noWrap w:val="0"/>
                  <w:vAlign w:val="center"/>
                </w:tcPr>
                <w:p w14:paraId="6CBE89D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厂界</w:t>
                  </w:r>
                </w:p>
              </w:tc>
              <w:tc>
                <w:tcPr>
                  <w:tcW w:w="2382" w:type="dxa"/>
                  <w:vMerge w:val="restart"/>
                  <w:tcBorders>
                    <w:top w:val="single" w:color="auto" w:sz="4" w:space="0"/>
                    <w:left w:val="single" w:color="auto" w:sz="4" w:space="0"/>
                    <w:bottom w:val="single" w:color="auto" w:sz="4" w:space="0"/>
                    <w:right w:val="single" w:color="auto" w:sz="4" w:space="0"/>
                  </w:tcBorders>
                  <w:noWrap w:val="0"/>
                  <w:vAlign w:val="center"/>
                </w:tcPr>
                <w:p w14:paraId="01F97D9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声环境功能区类别</w:t>
                  </w:r>
                </w:p>
              </w:tc>
              <w:tc>
                <w:tcPr>
                  <w:tcW w:w="3856" w:type="dxa"/>
                  <w:gridSpan w:val="2"/>
                  <w:tcBorders>
                    <w:top w:val="single" w:color="auto" w:sz="4" w:space="0"/>
                    <w:left w:val="single" w:color="auto" w:sz="4" w:space="0"/>
                    <w:bottom w:val="single" w:color="auto" w:sz="4" w:space="0"/>
                    <w:right w:val="single" w:color="auto" w:sz="4" w:space="0"/>
                  </w:tcBorders>
                  <w:noWrap w:val="0"/>
                  <w:vAlign w:val="center"/>
                </w:tcPr>
                <w:p w14:paraId="113BFF6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等效声级[dB(A)]</w:t>
                  </w:r>
                </w:p>
              </w:tc>
            </w:tr>
            <w:tr w14:paraId="3D5D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91" w:type="dxa"/>
                  <w:vMerge w:val="continue"/>
                  <w:tcBorders>
                    <w:top w:val="single" w:color="auto" w:sz="4" w:space="0"/>
                    <w:left w:val="single" w:color="auto" w:sz="4" w:space="0"/>
                    <w:bottom w:val="single" w:color="auto" w:sz="4" w:space="0"/>
                    <w:right w:val="single" w:color="auto" w:sz="4" w:space="0"/>
                  </w:tcBorders>
                  <w:noWrap w:val="0"/>
                  <w:vAlign w:val="center"/>
                </w:tcPr>
                <w:p w14:paraId="153EBE4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p>
              </w:tc>
              <w:tc>
                <w:tcPr>
                  <w:tcW w:w="2382" w:type="dxa"/>
                  <w:vMerge w:val="continue"/>
                  <w:tcBorders>
                    <w:top w:val="single" w:color="auto" w:sz="4" w:space="0"/>
                    <w:left w:val="single" w:color="auto" w:sz="4" w:space="0"/>
                    <w:bottom w:val="single" w:color="auto" w:sz="4" w:space="0"/>
                    <w:right w:val="single" w:color="auto" w:sz="4" w:space="0"/>
                  </w:tcBorders>
                  <w:noWrap w:val="0"/>
                  <w:vAlign w:val="center"/>
                </w:tcPr>
                <w:p w14:paraId="0AD2BEF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p>
              </w:tc>
              <w:tc>
                <w:tcPr>
                  <w:tcW w:w="1962" w:type="dxa"/>
                  <w:tcBorders>
                    <w:top w:val="single" w:color="auto" w:sz="4" w:space="0"/>
                    <w:left w:val="single" w:color="auto" w:sz="4" w:space="0"/>
                    <w:bottom w:val="single" w:color="auto" w:sz="4" w:space="0"/>
                    <w:right w:val="single" w:color="auto" w:sz="4" w:space="0"/>
                  </w:tcBorders>
                  <w:noWrap w:val="0"/>
                  <w:vAlign w:val="center"/>
                </w:tcPr>
                <w:p w14:paraId="1FB04BC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昼间</w:t>
                  </w:r>
                </w:p>
              </w:tc>
              <w:tc>
                <w:tcPr>
                  <w:tcW w:w="1894" w:type="dxa"/>
                  <w:tcBorders>
                    <w:top w:val="single" w:color="auto" w:sz="4" w:space="0"/>
                    <w:left w:val="single" w:color="auto" w:sz="4" w:space="0"/>
                    <w:bottom w:val="single" w:color="auto" w:sz="4" w:space="0"/>
                    <w:right w:val="single" w:color="auto" w:sz="4" w:space="0"/>
                  </w:tcBorders>
                  <w:noWrap w:val="0"/>
                  <w:vAlign w:val="center"/>
                </w:tcPr>
                <w:p w14:paraId="7CB140E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夜间</w:t>
                  </w:r>
                </w:p>
              </w:tc>
            </w:tr>
            <w:tr w14:paraId="3B97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91" w:type="dxa"/>
                  <w:tcBorders>
                    <w:top w:val="single" w:color="auto" w:sz="4" w:space="0"/>
                    <w:left w:val="single" w:color="auto" w:sz="4" w:space="0"/>
                    <w:bottom w:val="single" w:color="auto" w:sz="4" w:space="0"/>
                    <w:right w:val="single" w:color="auto" w:sz="4" w:space="0"/>
                  </w:tcBorders>
                  <w:noWrap w:val="0"/>
                  <w:vAlign w:val="center"/>
                </w:tcPr>
                <w:p w14:paraId="7FF7F34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rPr>
                  </w:pPr>
                  <w:r>
                    <w:rPr>
                      <w:rFonts w:hint="eastAsia" w:ascii="Times New Roman" w:cs="Times New Roman"/>
                      <w:color w:val="auto"/>
                      <w:sz w:val="21"/>
                      <w:szCs w:val="21"/>
                      <w:lang w:val="en-US" w:eastAsia="zh-CN"/>
                    </w:rPr>
                    <w:t>项目东、南、北侧</w:t>
                  </w:r>
                  <w:r>
                    <w:rPr>
                      <w:rFonts w:hint="default" w:ascii="Times New Roman" w:hAnsi="Times New Roman" w:eastAsia="宋体" w:cs="Times New Roman"/>
                      <w:color w:val="auto"/>
                      <w:sz w:val="21"/>
                      <w:szCs w:val="21"/>
                      <w:lang w:val="en-US" w:eastAsia="zh-CN"/>
                    </w:rPr>
                    <w:t>厂界噪声</w:t>
                  </w:r>
                </w:p>
              </w:tc>
              <w:tc>
                <w:tcPr>
                  <w:tcW w:w="2382" w:type="dxa"/>
                  <w:tcBorders>
                    <w:top w:val="single" w:color="auto" w:sz="4" w:space="0"/>
                    <w:left w:val="single" w:color="auto" w:sz="4" w:space="0"/>
                    <w:bottom w:val="single" w:color="auto" w:sz="4" w:space="0"/>
                    <w:right w:val="single" w:color="auto" w:sz="4" w:space="0"/>
                  </w:tcBorders>
                  <w:noWrap w:val="0"/>
                  <w:vAlign w:val="center"/>
                </w:tcPr>
                <w:p w14:paraId="4A90A44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类</w:t>
                  </w:r>
                </w:p>
              </w:tc>
              <w:tc>
                <w:tcPr>
                  <w:tcW w:w="1962" w:type="dxa"/>
                  <w:tcBorders>
                    <w:top w:val="single" w:color="auto" w:sz="4" w:space="0"/>
                    <w:left w:val="single" w:color="auto" w:sz="4" w:space="0"/>
                    <w:bottom w:val="single" w:color="auto" w:sz="4" w:space="0"/>
                    <w:right w:val="single" w:color="auto" w:sz="4" w:space="0"/>
                  </w:tcBorders>
                  <w:noWrap w:val="0"/>
                  <w:vAlign w:val="center"/>
                </w:tcPr>
                <w:p w14:paraId="75BA7CA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c>
                <w:tcPr>
                  <w:tcW w:w="1894" w:type="dxa"/>
                  <w:tcBorders>
                    <w:top w:val="single" w:color="auto" w:sz="4" w:space="0"/>
                    <w:left w:val="single" w:color="auto" w:sz="4" w:space="0"/>
                    <w:bottom w:val="single" w:color="auto" w:sz="4" w:space="0"/>
                    <w:right w:val="single" w:color="auto" w:sz="4" w:space="0"/>
                  </w:tcBorders>
                  <w:noWrap w:val="0"/>
                  <w:vAlign w:val="center"/>
                </w:tcPr>
                <w:p w14:paraId="1B33B9D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r>
            <w:tr w14:paraId="1DD2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91" w:type="dxa"/>
                  <w:tcBorders>
                    <w:top w:val="single" w:color="auto" w:sz="4" w:space="0"/>
                    <w:left w:val="single" w:color="auto" w:sz="4" w:space="0"/>
                    <w:bottom w:val="single" w:color="auto" w:sz="4" w:space="0"/>
                    <w:right w:val="single" w:color="auto" w:sz="4" w:space="0"/>
                  </w:tcBorders>
                  <w:noWrap w:val="0"/>
                  <w:vAlign w:val="center"/>
                </w:tcPr>
                <w:p w14:paraId="1097A97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项目西侧</w:t>
                  </w:r>
                  <w:r>
                    <w:rPr>
                      <w:rFonts w:hint="default" w:ascii="Times New Roman" w:hAnsi="Times New Roman" w:eastAsia="宋体" w:cs="Times New Roman"/>
                      <w:color w:val="auto"/>
                      <w:sz w:val="21"/>
                      <w:szCs w:val="21"/>
                      <w:lang w:val="en-US" w:eastAsia="zh-CN"/>
                    </w:rPr>
                    <w:t>厂界噪声</w:t>
                  </w:r>
                </w:p>
              </w:tc>
              <w:tc>
                <w:tcPr>
                  <w:tcW w:w="23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B7173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4类</w:t>
                  </w:r>
                </w:p>
              </w:tc>
              <w:tc>
                <w:tcPr>
                  <w:tcW w:w="19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BB88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70</w:t>
                  </w:r>
                </w:p>
              </w:tc>
              <w:tc>
                <w:tcPr>
                  <w:tcW w:w="18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7DA0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55</w:t>
                  </w:r>
                </w:p>
              </w:tc>
            </w:tr>
          </w:tbl>
          <w:p w14:paraId="1FA8757A">
            <w:pPr>
              <w:keepNext w:val="0"/>
              <w:keepLines w:val="0"/>
              <w:suppressLineNumbers w:val="0"/>
              <w:spacing w:before="120" w:beforeLines="50" w:beforeAutospacing="0" w:after="0" w:afterAutospacing="0" w:line="360" w:lineRule="auto"/>
              <w:ind w:left="0" w:right="119"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4、</w:t>
            </w:r>
            <w:r>
              <w:rPr>
                <w:rFonts w:hint="default" w:ascii="Times New Roman" w:hAnsi="Times New Roman" w:eastAsia="宋体" w:cs="Times New Roman"/>
                <w:b/>
                <w:bCs/>
                <w:color w:val="auto"/>
                <w:sz w:val="24"/>
              </w:rPr>
              <w:t>固体废弃物</w:t>
            </w:r>
          </w:p>
          <w:p w14:paraId="0E3E8FA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一般固废：执行《一般工业固体废物贮存和填埋污染控制标准》（GB18599-2020）有关规定。</w:t>
            </w:r>
          </w:p>
          <w:p w14:paraId="2F513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sz w:val="24"/>
              </w:rPr>
              <w:t>危险废物：执行《危险废物贮存污染控制标准》（GB18597-2023）中的有关规定，妥善处理，不得形成二次污染。</w:t>
            </w:r>
          </w:p>
        </w:tc>
      </w:tr>
      <w:tr w14:paraId="4808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4" w:type="dxa"/>
            <w:noWrap w:val="0"/>
            <w:vAlign w:val="center"/>
          </w:tcPr>
          <w:p w14:paraId="696B7D1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 w:val="24"/>
              </w:rPr>
              <w:t>总量控制指标</w:t>
            </w:r>
          </w:p>
        </w:tc>
        <w:tc>
          <w:tcPr>
            <w:tcW w:w="8557" w:type="dxa"/>
            <w:noWrap w:val="0"/>
            <w:vAlign w:val="center"/>
          </w:tcPr>
          <w:p w14:paraId="2DBBAA8E">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根据本项目的排污特征，结合国家污染物排放总量控制原则，列出本项目建议执行的总量控制指标：</w:t>
            </w:r>
          </w:p>
          <w:p w14:paraId="41133ADB">
            <w:pPr>
              <w:pStyle w:val="60"/>
              <w:keepNext w:val="0"/>
              <w:keepLines w:val="0"/>
              <w:suppressLineNumbers w:val="0"/>
              <w:spacing w:before="0" w:beforeAutospacing="0" w:after="0" w:afterAutospacing="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（1）废水</w:t>
            </w:r>
          </w:p>
          <w:p w14:paraId="5575515A">
            <w:pPr>
              <w:pStyle w:val="60"/>
              <w:keepNext w:val="0"/>
              <w:keepLines w:val="0"/>
              <w:suppressLineNumbers w:val="0"/>
              <w:spacing w:before="0" w:beforeAutospacing="0" w:after="0" w:afterAutospacing="0"/>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lang w:val="en-US" w:eastAsia="zh-CN"/>
              </w:rPr>
              <w:t>项目实行雨污分流，</w:t>
            </w:r>
            <w:r>
              <w:rPr>
                <w:rFonts w:hint="default" w:ascii="Times New Roman" w:hAnsi="Times New Roman" w:eastAsia="宋体" w:cs="Times New Roman"/>
                <w:color w:val="auto"/>
                <w:sz w:val="24"/>
                <w:szCs w:val="24"/>
              </w:rPr>
              <w:t>雨水经租用厂房已建的雨水收集</w:t>
            </w:r>
            <w:r>
              <w:rPr>
                <w:rFonts w:hint="default" w:ascii="Times New Roman" w:hAnsi="Times New Roman" w:eastAsia="宋体" w:cs="Times New Roman"/>
                <w:color w:val="auto"/>
                <w:sz w:val="24"/>
                <w:szCs w:val="24"/>
                <w:lang w:val="en-US" w:eastAsia="zh-CN"/>
              </w:rPr>
              <w:t>系统</w:t>
            </w:r>
            <w:r>
              <w:rPr>
                <w:rFonts w:hint="default" w:ascii="Times New Roman" w:hAnsi="Times New Roman" w:eastAsia="宋体" w:cs="Times New Roman"/>
                <w:color w:val="auto"/>
                <w:sz w:val="24"/>
                <w:szCs w:val="24"/>
              </w:rPr>
              <w:t>收集后</w:t>
            </w:r>
            <w:r>
              <w:rPr>
                <w:rFonts w:hint="default" w:ascii="Times New Roman" w:hAnsi="Times New Roman" w:eastAsia="宋体" w:cs="Times New Roman"/>
                <w:color w:val="auto"/>
                <w:kern w:val="0"/>
                <w:sz w:val="24"/>
                <w:szCs w:val="24"/>
                <w:lang w:val="en-US" w:eastAsia="zh-CN" w:bidi="ar"/>
              </w:rPr>
              <w:t>排至</w:t>
            </w:r>
            <w:r>
              <w:rPr>
                <w:rFonts w:hint="default" w:ascii="Times New Roman" w:hAnsi="Times New Roman" w:eastAsia="宋体" w:cs="Times New Roman"/>
                <w:b w:val="0"/>
                <w:bCs w:val="0"/>
                <w:color w:val="auto"/>
                <w:sz w:val="24"/>
                <w:szCs w:val="24"/>
                <w:highlight w:val="none"/>
                <w:lang w:val="en-US" w:eastAsia="zh-CN"/>
              </w:rPr>
              <w:t>市政雨水管网</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项目</w:t>
            </w:r>
            <w:r>
              <w:rPr>
                <w:rFonts w:hint="eastAsia" w:eastAsia="宋体" w:cs="Times New Roman"/>
                <w:color w:val="auto"/>
                <w:sz w:val="24"/>
                <w:szCs w:val="24"/>
                <w:lang w:val="en-US" w:eastAsia="zh-CN"/>
              </w:rPr>
              <w:t>注塑</w:t>
            </w:r>
            <w:r>
              <w:rPr>
                <w:rFonts w:hint="eastAsia" w:cs="Times New Roman"/>
                <w:color w:val="auto"/>
                <w:kern w:val="0"/>
                <w:sz w:val="24"/>
                <w:szCs w:val="24"/>
                <w:highlight w:val="none"/>
                <w:lang w:val="en-US" w:eastAsia="zh-CN" w:bidi="ar"/>
              </w:rPr>
              <w:t>间接</w:t>
            </w:r>
            <w:r>
              <w:rPr>
                <w:rFonts w:hint="default" w:ascii="Times New Roman" w:hAnsi="Times New Roman" w:eastAsia="宋体" w:cs="Times New Roman"/>
                <w:color w:val="auto"/>
                <w:kern w:val="0"/>
                <w:sz w:val="24"/>
                <w:szCs w:val="24"/>
                <w:highlight w:val="none"/>
                <w:lang w:val="en-US" w:eastAsia="zh-CN" w:bidi="ar"/>
              </w:rPr>
              <w:t>冷却循环</w:t>
            </w:r>
            <w:r>
              <w:rPr>
                <w:rFonts w:hint="eastAsia" w:cs="Times New Roman"/>
                <w:color w:val="auto"/>
                <w:kern w:val="0"/>
                <w:sz w:val="24"/>
                <w:szCs w:val="24"/>
                <w:highlight w:val="none"/>
                <w:lang w:val="en-US" w:eastAsia="zh-CN" w:bidi="ar"/>
              </w:rPr>
              <w:t>废水经</w:t>
            </w:r>
            <w:r>
              <w:rPr>
                <w:rFonts w:hint="default" w:ascii="Times New Roman" w:hAnsi="Times New Roman" w:eastAsia="宋体" w:cs="Times New Roman"/>
                <w:color w:val="auto"/>
                <w:kern w:val="0"/>
                <w:sz w:val="24"/>
                <w:szCs w:val="24"/>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4"/>
                <w:szCs w:val="24"/>
                <w:highlight w:val="none"/>
              </w:rPr>
              <w:t>用于</w:t>
            </w:r>
            <w:r>
              <w:rPr>
                <w:rFonts w:hint="default" w:ascii="Times New Roman" w:hAnsi="Times New Roman" w:eastAsia="宋体" w:cs="Times New Roman"/>
                <w:color w:val="auto"/>
                <w:kern w:val="0"/>
                <w:sz w:val="24"/>
                <w:szCs w:val="24"/>
                <w:highlight w:val="none"/>
                <w:lang w:val="en-US" w:eastAsia="zh-CN" w:bidi="ar"/>
              </w:rPr>
              <w:t>绿化浇灌及道路洒水</w:t>
            </w:r>
            <w:r>
              <w:rPr>
                <w:rFonts w:hint="eastAsia"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sz w:val="24"/>
                <w:szCs w:val="24"/>
              </w:rPr>
              <w:t>生活污水</w:t>
            </w:r>
            <w:r>
              <w:rPr>
                <w:rFonts w:hint="default" w:ascii="Times New Roman" w:hAnsi="Times New Roman" w:eastAsia="宋体" w:cs="Times New Roman"/>
                <w:color w:val="auto"/>
                <w:sz w:val="24"/>
                <w:szCs w:val="24"/>
                <w:lang w:val="en-US" w:eastAsia="zh-CN"/>
              </w:rPr>
              <w:t>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已建污水处理系统（化粪池+</w:t>
            </w:r>
            <w:r>
              <w:rPr>
                <w:rFonts w:hint="default" w:ascii="Times New Roman" w:hAnsi="Times New Roman" w:eastAsia="宋体" w:cs="Times New Roman"/>
                <w:color w:val="auto"/>
                <w:kern w:val="0"/>
                <w:sz w:val="24"/>
                <w:szCs w:val="24"/>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处理后</w:t>
            </w:r>
            <w:r>
              <w:rPr>
                <w:rFonts w:hint="default" w:ascii="Times New Roman" w:hAnsi="Times New Roman" w:eastAsia="宋体" w:cs="Times New Roman"/>
                <w:color w:val="auto"/>
                <w:sz w:val="24"/>
                <w:szCs w:val="24"/>
              </w:rPr>
              <w:t>用于</w:t>
            </w:r>
            <w:r>
              <w:rPr>
                <w:rFonts w:hint="default" w:ascii="Times New Roman" w:hAnsi="Times New Roman" w:eastAsia="宋体" w:cs="Times New Roman"/>
                <w:color w:val="auto"/>
                <w:kern w:val="0"/>
                <w:sz w:val="24"/>
                <w:szCs w:val="24"/>
                <w:lang w:val="en-US" w:eastAsia="zh-CN" w:bidi="ar"/>
              </w:rPr>
              <w:t>绿化浇</w:t>
            </w:r>
            <w:r>
              <w:rPr>
                <w:rFonts w:hint="default" w:ascii="Times New Roman" w:hAnsi="Times New Roman" w:eastAsia="宋体" w:cs="Times New Roman"/>
                <w:color w:val="000000"/>
                <w:kern w:val="0"/>
                <w:sz w:val="24"/>
                <w:szCs w:val="24"/>
                <w:lang w:val="en-US" w:eastAsia="zh-CN" w:bidi="ar"/>
              </w:rPr>
              <w:t>灌及道路洒水</w:t>
            </w:r>
            <w:r>
              <w:rPr>
                <w:rFonts w:hint="default" w:ascii="Times New Roman" w:hAnsi="Times New Roman" w:eastAsia="宋体" w:cs="Times New Roman"/>
                <w:color w:val="auto"/>
                <w:sz w:val="24"/>
                <w:szCs w:val="24"/>
              </w:rPr>
              <w:t>，</w:t>
            </w:r>
            <w:r>
              <w:rPr>
                <w:rFonts w:hint="default" w:ascii="Times New Roman" w:hAnsi="Times New Roman" w:eastAsia="宋体" w:cs="Times New Roman"/>
                <w:b w:val="0"/>
                <w:bCs w:val="0"/>
                <w:color w:val="auto"/>
                <w:sz w:val="24"/>
                <w:szCs w:val="24"/>
                <w:lang w:val="en-US" w:eastAsia="zh-CN"/>
              </w:rPr>
              <w:t>项目废水不外排</w:t>
            </w:r>
            <w:r>
              <w:rPr>
                <w:rFonts w:hint="default" w:ascii="Times New Roman" w:hAnsi="Times New Roman" w:eastAsia="宋体" w:cs="Times New Roman"/>
                <w:color w:val="auto"/>
                <w:sz w:val="24"/>
                <w:szCs w:val="24"/>
                <w:vertAlign w:val="baseline"/>
                <w:lang w:val="en-US" w:eastAsia="zh-CN"/>
              </w:rPr>
              <w:t>。因此，</w:t>
            </w:r>
            <w:r>
              <w:rPr>
                <w:rFonts w:hint="default" w:ascii="Times New Roman" w:hAnsi="Times New Roman" w:eastAsia="宋体" w:cs="Times New Roman"/>
                <w:color w:val="auto"/>
                <w:sz w:val="24"/>
                <w:szCs w:val="24"/>
              </w:rPr>
              <w:t>项目不设废水总量控制指标。</w:t>
            </w:r>
          </w:p>
          <w:p w14:paraId="0A16C1B3">
            <w:pPr>
              <w:pStyle w:val="60"/>
              <w:keepNext w:val="0"/>
              <w:keepLines w:val="0"/>
              <w:suppressLineNumbers w:val="0"/>
              <w:spacing w:before="0" w:beforeAutospacing="0" w:after="0" w:afterAutospacing="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废气</w:t>
            </w:r>
          </w:p>
          <w:p w14:paraId="68524D0A">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szCs w:val="24"/>
                <w:highlight w:val="none"/>
                <w:lang w:val="en-US"/>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根据项目废气污染源强核算：项目废气量为</w:t>
            </w:r>
            <w:r>
              <w:rPr>
                <w:rFonts w:hint="eastAsia" w:cs="Times New Roman"/>
                <w:b w:val="0"/>
                <w:bCs w:val="0"/>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7280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，非甲烷总烃排放量为</w:t>
            </w:r>
            <w:r>
              <w:rPr>
                <w:rFonts w:hint="eastAsia" w:cs="Times New Roman"/>
                <w:color w:val="000000" w:themeColor="text1"/>
                <w:kern w:val="0"/>
                <w:sz w:val="24"/>
                <w:szCs w:val="24"/>
                <w:highlight w:val="none"/>
                <w:lang w:val="en-US" w:eastAsia="zh-CN" w:bidi="ar"/>
                <w14:textFill>
                  <w14:solidFill>
                    <w14:schemeClr w14:val="tx1"/>
                  </w14:solidFill>
                </w14:textFill>
              </w:rPr>
              <w:t>4.3449</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t/a（其中有组织排放量为</w:t>
            </w:r>
            <w:r>
              <w:rPr>
                <w:rFonts w:hint="eastAsia" w:cs="Times New Roman"/>
                <w:color w:val="000000" w:themeColor="text1"/>
                <w:kern w:val="0"/>
                <w:sz w:val="24"/>
                <w:szCs w:val="24"/>
                <w:highlight w:val="none"/>
                <w:lang w:val="en-US" w:eastAsia="zh-CN" w:bidi="ar"/>
                <w14:textFill>
                  <w14:solidFill>
                    <w14:schemeClr w14:val="tx1"/>
                  </w14:solidFill>
                </w14:textFill>
              </w:rPr>
              <w:t>2.5858</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t/a，无组织排放量为</w:t>
            </w:r>
            <w:r>
              <w:rPr>
                <w:rFonts w:hint="eastAsia" w:cs="Times New Roman"/>
                <w:b w:val="0"/>
                <w:bCs w:val="0"/>
                <w:color w:val="000000" w:themeColor="text1"/>
                <w:sz w:val="24"/>
                <w:szCs w:val="24"/>
                <w:highlight w:val="none"/>
                <w:lang w:val="en-US" w:eastAsia="zh-CN"/>
                <w14:textFill>
                  <w14:solidFill>
                    <w14:schemeClr w14:val="tx1"/>
                  </w14:solidFill>
                </w14:textFill>
              </w:rPr>
              <w:t>1.7591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t/a），颗粒物无组织排放量为</w:t>
            </w:r>
            <w:r>
              <w:rPr>
                <w:rFonts w:hint="eastAsia" w:cs="Times New Roman"/>
                <w:color w:val="000000" w:themeColor="text1"/>
                <w:kern w:val="2"/>
                <w:sz w:val="24"/>
                <w:szCs w:val="24"/>
                <w:highlight w:val="none"/>
                <w:lang w:val="en-US" w:eastAsia="zh-CN" w:bidi="ar-SA"/>
                <w14:textFill>
                  <w14:solidFill>
                    <w14:schemeClr w14:val="tx1"/>
                  </w14:solidFill>
                </w14:textFill>
              </w:rPr>
              <w:t>0.0531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t/a。本次环评项</w:t>
            </w:r>
            <w:r>
              <w:rPr>
                <w:rFonts w:hint="default" w:ascii="Times New Roman" w:hAnsi="Times New Roman" w:eastAsia="宋体" w:cs="Times New Roman"/>
                <w:b w:val="0"/>
                <w:bCs w:val="0"/>
                <w:color w:val="auto"/>
                <w:sz w:val="24"/>
                <w:szCs w:val="24"/>
                <w:highlight w:val="none"/>
                <w:lang w:val="en-US" w:eastAsia="zh-CN"/>
              </w:rPr>
              <w:t>目废气污染物总量控制指标为有组织排放的非甲烷总烃：</w:t>
            </w:r>
            <w:r>
              <w:rPr>
                <w:rFonts w:hint="eastAsia" w:cs="Times New Roman"/>
                <w:b w:val="0"/>
                <w:bCs/>
                <w:color w:val="auto"/>
                <w:kern w:val="0"/>
                <w:sz w:val="24"/>
                <w:szCs w:val="24"/>
                <w:highlight w:val="none"/>
                <w:lang w:val="en-US" w:eastAsia="zh-CN" w:bidi="ar-SA"/>
              </w:rPr>
              <w:t>2.5858</w:t>
            </w:r>
            <w:r>
              <w:rPr>
                <w:rFonts w:hint="default" w:ascii="Times New Roman" w:hAnsi="Times New Roman" w:eastAsia="宋体" w:cs="Times New Roman"/>
                <w:b w:val="0"/>
                <w:bCs w:val="0"/>
                <w:color w:val="auto"/>
                <w:sz w:val="24"/>
                <w:szCs w:val="24"/>
                <w:highlight w:val="none"/>
                <w:lang w:val="en-US" w:eastAsia="zh-CN"/>
              </w:rPr>
              <w:t>t/a。</w:t>
            </w:r>
          </w:p>
          <w:p w14:paraId="15978A89">
            <w:pPr>
              <w:pStyle w:val="60"/>
              <w:keepNext w:val="0"/>
              <w:keepLines w:val="0"/>
              <w:suppressLineNumbers w:val="0"/>
              <w:spacing w:before="0" w:beforeAutospacing="0" w:after="0" w:afterAutospacing="0"/>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eastAsia="zh-CN"/>
              </w:rPr>
              <w:t>）固体废弃物</w:t>
            </w:r>
          </w:p>
          <w:p w14:paraId="72DBD879">
            <w:pPr>
              <w:pStyle w:val="60"/>
              <w:keepNext w:val="0"/>
              <w:keepLines w:val="0"/>
              <w:numPr>
                <w:ilvl w:val="0"/>
                <w:numId w:val="0"/>
              </w:numPr>
              <w:suppressLineNumbers w:val="0"/>
              <w:spacing w:before="0" w:beforeAutospacing="0" w:after="0" w:afterAutospacing="0"/>
              <w:ind w:left="488" w:leftChars="0" w:right="0" w:rightChars="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固体废物处置率为100%。</w:t>
            </w:r>
          </w:p>
        </w:tc>
      </w:tr>
    </w:tbl>
    <w:p w14:paraId="48DBB04F">
      <w:pPr>
        <w:pStyle w:val="32"/>
        <w:jc w:val="center"/>
        <w:outlineLvl w:val="0"/>
        <w:rPr>
          <w:rFonts w:ascii="Times New Roman" w:hAnsi="Times New Roman" w:eastAsia="黑体"/>
          <w:color w:val="auto"/>
          <w:kern w:val="2"/>
          <w:sz w:val="30"/>
          <w:szCs w:val="30"/>
        </w:rPr>
      </w:pPr>
      <w:r>
        <w:rPr>
          <w:rFonts w:ascii="Times New Roman" w:hAnsi="Times New Roman" w:eastAsia="黑体"/>
          <w:snapToGrid w:val="0"/>
          <w:color w:val="auto"/>
          <w:sz w:val="36"/>
          <w:szCs w:val="36"/>
        </w:rPr>
        <w:br w:type="page"/>
      </w:r>
      <w:bookmarkStart w:id="10" w:name="_Toc19003"/>
      <w:r>
        <w:rPr>
          <w:rFonts w:hint="eastAsia" w:ascii="宋体" w:hAnsi="宋体" w:eastAsia="宋体" w:cs="宋体"/>
          <w:b/>
          <w:bCs/>
          <w:color w:val="auto"/>
          <w:kern w:val="2"/>
          <w:sz w:val="30"/>
          <w:szCs w:val="30"/>
        </w:rPr>
        <w:t>四、主要环境影响和保护措施</w:t>
      </w:r>
      <w:bookmarkEnd w:id="10"/>
    </w:p>
    <w:tbl>
      <w:tblPr>
        <w:tblStyle w:val="36"/>
        <w:tblW w:w="9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8732"/>
      </w:tblGrid>
      <w:tr w14:paraId="5EE9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9" w:type="dxa"/>
            <w:noWrap w:val="0"/>
            <w:tcMar>
              <w:left w:w="28" w:type="dxa"/>
              <w:right w:w="28" w:type="dxa"/>
            </w:tcMar>
            <w:vAlign w:val="center"/>
          </w:tcPr>
          <w:p w14:paraId="6E5AAC9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color w:val="auto"/>
                <w:sz w:val="24"/>
              </w:rPr>
              <w:t>施工期环境保护措施</w:t>
            </w:r>
          </w:p>
        </w:tc>
        <w:tc>
          <w:tcPr>
            <w:tcW w:w="8732" w:type="dxa"/>
            <w:noWrap w:val="0"/>
            <w:vAlign w:val="top"/>
          </w:tcPr>
          <w:p w14:paraId="01C1F97D">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hd w:val="clear" w:color="auto" w:fill="auto"/>
              </w:rPr>
              <w:t>项目租用</w:t>
            </w:r>
            <w:r>
              <w:rPr>
                <w:rFonts w:hint="default" w:ascii="Times New Roman" w:hAnsi="Times New Roman" w:eastAsia="宋体" w:cs="Times New Roman"/>
                <w:color w:val="auto"/>
                <w:sz w:val="24"/>
                <w:shd w:val="clear" w:color="auto" w:fill="auto"/>
                <w:lang w:eastAsia="zh-CN"/>
              </w:rPr>
              <w:t>云南鹏达冠得有限公司</w:t>
            </w:r>
            <w:r>
              <w:rPr>
                <w:rFonts w:hint="default" w:ascii="Times New Roman" w:hAnsi="Times New Roman" w:eastAsia="宋体" w:cs="Times New Roman"/>
                <w:color w:val="auto"/>
                <w:sz w:val="24"/>
                <w:shd w:val="clear" w:color="auto" w:fill="auto"/>
              </w:rPr>
              <w:t>已建</w:t>
            </w:r>
            <w:r>
              <w:rPr>
                <w:rFonts w:hint="default" w:ascii="Times New Roman" w:hAnsi="Times New Roman" w:eastAsia="宋体" w:cs="Times New Roman"/>
                <w:color w:val="auto"/>
                <w:sz w:val="24"/>
                <w:shd w:val="clear" w:color="auto" w:fill="auto"/>
                <w:lang w:val="en-US" w:eastAsia="zh-CN"/>
              </w:rPr>
              <w:t>闲置</w:t>
            </w:r>
            <w:r>
              <w:rPr>
                <w:rFonts w:hint="default" w:ascii="Times New Roman" w:hAnsi="Times New Roman" w:eastAsia="宋体" w:cs="Times New Roman"/>
                <w:color w:val="auto"/>
                <w:sz w:val="24"/>
                <w:shd w:val="clear" w:color="auto" w:fill="auto"/>
              </w:rPr>
              <w:t>厂房</w:t>
            </w:r>
            <w:r>
              <w:rPr>
                <w:rFonts w:hint="default" w:ascii="Times New Roman" w:hAnsi="Times New Roman" w:eastAsia="宋体" w:cs="Times New Roman"/>
                <w:color w:val="auto"/>
                <w:sz w:val="24"/>
                <w:shd w:val="clear" w:color="auto" w:fill="auto"/>
                <w:lang w:val="en-US" w:eastAsia="zh-CN"/>
              </w:rPr>
              <w:t>和办公区</w:t>
            </w:r>
            <w:r>
              <w:rPr>
                <w:rFonts w:hint="default" w:ascii="Times New Roman" w:hAnsi="Times New Roman" w:eastAsia="宋体" w:cs="Times New Roman"/>
                <w:color w:val="auto"/>
                <w:sz w:val="24"/>
                <w:shd w:val="clear" w:color="auto" w:fill="auto"/>
              </w:rPr>
              <w:t>进行建设，</w:t>
            </w:r>
            <w:r>
              <w:rPr>
                <w:rFonts w:hint="default" w:ascii="Times New Roman" w:hAnsi="Times New Roman" w:eastAsia="宋体" w:cs="Times New Roman"/>
                <w:color w:val="000000"/>
                <w:sz w:val="24"/>
              </w:rPr>
              <w:t>不涉及房屋建设和装修，仅</w:t>
            </w:r>
            <w:r>
              <w:rPr>
                <w:rFonts w:hint="default" w:ascii="Times New Roman" w:hAnsi="Times New Roman" w:eastAsia="宋体" w:cs="Times New Roman"/>
                <w:color w:val="000000"/>
                <w:sz w:val="24"/>
                <w:lang w:val="en-US" w:eastAsia="zh-CN"/>
              </w:rPr>
              <w:t>进行</w:t>
            </w:r>
            <w:r>
              <w:rPr>
                <w:rFonts w:hint="default" w:ascii="Times New Roman" w:hAnsi="Times New Roman" w:eastAsia="宋体" w:cs="Times New Roman"/>
                <w:color w:val="000000"/>
                <w:sz w:val="24"/>
              </w:rPr>
              <w:t>生产设备和环保设施安装，工程量较小，污染物产生量较小</w:t>
            </w:r>
            <w:r>
              <w:rPr>
                <w:rFonts w:hint="default" w:ascii="Times New Roman" w:hAnsi="Times New Roman" w:eastAsia="宋体" w:cs="Times New Roman"/>
                <w:bCs/>
                <w:color w:val="000000"/>
                <w:sz w:val="24"/>
              </w:rPr>
              <w:t>。</w:t>
            </w:r>
          </w:p>
          <w:p w14:paraId="4CC31416">
            <w:pPr>
              <w:keepNext w:val="0"/>
              <w:keepLines w:val="0"/>
              <w:pageBreakBefore w:val="0"/>
              <w:widowControl w:val="0"/>
              <w:numPr>
                <w:ilvl w:val="0"/>
                <w:numId w:val="4"/>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施工期大气污染防治措施</w:t>
            </w:r>
          </w:p>
          <w:p w14:paraId="6CC51A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项目施工期产生的废气主要为车辆尾气、扬尘。</w:t>
            </w:r>
          </w:p>
          <w:p w14:paraId="0BAF82B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val="zh-CN"/>
              </w:rPr>
            </w:pPr>
            <w:r>
              <w:rPr>
                <w:rFonts w:hint="default" w:ascii="Times New Roman" w:hAnsi="Times New Roman" w:eastAsia="宋体" w:cs="Times New Roman"/>
                <w:color w:val="000000"/>
                <w:sz w:val="24"/>
                <w:lang w:val="zh-CN"/>
              </w:rPr>
              <w:t>（</w:t>
            </w:r>
            <w:r>
              <w:rPr>
                <w:rFonts w:hint="default" w:ascii="Times New Roman" w:hAnsi="Times New Roman" w:eastAsia="宋体" w:cs="Times New Roman"/>
                <w:color w:val="000000"/>
                <w:sz w:val="24"/>
              </w:rPr>
              <w:t>1</w:t>
            </w:r>
            <w:r>
              <w:rPr>
                <w:rFonts w:hint="default" w:ascii="Times New Roman" w:hAnsi="Times New Roman" w:eastAsia="宋体" w:cs="Times New Roman"/>
                <w:color w:val="000000"/>
                <w:sz w:val="24"/>
                <w:lang w:val="zh-CN"/>
              </w:rPr>
              <w:t>）扬尘</w:t>
            </w:r>
          </w:p>
          <w:p w14:paraId="5BCC5A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val="zh-CN"/>
              </w:rPr>
              <w:t>项目施工期产生的扬尘分为施工场地扬尘和运输扬尘。施工场地扬尘主要是：</w:t>
            </w:r>
            <w:r>
              <w:rPr>
                <w:rFonts w:hint="default" w:ascii="Times New Roman" w:hAnsi="Times New Roman" w:eastAsia="宋体" w:cs="Times New Roman"/>
                <w:color w:val="000000"/>
                <w:sz w:val="24"/>
              </w:rPr>
              <w:t>物</w:t>
            </w:r>
            <w:r>
              <w:rPr>
                <w:rFonts w:hint="default" w:ascii="Times New Roman" w:hAnsi="Times New Roman" w:eastAsia="宋体" w:cs="Times New Roman"/>
                <w:color w:val="000000"/>
                <w:sz w:val="24"/>
                <w:lang w:val="zh-CN"/>
              </w:rPr>
              <w:t>料装卸、堆置、</w:t>
            </w:r>
            <w:r>
              <w:rPr>
                <w:rFonts w:hint="default" w:ascii="Times New Roman" w:hAnsi="Times New Roman" w:eastAsia="宋体" w:cs="Times New Roman"/>
                <w:color w:val="000000"/>
                <w:sz w:val="24"/>
              </w:rPr>
              <w:t>装修</w:t>
            </w:r>
            <w:r>
              <w:rPr>
                <w:rFonts w:hint="default" w:ascii="Times New Roman" w:hAnsi="Times New Roman" w:eastAsia="宋体" w:cs="Times New Roman"/>
                <w:color w:val="000000"/>
                <w:sz w:val="24"/>
                <w:lang w:val="zh-CN"/>
              </w:rPr>
              <w:t>等产生的扬尘；运输</w:t>
            </w:r>
            <w:r>
              <w:rPr>
                <w:rFonts w:hint="default" w:ascii="Times New Roman" w:hAnsi="Times New Roman" w:eastAsia="宋体" w:cs="Times New Roman"/>
                <w:color w:val="000000"/>
                <w:sz w:val="24"/>
              </w:rPr>
              <w:t>车辆行驶</w:t>
            </w:r>
            <w:r>
              <w:rPr>
                <w:rFonts w:hint="default" w:ascii="Times New Roman" w:hAnsi="Times New Roman" w:eastAsia="宋体" w:cs="Times New Roman"/>
                <w:color w:val="000000"/>
                <w:sz w:val="24"/>
                <w:lang w:val="zh-CN"/>
              </w:rPr>
              <w:t>扬尘。项目工程量较小，污染持续时间较短。</w:t>
            </w:r>
            <w:r>
              <w:rPr>
                <w:rFonts w:hint="default" w:ascii="Times New Roman" w:hAnsi="Times New Roman" w:eastAsia="宋体" w:cs="Times New Roman"/>
                <w:color w:val="000000"/>
                <w:sz w:val="24"/>
              </w:rPr>
              <w:t>为减少扬尘对环境的影响，环评要求施工单位采取如下措施：</w:t>
            </w:r>
          </w:p>
          <w:p w14:paraId="4D8B43A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rPr>
              <w:t>①进出车辆减速慢行，车辆采取遮盖、密闭措施，减少沿途抛洒，并及时清扫散落在路面</w:t>
            </w:r>
            <w:r>
              <w:rPr>
                <w:rFonts w:hint="default" w:ascii="Times New Roman" w:hAnsi="Times New Roman" w:eastAsia="宋体" w:cs="Times New Roman"/>
                <w:color w:val="000000"/>
                <w:sz w:val="24"/>
                <w:lang w:eastAsia="zh-CN"/>
              </w:rPr>
              <w:t>上的</w:t>
            </w:r>
            <w:r>
              <w:rPr>
                <w:rFonts w:hint="default" w:ascii="Times New Roman" w:hAnsi="Times New Roman" w:eastAsia="宋体" w:cs="Times New Roman"/>
                <w:color w:val="000000"/>
                <w:sz w:val="24"/>
              </w:rPr>
              <w:t>建筑材料</w:t>
            </w:r>
            <w:r>
              <w:rPr>
                <w:rFonts w:hint="default" w:ascii="Times New Roman" w:hAnsi="Times New Roman" w:eastAsia="宋体" w:cs="Times New Roman"/>
                <w:color w:val="000000"/>
                <w:sz w:val="24"/>
                <w:lang w:eastAsia="zh-CN"/>
              </w:rPr>
              <w:t>；</w:t>
            </w:r>
          </w:p>
          <w:p w14:paraId="1B8996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rPr>
              <w:t>②施工物料在项目区适量堆存，尽可能堆放在厂房内，不能堆放于厂房内的使用篷布进行覆盖</w:t>
            </w:r>
            <w:r>
              <w:rPr>
                <w:rFonts w:hint="default" w:ascii="Times New Roman" w:hAnsi="Times New Roman" w:eastAsia="宋体" w:cs="Times New Roman"/>
                <w:color w:val="000000"/>
                <w:sz w:val="24"/>
                <w:lang w:eastAsia="zh-CN"/>
              </w:rPr>
              <w:t>；</w:t>
            </w:r>
          </w:p>
          <w:p w14:paraId="23A1F5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③不定期对施工区域、道路等进行洒水降尘。</w:t>
            </w:r>
          </w:p>
          <w:p w14:paraId="63B121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val="zh-CN"/>
              </w:rPr>
            </w:pPr>
            <w:r>
              <w:rPr>
                <w:rFonts w:hint="default" w:ascii="Times New Roman" w:hAnsi="Times New Roman" w:eastAsia="宋体" w:cs="Times New Roman"/>
                <w:color w:val="000000"/>
                <w:sz w:val="24"/>
              </w:rPr>
              <w:t>（2）</w:t>
            </w:r>
            <w:r>
              <w:rPr>
                <w:rFonts w:hint="default" w:ascii="Times New Roman" w:hAnsi="Times New Roman" w:eastAsia="宋体" w:cs="Times New Roman"/>
                <w:bCs/>
                <w:color w:val="000000"/>
                <w:sz w:val="24"/>
              </w:rPr>
              <w:t>车辆尾气</w:t>
            </w:r>
          </w:p>
          <w:p w14:paraId="5BAD4B9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施工期间运输车辆会产生燃油废气，废气中含有CO、NOx以及未完全燃烧的HC等污染物，其特点是排放量小，且属间断性无组织排放。为减少车辆尾气对环境的影响，环评要求项目采取如下措施：</w:t>
            </w:r>
          </w:p>
          <w:p w14:paraId="1D168D8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rPr>
              <w:t>①进出车辆减速慢行，避免车辆怠速行驶</w:t>
            </w:r>
            <w:r>
              <w:rPr>
                <w:rFonts w:hint="default" w:ascii="Times New Roman" w:hAnsi="Times New Roman" w:eastAsia="宋体" w:cs="Times New Roman"/>
                <w:color w:val="000000"/>
                <w:sz w:val="24"/>
                <w:lang w:eastAsia="zh-CN"/>
              </w:rPr>
              <w:t>；</w:t>
            </w:r>
          </w:p>
          <w:p w14:paraId="7D3CD3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val="zh-CN" w:eastAsia="zh-CN"/>
              </w:rPr>
            </w:pPr>
            <w:r>
              <w:rPr>
                <w:rFonts w:hint="default" w:ascii="Times New Roman" w:hAnsi="Times New Roman" w:eastAsia="宋体" w:cs="Times New Roman"/>
                <w:color w:val="000000"/>
                <w:sz w:val="24"/>
              </w:rPr>
              <w:t>②定期对运输车辆检修维护保养，购买使用合格油品</w:t>
            </w:r>
            <w:r>
              <w:rPr>
                <w:rFonts w:hint="default" w:ascii="Times New Roman" w:hAnsi="Times New Roman" w:eastAsia="宋体" w:cs="Times New Roman"/>
                <w:color w:val="000000"/>
                <w:sz w:val="24"/>
                <w:lang w:eastAsia="zh-CN"/>
              </w:rPr>
              <w:t>；</w:t>
            </w:r>
          </w:p>
          <w:p w14:paraId="3135CCD2">
            <w:pPr>
              <w:pStyle w:val="61"/>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000000"/>
                <w:sz w:val="24"/>
              </w:rPr>
              <w:t>总之，施工期对环境空气的影响将通过加强管理，并采取有效措施防治，其影响将随着施工的结束而消失，影响较小。通过采取以上措施能够有效减少</w:t>
            </w:r>
            <w:r>
              <w:rPr>
                <w:rFonts w:hint="default" w:ascii="Times New Roman" w:hAnsi="Times New Roman" w:eastAsia="宋体" w:cs="Times New Roman"/>
                <w:color w:val="000000"/>
                <w:sz w:val="24"/>
                <w:lang w:val="zh-CN"/>
              </w:rPr>
              <w:t>扬尘、车辆尾气</w:t>
            </w:r>
            <w:r>
              <w:rPr>
                <w:rFonts w:hint="default" w:ascii="Times New Roman" w:hAnsi="Times New Roman" w:eastAsia="宋体" w:cs="Times New Roman"/>
                <w:color w:val="000000"/>
                <w:sz w:val="24"/>
              </w:rPr>
              <w:t>的产生及排放。综上所述，项目施工期采取的措施是可行的</w:t>
            </w:r>
            <w:r>
              <w:rPr>
                <w:rFonts w:hint="default" w:ascii="Times New Roman" w:hAnsi="Times New Roman" w:eastAsia="宋体" w:cs="Times New Roman"/>
                <w:color w:val="auto"/>
                <w:sz w:val="24"/>
                <w:szCs w:val="24"/>
                <w:lang w:val="en-US" w:eastAsia="zh-CN"/>
              </w:rPr>
              <w:t>。</w:t>
            </w:r>
          </w:p>
          <w:p w14:paraId="6A5C2F36">
            <w:pPr>
              <w:keepNext w:val="0"/>
              <w:keepLines w:val="0"/>
              <w:pageBreakBefore w:val="0"/>
              <w:widowControl w:val="0"/>
              <w:numPr>
                <w:ilvl w:val="0"/>
                <w:numId w:val="4"/>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施工期水污染防治措施</w:t>
            </w:r>
          </w:p>
          <w:p w14:paraId="5D7CC4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项目租用已建成的厂房生产，施工期主要进行</w:t>
            </w:r>
            <w:r>
              <w:rPr>
                <w:rFonts w:hint="default" w:ascii="Times New Roman" w:hAnsi="Times New Roman" w:eastAsia="宋体" w:cs="Times New Roman"/>
                <w:bCs/>
                <w:color w:val="000000"/>
                <w:sz w:val="24"/>
              </w:rPr>
              <w:t>厂房改造及装修、设备安装，不产生施工废水</w:t>
            </w:r>
            <w:r>
              <w:rPr>
                <w:rFonts w:hint="default" w:ascii="Times New Roman" w:hAnsi="Times New Roman" w:eastAsia="宋体" w:cs="Times New Roman"/>
                <w:color w:val="000000"/>
                <w:sz w:val="24"/>
              </w:rPr>
              <w:t>，施工期间产生的废水主要为施工人员生活污水。</w:t>
            </w:r>
          </w:p>
          <w:p w14:paraId="6383C1B3">
            <w:pPr>
              <w:pStyle w:val="61"/>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000000"/>
                <w:sz w:val="24"/>
              </w:rPr>
              <w:t>项目施</w:t>
            </w:r>
            <w:r>
              <w:rPr>
                <w:rFonts w:hint="default" w:ascii="Times New Roman" w:hAnsi="Times New Roman" w:eastAsia="宋体" w:cs="Times New Roman"/>
                <w:color w:val="auto"/>
                <w:sz w:val="24"/>
              </w:rPr>
              <w:t>工期不在项目区食宿，施工人员生活污水依托项目周边已建成生活设施，对周围环境影响</w:t>
            </w:r>
            <w:r>
              <w:rPr>
                <w:rFonts w:hint="eastAsia" w:cs="Times New Roman"/>
                <w:color w:val="auto"/>
                <w:sz w:val="24"/>
                <w:lang w:val="en-US" w:eastAsia="zh-CN"/>
              </w:rPr>
              <w:t>较小</w:t>
            </w:r>
            <w:r>
              <w:rPr>
                <w:rFonts w:hint="default" w:ascii="Times New Roman" w:hAnsi="Times New Roman" w:eastAsia="宋体" w:cs="Times New Roman"/>
                <w:color w:val="auto"/>
                <w:sz w:val="24"/>
              </w:rPr>
              <w:t>。</w:t>
            </w:r>
          </w:p>
          <w:p w14:paraId="376D0B77">
            <w:pPr>
              <w:pStyle w:val="61"/>
              <w:keepNext w:val="0"/>
              <w:keepLines w:val="0"/>
              <w:pageBreakBefore w:val="0"/>
              <w:widowControl w:val="0"/>
              <w:numPr>
                <w:ilvl w:val="0"/>
                <w:numId w:val="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98"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施工期声环境保护措施</w:t>
            </w:r>
          </w:p>
          <w:p w14:paraId="3D0A0B5F">
            <w:pPr>
              <w:pStyle w:val="123"/>
              <w:keepNext w:val="0"/>
              <w:keepLines w:val="0"/>
              <w:widowControl/>
              <w:suppressLineNumbers w:val="0"/>
              <w:spacing w:before="0" w:beforeAutospacing="0" w:after="0" w:afterAutospacing="0"/>
              <w:ind w:left="0" w:right="0" w:firstLine="480"/>
              <w:rPr>
                <w:rFonts w:hint="default" w:ascii="Times New Roman" w:hAnsi="Times New Roman" w:eastAsia="宋体" w:cs="Times New Roman"/>
                <w:color w:val="000000"/>
                <w:kern w:val="2"/>
              </w:rPr>
            </w:pPr>
            <w:r>
              <w:rPr>
                <w:rFonts w:hint="default" w:ascii="Times New Roman" w:hAnsi="Times New Roman" w:eastAsia="宋体" w:cs="Times New Roman"/>
                <w:color w:val="auto"/>
                <w:kern w:val="2"/>
              </w:rPr>
              <w:t>项目施工期噪声主要来源于</w:t>
            </w:r>
            <w:r>
              <w:rPr>
                <w:rFonts w:hint="default" w:ascii="Times New Roman" w:hAnsi="Times New Roman" w:eastAsia="宋体" w:cs="Times New Roman"/>
                <w:bCs/>
                <w:color w:val="auto"/>
                <w:kern w:val="2"/>
              </w:rPr>
              <w:t>施工机械和运输车辆噪声</w:t>
            </w:r>
            <w:r>
              <w:rPr>
                <w:rFonts w:hint="default" w:ascii="Times New Roman" w:hAnsi="Times New Roman" w:eastAsia="宋体" w:cs="Times New Roman"/>
                <w:color w:val="auto"/>
                <w:kern w:val="2"/>
              </w:rPr>
              <w:t>。为了减轻施工期噪声对环境的影响，环评要求施</w:t>
            </w:r>
            <w:r>
              <w:rPr>
                <w:rFonts w:hint="default" w:ascii="Times New Roman" w:hAnsi="Times New Roman" w:eastAsia="宋体" w:cs="Times New Roman"/>
                <w:color w:val="000000"/>
                <w:kern w:val="2"/>
              </w:rPr>
              <w:t>工单位采取以下噪声污染防治措施：</w:t>
            </w:r>
          </w:p>
          <w:p w14:paraId="3FB5A80C">
            <w:pPr>
              <w:pStyle w:val="123"/>
              <w:keepNext w:val="0"/>
              <w:keepLines w:val="0"/>
              <w:widowControl/>
              <w:suppressLineNumbers w:val="0"/>
              <w:spacing w:before="0" w:beforeAutospacing="0" w:after="0" w:afterAutospacing="0"/>
              <w:ind w:left="0" w:right="0" w:firstLine="480"/>
              <w:rPr>
                <w:rFonts w:hint="default" w:ascii="Times New Roman" w:hAnsi="Times New Roman" w:eastAsia="宋体" w:cs="Times New Roman"/>
                <w:color w:val="000000"/>
                <w:kern w:val="2"/>
                <w:lang w:eastAsia="zh-CN"/>
              </w:rPr>
            </w:pPr>
            <w:r>
              <w:rPr>
                <w:rFonts w:hint="default" w:ascii="Times New Roman" w:hAnsi="Times New Roman" w:eastAsia="宋体" w:cs="Times New Roman"/>
                <w:color w:val="000000"/>
                <w:kern w:val="2"/>
              </w:rPr>
              <w:fldChar w:fldCharType="begin"/>
            </w:r>
            <w:r>
              <w:rPr>
                <w:rFonts w:hint="default" w:ascii="Times New Roman" w:hAnsi="Times New Roman" w:eastAsia="宋体" w:cs="Times New Roman"/>
                <w:color w:val="000000"/>
                <w:kern w:val="2"/>
              </w:rPr>
              <w:instrText xml:space="preserve">= 1 \* GB3</w:instrText>
            </w:r>
            <w:r>
              <w:rPr>
                <w:rFonts w:hint="default" w:ascii="Times New Roman" w:hAnsi="Times New Roman" w:eastAsia="宋体" w:cs="Times New Roman"/>
                <w:color w:val="000000"/>
                <w:kern w:val="2"/>
              </w:rPr>
              <w:fldChar w:fldCharType="separate"/>
            </w:r>
            <w:r>
              <w:rPr>
                <w:rFonts w:hint="default" w:ascii="Times New Roman" w:hAnsi="Times New Roman" w:eastAsia="宋体" w:cs="Times New Roman"/>
                <w:color w:val="000000"/>
                <w:kern w:val="2"/>
              </w:rPr>
              <w:t>①</w:t>
            </w:r>
            <w:r>
              <w:rPr>
                <w:rFonts w:hint="default" w:ascii="Times New Roman" w:hAnsi="Times New Roman" w:eastAsia="宋体" w:cs="Times New Roman"/>
                <w:color w:val="000000"/>
                <w:kern w:val="2"/>
              </w:rPr>
              <w:fldChar w:fldCharType="end"/>
            </w:r>
            <w:r>
              <w:rPr>
                <w:rFonts w:hint="default" w:ascii="Times New Roman" w:hAnsi="Times New Roman" w:eastAsia="宋体" w:cs="Times New Roman"/>
                <w:color w:val="000000"/>
                <w:kern w:val="2"/>
              </w:rPr>
              <w:t>尽量选用低噪声设备，合理布设施工设备位置，高噪声设备尽量不同时使用</w:t>
            </w:r>
            <w:r>
              <w:rPr>
                <w:rFonts w:hint="default" w:ascii="Times New Roman" w:hAnsi="Times New Roman" w:eastAsia="宋体" w:cs="Times New Roman"/>
                <w:color w:val="000000"/>
                <w:kern w:val="2"/>
                <w:lang w:eastAsia="zh-CN"/>
              </w:rPr>
              <w:t>；</w:t>
            </w:r>
          </w:p>
          <w:p w14:paraId="6B36B6B7">
            <w:pPr>
              <w:pStyle w:val="123"/>
              <w:keepNext w:val="0"/>
              <w:keepLines w:val="0"/>
              <w:widowControl/>
              <w:suppressLineNumbers w:val="0"/>
              <w:spacing w:before="0" w:beforeAutospacing="0" w:after="0" w:afterAutospacing="0"/>
              <w:ind w:left="0" w:right="0" w:firstLine="480"/>
              <w:rPr>
                <w:rFonts w:hint="default" w:ascii="Times New Roman" w:hAnsi="Times New Roman" w:eastAsia="宋体" w:cs="Times New Roman"/>
                <w:color w:val="000000"/>
                <w:kern w:val="2"/>
                <w:lang w:eastAsia="zh-CN"/>
              </w:rPr>
            </w:pPr>
            <w:r>
              <w:rPr>
                <w:rFonts w:hint="default" w:ascii="Times New Roman" w:hAnsi="Times New Roman" w:eastAsia="宋体" w:cs="Times New Roman"/>
                <w:color w:val="000000"/>
                <w:kern w:val="2"/>
              </w:rPr>
              <w:fldChar w:fldCharType="begin"/>
            </w:r>
            <w:r>
              <w:rPr>
                <w:rFonts w:hint="default" w:ascii="Times New Roman" w:hAnsi="Times New Roman" w:eastAsia="宋体" w:cs="Times New Roman"/>
                <w:color w:val="000000"/>
                <w:kern w:val="2"/>
              </w:rPr>
              <w:instrText xml:space="preserve">= 2 \* GB3</w:instrText>
            </w:r>
            <w:r>
              <w:rPr>
                <w:rFonts w:hint="default" w:ascii="Times New Roman" w:hAnsi="Times New Roman" w:eastAsia="宋体" w:cs="Times New Roman"/>
                <w:color w:val="000000"/>
                <w:kern w:val="2"/>
              </w:rPr>
              <w:fldChar w:fldCharType="separate"/>
            </w:r>
            <w:r>
              <w:rPr>
                <w:rFonts w:hint="default" w:ascii="Times New Roman" w:hAnsi="Times New Roman" w:eastAsia="宋体" w:cs="Times New Roman"/>
                <w:color w:val="000000"/>
                <w:kern w:val="2"/>
              </w:rPr>
              <w:t>②</w:t>
            </w:r>
            <w:r>
              <w:rPr>
                <w:rFonts w:hint="default" w:ascii="Times New Roman" w:hAnsi="Times New Roman" w:eastAsia="宋体" w:cs="Times New Roman"/>
                <w:color w:val="000000"/>
                <w:kern w:val="2"/>
              </w:rPr>
              <w:fldChar w:fldCharType="end"/>
            </w:r>
            <w:r>
              <w:rPr>
                <w:rFonts w:hint="default" w:ascii="Times New Roman" w:hAnsi="Times New Roman" w:eastAsia="宋体" w:cs="Times New Roman"/>
                <w:color w:val="000000"/>
                <w:kern w:val="2"/>
              </w:rPr>
              <w:t>施工过程中施工单位应对设备进行定期保养和维护，并负责对现场工作人员进行培训，严格按操作规范使用各类机械</w:t>
            </w:r>
            <w:r>
              <w:rPr>
                <w:rFonts w:hint="default" w:ascii="Times New Roman" w:hAnsi="Times New Roman" w:eastAsia="宋体" w:cs="Times New Roman"/>
                <w:color w:val="000000"/>
                <w:kern w:val="2"/>
                <w:lang w:eastAsia="zh-CN"/>
              </w:rPr>
              <w:t>；</w:t>
            </w:r>
          </w:p>
          <w:p w14:paraId="115415EC">
            <w:pPr>
              <w:pStyle w:val="123"/>
              <w:keepNext w:val="0"/>
              <w:keepLines w:val="0"/>
              <w:widowControl/>
              <w:suppressLineNumbers w:val="0"/>
              <w:spacing w:before="0" w:beforeAutospacing="0" w:after="0" w:afterAutospacing="0"/>
              <w:ind w:left="0" w:right="0" w:firstLine="480"/>
              <w:rPr>
                <w:rFonts w:hint="default" w:ascii="Times New Roman" w:hAnsi="Times New Roman" w:eastAsia="宋体" w:cs="Times New Roman"/>
                <w:color w:val="000000"/>
                <w:kern w:val="2"/>
                <w:lang w:eastAsia="zh-CN"/>
              </w:rPr>
            </w:pPr>
            <w:r>
              <w:rPr>
                <w:rFonts w:hint="default" w:ascii="Times New Roman" w:hAnsi="Times New Roman" w:eastAsia="宋体" w:cs="Times New Roman"/>
                <w:color w:val="000000"/>
                <w:kern w:val="2"/>
              </w:rPr>
              <w:fldChar w:fldCharType="begin"/>
            </w:r>
            <w:r>
              <w:rPr>
                <w:rFonts w:hint="default" w:ascii="Times New Roman" w:hAnsi="Times New Roman" w:eastAsia="宋体" w:cs="Times New Roman"/>
                <w:color w:val="000000"/>
                <w:kern w:val="2"/>
              </w:rPr>
              <w:instrText xml:space="preserve">= 3 \* GB3</w:instrText>
            </w:r>
            <w:r>
              <w:rPr>
                <w:rFonts w:hint="default" w:ascii="Times New Roman" w:hAnsi="Times New Roman" w:eastAsia="宋体" w:cs="Times New Roman"/>
                <w:color w:val="000000"/>
                <w:kern w:val="2"/>
              </w:rPr>
              <w:fldChar w:fldCharType="separate"/>
            </w:r>
            <w:r>
              <w:rPr>
                <w:rFonts w:hint="default" w:ascii="Times New Roman" w:hAnsi="Times New Roman" w:eastAsia="宋体" w:cs="Times New Roman"/>
                <w:color w:val="000000"/>
                <w:kern w:val="2"/>
              </w:rPr>
              <w:t>③</w:t>
            </w:r>
            <w:r>
              <w:rPr>
                <w:rFonts w:hint="default" w:ascii="Times New Roman" w:hAnsi="Times New Roman" w:eastAsia="宋体" w:cs="Times New Roman"/>
                <w:color w:val="000000"/>
                <w:kern w:val="2"/>
              </w:rPr>
              <w:fldChar w:fldCharType="end"/>
            </w:r>
            <w:r>
              <w:rPr>
                <w:rFonts w:hint="default" w:ascii="Times New Roman" w:hAnsi="Times New Roman" w:eastAsia="宋体" w:cs="Times New Roman"/>
                <w:color w:val="000000"/>
                <w:kern w:val="2"/>
              </w:rPr>
              <w:t>加强施工现场人员的环境保护教育，做到文明施工，施工材料运输车辆进出减速慢行、禁止鸣笛</w:t>
            </w:r>
            <w:r>
              <w:rPr>
                <w:rFonts w:hint="default" w:ascii="Times New Roman" w:hAnsi="Times New Roman" w:eastAsia="宋体" w:cs="Times New Roman"/>
                <w:color w:val="000000"/>
                <w:kern w:val="2"/>
                <w:lang w:eastAsia="zh-CN"/>
              </w:rPr>
              <w:t>；</w:t>
            </w:r>
          </w:p>
          <w:p w14:paraId="4F38F617">
            <w:pPr>
              <w:pStyle w:val="123"/>
              <w:keepNext w:val="0"/>
              <w:keepLines w:val="0"/>
              <w:widowControl/>
              <w:suppressLineNumbers w:val="0"/>
              <w:spacing w:before="0" w:beforeAutospacing="0" w:after="0" w:afterAutospacing="0"/>
              <w:ind w:left="0" w:right="0" w:firstLine="480"/>
              <w:rPr>
                <w:rFonts w:hint="default" w:ascii="Times New Roman" w:hAnsi="Times New Roman" w:eastAsia="宋体" w:cs="Times New Roman"/>
                <w:color w:val="000000"/>
                <w:kern w:val="2"/>
                <w:sz w:val="24"/>
                <w:szCs w:val="24"/>
              </w:rPr>
            </w:pPr>
            <w:r>
              <w:rPr>
                <w:rFonts w:hint="default" w:ascii="Times New Roman" w:hAnsi="Times New Roman" w:eastAsia="宋体" w:cs="Times New Roman"/>
                <w:color w:val="000000"/>
                <w:kern w:val="2"/>
                <w:sz w:val="24"/>
                <w:szCs w:val="24"/>
              </w:rPr>
              <w:t>④人群休息时间段内禁止施工。</w:t>
            </w:r>
          </w:p>
          <w:p w14:paraId="23C586FB">
            <w:pPr>
              <w:pStyle w:val="61"/>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000000"/>
                <w:sz w:val="24"/>
                <w:szCs w:val="24"/>
              </w:rPr>
              <w:t>项目采取上述减噪措施后，可将影响降至最低。且项目施工工程量不大，施工期较短，施工期影响随施工期结束，噪声影响也随之消失</w:t>
            </w:r>
            <w:r>
              <w:rPr>
                <w:rFonts w:hint="default" w:ascii="Times New Roman" w:hAnsi="Times New Roman" w:eastAsia="宋体" w:cs="Times New Roman"/>
                <w:color w:val="auto"/>
                <w:sz w:val="24"/>
                <w:szCs w:val="24"/>
                <w:lang w:val="en-US" w:eastAsia="zh-CN"/>
              </w:rPr>
              <w:t>。</w:t>
            </w:r>
          </w:p>
          <w:p w14:paraId="74E30508">
            <w:pPr>
              <w:pStyle w:val="61"/>
              <w:keepNext w:val="0"/>
              <w:keepLines w:val="0"/>
              <w:pageBreakBefore w:val="0"/>
              <w:widowControl w:val="0"/>
              <w:numPr>
                <w:ilvl w:val="0"/>
                <w:numId w:val="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98"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施工期固废防治措施</w:t>
            </w:r>
          </w:p>
          <w:p w14:paraId="681DF1C5">
            <w:pPr>
              <w:pStyle w:val="123"/>
              <w:keepNext w:val="0"/>
              <w:keepLines w:val="0"/>
              <w:widowControl/>
              <w:suppressLineNumbers w:val="0"/>
              <w:spacing w:before="0" w:beforeAutospacing="0" w:after="0" w:afterAutospacing="0"/>
              <w:ind w:left="0" w:right="0" w:firstLine="480"/>
              <w:rPr>
                <w:rFonts w:hint="default" w:ascii="Times New Roman" w:hAnsi="Times New Roman" w:eastAsia="宋体" w:cs="Times New Roman"/>
                <w:color w:val="000000"/>
                <w:kern w:val="2"/>
              </w:rPr>
            </w:pPr>
            <w:r>
              <w:rPr>
                <w:rFonts w:hint="default" w:ascii="Times New Roman" w:hAnsi="Times New Roman" w:eastAsia="宋体" w:cs="Times New Roman"/>
                <w:color w:val="000000"/>
                <w:kern w:val="2"/>
              </w:rPr>
              <w:t>施工期固体废弃物主要为建筑垃圾和生活垃圾。为了减轻施工期固废对环境的影响，环评要求施工单位采取以下固废污染防治措施：</w:t>
            </w:r>
          </w:p>
          <w:p w14:paraId="4ADD673F">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rPr>
              <w:t>①施工过程建筑垃圾中可回收利用部分收集后外售，不可利用部分运输至建筑垃圾消纳处置场，禁止随意处置和堆放</w:t>
            </w:r>
            <w:r>
              <w:rPr>
                <w:rFonts w:hint="default" w:ascii="Times New Roman" w:hAnsi="Times New Roman" w:eastAsia="宋体" w:cs="Times New Roman"/>
                <w:color w:val="000000"/>
                <w:sz w:val="24"/>
                <w:lang w:eastAsia="zh-CN"/>
              </w:rPr>
              <w:t>；</w:t>
            </w:r>
          </w:p>
          <w:p w14:paraId="2D41095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rPr>
              <w:t>②建设过程中应加强管理，文明施工，使建设期间对周围环境的影响减少到较低限度，做到社会发展与环境保护相协调</w:t>
            </w:r>
            <w:r>
              <w:rPr>
                <w:rFonts w:hint="default" w:ascii="Times New Roman" w:hAnsi="Times New Roman" w:eastAsia="宋体" w:cs="Times New Roman"/>
                <w:color w:val="000000"/>
                <w:sz w:val="24"/>
                <w:lang w:eastAsia="zh-CN"/>
              </w:rPr>
              <w:t>；</w:t>
            </w:r>
          </w:p>
          <w:p w14:paraId="2963DFA0">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sz w:val="24"/>
              </w:rPr>
              <w:t>③施工人员每天产生的生活垃圾统一收集后，送至周边生活垃圾收集点，由当地环卫部门清运、处置</w:t>
            </w:r>
            <w:r>
              <w:rPr>
                <w:rFonts w:hint="default" w:ascii="Times New Roman" w:hAnsi="Times New Roman" w:eastAsia="宋体" w:cs="Times New Roman"/>
                <w:color w:val="000000"/>
                <w:sz w:val="24"/>
                <w:lang w:eastAsia="zh-CN"/>
              </w:rPr>
              <w:t>；</w:t>
            </w:r>
          </w:p>
          <w:p w14:paraId="44B9E5B2">
            <w:pPr>
              <w:pStyle w:val="22"/>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rPr>
            </w:pPr>
            <w:r>
              <w:rPr>
                <w:rFonts w:hint="default" w:ascii="Times New Roman" w:hAnsi="Times New Roman" w:eastAsia="宋体" w:cs="Times New Roman"/>
                <w:color w:val="000000"/>
                <w:sz w:val="24"/>
              </w:rPr>
              <w:t>综上分析，施工期固体废弃物产生量较少，处置方式合理、可行，去向明确，处置率达到100%，对周围环境影响不大</w:t>
            </w:r>
            <w:r>
              <w:rPr>
                <w:rFonts w:hint="default" w:ascii="Times New Roman" w:hAnsi="Times New Roman" w:eastAsia="宋体" w:cs="Times New Roman"/>
                <w:color w:val="auto"/>
                <w:sz w:val="24"/>
                <w:szCs w:val="24"/>
              </w:rPr>
              <w:t>。</w:t>
            </w:r>
          </w:p>
        </w:tc>
      </w:tr>
      <w:tr w14:paraId="0680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9" w:type="dxa"/>
            <w:noWrap w:val="0"/>
            <w:tcMar>
              <w:left w:w="28" w:type="dxa"/>
              <w:right w:w="28" w:type="dxa"/>
            </w:tcMar>
            <w:vAlign w:val="center"/>
          </w:tcPr>
          <w:p w14:paraId="15F949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运营</w:t>
            </w:r>
          </w:p>
          <w:p w14:paraId="405EA10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期环</w:t>
            </w:r>
          </w:p>
          <w:p w14:paraId="74BD2B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境影</w:t>
            </w:r>
          </w:p>
          <w:p w14:paraId="7F2DAA3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响和</w:t>
            </w:r>
          </w:p>
          <w:p w14:paraId="3773215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保护</w:t>
            </w:r>
          </w:p>
          <w:p w14:paraId="29CA17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rPr>
            </w:pPr>
            <w:r>
              <w:rPr>
                <w:rFonts w:hint="default" w:ascii="Times New Roman" w:hAnsi="Times New Roman" w:eastAsia="宋体" w:cs="Times New Roman"/>
                <w:bCs/>
                <w:color w:val="auto"/>
                <w:sz w:val="24"/>
              </w:rPr>
              <w:t>措施</w:t>
            </w:r>
          </w:p>
        </w:tc>
        <w:tc>
          <w:tcPr>
            <w:tcW w:w="8732" w:type="dxa"/>
            <w:noWrap w:val="0"/>
            <w:vAlign w:val="top"/>
          </w:tcPr>
          <w:p w14:paraId="5294B9B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szCs w:val="24"/>
              </w:rPr>
              <w:t>项目营运期的环境影响因素</w:t>
            </w:r>
            <w:r>
              <w:rPr>
                <w:rFonts w:hint="default" w:ascii="Times New Roman" w:hAnsi="Times New Roman" w:eastAsia="宋体" w:cs="Times New Roman"/>
                <w:color w:val="auto"/>
                <w:sz w:val="24"/>
                <w:szCs w:val="24"/>
                <w:lang w:eastAsia="zh-CN"/>
              </w:rPr>
              <w:t>及保护措施</w:t>
            </w:r>
            <w:r>
              <w:rPr>
                <w:rFonts w:hint="default" w:ascii="Times New Roman" w:hAnsi="Times New Roman" w:eastAsia="宋体" w:cs="Times New Roman"/>
                <w:color w:val="auto"/>
                <w:sz w:val="24"/>
                <w:szCs w:val="24"/>
              </w:rPr>
              <w:t>从废气、废水、噪声、固体废弃物等方面展开分析</w:t>
            </w:r>
            <w:r>
              <w:rPr>
                <w:rFonts w:hint="default" w:ascii="Times New Roman" w:hAnsi="Times New Roman" w:eastAsia="宋体" w:cs="Times New Roman"/>
                <w:color w:val="auto"/>
                <w:sz w:val="24"/>
              </w:rPr>
              <w:t>。</w:t>
            </w:r>
          </w:p>
          <w:p w14:paraId="6710261A">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1、废气</w:t>
            </w:r>
          </w:p>
          <w:p w14:paraId="76E4C20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项目运行过程中产生的</w:t>
            </w:r>
            <w:r>
              <w:rPr>
                <w:rFonts w:hint="default" w:ascii="Times New Roman" w:hAnsi="Times New Roman" w:eastAsia="宋体" w:cs="Times New Roman"/>
                <w:color w:val="auto"/>
                <w:sz w:val="24"/>
                <w:lang w:val="en-US" w:eastAsia="zh-CN"/>
              </w:rPr>
              <w:t>废气</w:t>
            </w:r>
            <w:r>
              <w:rPr>
                <w:rFonts w:hint="default" w:ascii="Times New Roman" w:hAnsi="Times New Roman" w:eastAsia="宋体" w:cs="Times New Roman"/>
                <w:color w:val="auto"/>
                <w:sz w:val="24"/>
              </w:rPr>
              <w:t>污染物主要</w:t>
            </w:r>
            <w:r>
              <w:rPr>
                <w:rFonts w:hint="default" w:ascii="Times New Roman" w:hAnsi="Times New Roman" w:eastAsia="宋体" w:cs="Times New Roman"/>
                <w:color w:val="auto"/>
                <w:sz w:val="24"/>
                <w:lang w:val="en-US" w:eastAsia="zh-CN"/>
              </w:rPr>
              <w:t>为加热注塑工序产生的有机废气（以非甲烷总烃计）及伴随产生的异味，</w:t>
            </w:r>
            <w:r>
              <w:rPr>
                <w:rFonts w:hint="eastAsia" w:ascii="Times New Roman" w:hAnsi="Times New Roman" w:eastAsia="宋体" w:cs="Times New Roman"/>
                <w:color w:val="auto"/>
                <w:sz w:val="24"/>
                <w:lang w:val="en-US" w:eastAsia="zh-CN"/>
              </w:rPr>
              <w:t>拌料、上料、破碎</w:t>
            </w:r>
            <w:r>
              <w:rPr>
                <w:rFonts w:hint="default" w:ascii="Times New Roman" w:hAnsi="Times New Roman" w:eastAsia="宋体" w:cs="Times New Roman"/>
                <w:color w:val="auto"/>
                <w:sz w:val="24"/>
                <w:lang w:val="en-US" w:eastAsia="zh-CN"/>
              </w:rPr>
              <w:t>过</w:t>
            </w:r>
            <w:r>
              <w:rPr>
                <w:rFonts w:hint="eastAsia" w:cs="Times New Roman"/>
                <w:color w:val="auto"/>
                <w:sz w:val="24"/>
                <w:lang w:val="en-US" w:eastAsia="zh-CN"/>
              </w:rPr>
              <w:t>程中</w:t>
            </w:r>
            <w:r>
              <w:rPr>
                <w:rFonts w:hint="default" w:ascii="Times New Roman" w:hAnsi="Times New Roman" w:eastAsia="宋体" w:cs="Times New Roman"/>
                <w:color w:val="auto"/>
                <w:sz w:val="24"/>
                <w:lang w:val="en-US" w:eastAsia="zh-CN"/>
              </w:rPr>
              <w:t>产生的粉尘</w:t>
            </w:r>
            <w:r>
              <w:rPr>
                <w:rFonts w:hint="eastAsia" w:cs="Times New Roman"/>
                <w:color w:val="auto"/>
                <w:sz w:val="24"/>
                <w:lang w:val="en-US" w:eastAsia="zh-CN"/>
              </w:rPr>
              <w:t>，食堂油烟</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项目大气污染物核算过程如下：</w:t>
            </w:r>
          </w:p>
          <w:p w14:paraId="26F091E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生产过程中不使用增塑剂等其他助剂，不进行原料改性，在注塑时采用螺杆式加热方式使聚丙烯达到熔融状态，属于物理过程。</w:t>
            </w:r>
            <w:r>
              <w:rPr>
                <w:rFonts w:hint="eastAsia" w:ascii="Times New Roman" w:hAnsi="Times New Roman" w:eastAsia="宋体" w:cs="Times New Roman"/>
                <w:color w:val="auto"/>
                <w:sz w:val="24"/>
                <w:lang w:val="en-US" w:eastAsia="zh-CN"/>
              </w:rPr>
              <w:t>热熔</w:t>
            </w:r>
            <w:r>
              <w:rPr>
                <w:rFonts w:hint="default" w:ascii="Times New Roman" w:hAnsi="Times New Roman" w:eastAsia="宋体" w:cs="Times New Roman"/>
                <w:color w:val="auto"/>
                <w:sz w:val="24"/>
              </w:rPr>
              <w:t>、注塑、冷却整个过程全部在</w:t>
            </w:r>
            <w:r>
              <w:rPr>
                <w:rFonts w:hint="eastAsia" w:ascii="Times New Roman" w:hAnsi="Times New Roman" w:eastAsia="宋体" w:cs="Times New Roman"/>
                <w:color w:val="auto"/>
                <w:sz w:val="24"/>
                <w:lang w:val="en-US" w:eastAsia="zh-CN"/>
              </w:rPr>
              <w:t>半</w:t>
            </w:r>
            <w:r>
              <w:rPr>
                <w:rFonts w:hint="default" w:ascii="Times New Roman" w:hAnsi="Times New Roman" w:eastAsia="宋体" w:cs="Times New Roman"/>
                <w:color w:val="auto"/>
                <w:sz w:val="24"/>
              </w:rPr>
              <w:t>封闭式模具箱体内完成。根据聚丙烯理化性质可知</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聚丙烯熔点为173°C</w:t>
            </w:r>
            <w:r>
              <w:rPr>
                <w:rFonts w:hint="eastAsia" w:cs="Times New Roman"/>
                <w:color w:val="auto"/>
                <w:sz w:val="24"/>
                <w:lang w:eastAsia="zh-CN"/>
              </w:rPr>
              <w:t>（</w:t>
            </w:r>
            <w:r>
              <w:rPr>
                <w:rFonts w:hint="default" w:ascii="Times New Roman" w:hAnsi="Times New Roman" w:eastAsia="宋体" w:cs="Times New Roman"/>
                <w:color w:val="auto"/>
                <w:sz w:val="24"/>
              </w:rPr>
              <w:t>裂解温度260-300°C</w:t>
            </w:r>
            <w:r>
              <w:rPr>
                <w:rFonts w:hint="eastAsia" w:cs="Times New Roman"/>
                <w:color w:val="auto"/>
                <w:sz w:val="24"/>
                <w:lang w:eastAsia="zh-CN"/>
              </w:rPr>
              <w:t>）。</w:t>
            </w:r>
          </w:p>
          <w:p w14:paraId="215BDD98">
            <w:pPr>
              <w:pStyle w:val="11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熔融注塑有机废气</w:t>
            </w:r>
          </w:p>
          <w:p w14:paraId="032F602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本项目生产塑料框时采用电加热，项目通过自带温控系统将加热温度控制在180°C~200°C，塑料颗粒转化为熔融态时而不进行热分解，</w:t>
            </w:r>
            <w:r>
              <w:rPr>
                <w:rFonts w:hint="eastAsia" w:ascii="Times New Roman" w:hAnsi="Times New Roman" w:eastAsia="宋体" w:cs="Times New Roman"/>
                <w:color w:val="auto"/>
                <w:sz w:val="24"/>
                <w:lang w:val="en-US" w:eastAsia="zh-CN"/>
              </w:rPr>
              <w:t>热熔</w:t>
            </w:r>
            <w:r>
              <w:rPr>
                <w:rFonts w:hint="default" w:ascii="Times New Roman" w:hAnsi="Times New Roman" w:eastAsia="宋体" w:cs="Times New Roman"/>
                <w:color w:val="auto"/>
                <w:sz w:val="24"/>
              </w:rPr>
              <w:t>注塑时有少量物料接触加热螺杆时挥发产生聚丙烯单体等有机废气产生，主要成分以非甲烷总烃计。</w:t>
            </w:r>
          </w:p>
          <w:p w14:paraId="708AD820">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szCs w:val="24"/>
              </w:rPr>
            </w:pPr>
            <w:r>
              <w:rPr>
                <w:rFonts w:hint="eastAsia" w:cs="Times New Roman"/>
                <w:b/>
                <w:bCs/>
                <w:color w:val="auto"/>
                <w:sz w:val="24"/>
                <w:szCs w:val="24"/>
                <w:lang w:val="en-US" w:eastAsia="zh-CN"/>
              </w:rPr>
              <w:t>①</w:t>
            </w:r>
            <w:r>
              <w:rPr>
                <w:rFonts w:hint="default" w:ascii="Times New Roman" w:hAnsi="Times New Roman" w:eastAsia="宋体" w:cs="Times New Roman"/>
                <w:b/>
                <w:bCs/>
                <w:color w:val="auto"/>
                <w:sz w:val="24"/>
                <w:szCs w:val="24"/>
              </w:rPr>
              <w:t>产生量</w:t>
            </w:r>
          </w:p>
          <w:p w14:paraId="6ACAA99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rPr>
            </w:pPr>
            <w:r>
              <w:rPr>
                <w:rFonts w:hint="eastAsia" w:cs="Times New Roman"/>
                <w:b w:val="0"/>
                <w:bCs w:val="0"/>
                <w:color w:val="auto"/>
                <w:sz w:val="24"/>
                <w:szCs w:val="24"/>
                <w:lang w:val="en-US" w:eastAsia="zh-CN"/>
              </w:rPr>
              <w:t>根据</w:t>
            </w:r>
            <w:r>
              <w:rPr>
                <w:rFonts w:hint="default" w:ascii="Times New Roman" w:hAnsi="Times New Roman" w:eastAsia="宋体" w:cs="Times New Roman"/>
                <w:color w:val="auto"/>
                <w:sz w:val="24"/>
              </w:rPr>
              <w:t>项目</w:t>
            </w:r>
            <w:r>
              <w:rPr>
                <w:rFonts w:hint="eastAsia" w:cs="Times New Roman"/>
                <w:color w:val="auto"/>
                <w:sz w:val="24"/>
                <w:lang w:val="en-US" w:eastAsia="zh-CN"/>
              </w:rPr>
              <w:t>工程分析可知，</w:t>
            </w:r>
            <w:r>
              <w:rPr>
                <w:rFonts w:hint="default" w:ascii="Times New Roman" w:hAnsi="Times New Roman" w:eastAsia="宋体" w:cs="Times New Roman"/>
                <w:color w:val="auto"/>
                <w:sz w:val="24"/>
                <w:szCs w:val="24"/>
              </w:rPr>
              <w:t>项目塑料制品总产品量为</w:t>
            </w:r>
            <w:r>
              <w:rPr>
                <w:rFonts w:hint="eastAsia" w:cs="Times New Roman"/>
                <w:color w:val="auto"/>
                <w:sz w:val="24"/>
                <w:szCs w:val="24"/>
                <w:highlight w:val="none"/>
                <w:lang w:val="en-US" w:eastAsia="zh-CN"/>
              </w:rPr>
              <w:t>2606</w:t>
            </w:r>
            <w:r>
              <w:rPr>
                <w:rFonts w:hint="default" w:ascii="Times New Roman" w:hAnsi="Times New Roman" w:eastAsia="宋体" w:cs="Times New Roman"/>
                <w:color w:val="auto"/>
                <w:sz w:val="24"/>
                <w:szCs w:val="24"/>
                <w:highlight w:val="none"/>
              </w:rPr>
              <w:t>t</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a，项目年运行300d，每天运行</w:t>
            </w:r>
            <w:r>
              <w:rPr>
                <w:rFonts w:hint="eastAsia"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小时</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根据《排放源统计调查产排污核算方法和系数手册》（2021）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2926 塑料包装箱及容器制造行业系数表-塑料包装箱及容器-树脂、助剂-</w:t>
            </w:r>
            <w:r>
              <w:rPr>
                <w:rFonts w:hint="default" w:ascii="Times New Roman" w:hAnsi="Times New Roman" w:eastAsia="宋体" w:cs="Times New Roman"/>
                <w:color w:val="auto"/>
                <w:sz w:val="24"/>
                <w:szCs w:val="24"/>
                <w:highlight w:val="none"/>
                <w:lang w:val="en-US" w:eastAsia="zh-CN"/>
              </w:rPr>
              <w:t>注塑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中“挥发性有机物</w:t>
            </w:r>
            <w:r>
              <w:rPr>
                <w:rFonts w:hint="default" w:ascii="Times New Roman" w:hAnsi="Times New Roman" w:eastAsia="宋体" w:cs="Times New Roman"/>
                <w:color w:val="auto"/>
                <w:sz w:val="24"/>
                <w:szCs w:val="24"/>
                <w:highlight w:val="none"/>
                <w:lang w:val="en-US" w:eastAsia="zh-CN"/>
              </w:rPr>
              <w:t>产污系数为</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2.70</w:t>
            </w:r>
            <w:r>
              <w:rPr>
                <w:rFonts w:hint="default" w:ascii="Times New Roman" w:hAnsi="Times New Roman" w:eastAsia="宋体" w:cs="Times New Roman"/>
                <w:color w:val="auto"/>
                <w:sz w:val="24"/>
                <w:szCs w:val="24"/>
                <w:highlight w:val="none"/>
              </w:rPr>
              <w:t>千克/吨-产品”，</w:t>
            </w:r>
            <w:r>
              <w:rPr>
                <w:rFonts w:hint="default" w:ascii="Times New Roman" w:hAnsi="Times New Roman" w:eastAsia="宋体" w:cs="Times New Roman"/>
                <w:color w:val="auto"/>
                <w:sz w:val="24"/>
                <w:szCs w:val="24"/>
                <w:highlight w:val="none"/>
                <w:lang w:val="en-US" w:eastAsia="zh-CN"/>
              </w:rPr>
              <w:t>末端采用</w:t>
            </w:r>
            <w:r>
              <w:rPr>
                <w:rFonts w:hint="default" w:ascii="Times New Roman" w:hAnsi="Times New Roman" w:eastAsia="宋体" w:cs="Times New Roman"/>
                <w:color w:val="auto"/>
                <w:sz w:val="24"/>
                <w:szCs w:val="24"/>
                <w:highlight w:val="none"/>
                <w:lang w:eastAsia="zh-CN"/>
              </w:rPr>
              <w:t>活性炭吸附</w:t>
            </w:r>
            <w:r>
              <w:rPr>
                <w:rFonts w:hint="default" w:ascii="Times New Roman" w:hAnsi="Times New Roman" w:eastAsia="宋体" w:cs="Times New Roman"/>
                <w:color w:val="auto"/>
                <w:sz w:val="24"/>
                <w:szCs w:val="24"/>
                <w:highlight w:val="none"/>
                <w:lang w:val="en-US" w:eastAsia="zh-CN"/>
              </w:rPr>
              <w:t>治理技术</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项目有机废气</w:t>
            </w:r>
            <w:r>
              <w:rPr>
                <w:rFonts w:hint="eastAsia" w:ascii="Times New Roman" w:hAnsi="Times New Roman" w:eastAsia="宋体" w:cs="Times New Roman"/>
                <w:color w:val="auto"/>
                <w:sz w:val="24"/>
                <w:szCs w:val="24"/>
                <w:highlight w:val="none"/>
                <w:lang w:val="en-US" w:eastAsia="zh-CN"/>
              </w:rPr>
              <w:t>产生</w:t>
            </w:r>
            <w:r>
              <w:rPr>
                <w:rFonts w:hint="default" w:ascii="Times New Roman" w:hAnsi="Times New Roman" w:eastAsia="宋体" w:cs="Times New Roman"/>
                <w:color w:val="auto"/>
                <w:sz w:val="24"/>
                <w:szCs w:val="24"/>
                <w:highlight w:val="none"/>
              </w:rPr>
              <w:t>情况</w:t>
            </w:r>
            <w:r>
              <w:rPr>
                <w:rFonts w:hint="default" w:ascii="Times New Roman" w:hAnsi="Times New Roman" w:eastAsia="宋体" w:cs="Times New Roman"/>
                <w:color w:val="auto"/>
                <w:kern w:val="0"/>
                <w:sz w:val="24"/>
                <w:highlight w:val="none"/>
                <w:lang w:bidi="ar"/>
              </w:rPr>
              <w:t>见表4-1。</w:t>
            </w:r>
          </w:p>
          <w:p w14:paraId="291BFFF6">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kern w:val="0"/>
                <w:szCs w:val="21"/>
                <w:lang w:bidi="ar"/>
              </w:rPr>
              <w:t>表4-1</w:t>
            </w:r>
            <w:r>
              <w:rPr>
                <w:rFonts w:hint="eastAsia" w:ascii="Times New Roman" w:hAnsi="Times New Roman" w:eastAsia="宋体" w:cs="Times New Roman"/>
                <w:b/>
                <w:bCs/>
                <w:color w:val="auto"/>
                <w:kern w:val="0"/>
                <w:szCs w:val="21"/>
                <w:lang w:val="en-US" w:eastAsia="zh-CN" w:bidi="ar"/>
              </w:rPr>
              <w:t xml:space="preserve"> </w:t>
            </w:r>
            <w:r>
              <w:rPr>
                <w:rFonts w:hint="default" w:ascii="Times New Roman" w:hAnsi="Times New Roman" w:eastAsia="宋体" w:cs="Times New Roman"/>
                <w:b/>
                <w:bCs/>
                <w:color w:val="auto"/>
                <w:kern w:val="0"/>
                <w:szCs w:val="21"/>
                <w:lang w:bidi="ar"/>
              </w:rPr>
              <w:t xml:space="preserve"> </w:t>
            </w:r>
            <w:r>
              <w:rPr>
                <w:rFonts w:hint="eastAsia" w:ascii="Times New Roman" w:hAnsi="Times New Roman" w:eastAsia="宋体" w:cs="Times New Roman"/>
                <w:b/>
                <w:bCs/>
                <w:caps w:val="0"/>
                <w:smallCaps w:val="0"/>
                <w:color w:val="auto"/>
                <w:sz w:val="21"/>
                <w:szCs w:val="20"/>
                <w:lang w:val="en-US" w:eastAsia="zh-CN"/>
              </w:rPr>
              <w:t>项目有机废气产生情况一览表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722"/>
              <w:gridCol w:w="668"/>
              <w:gridCol w:w="669"/>
              <w:gridCol w:w="640"/>
              <w:gridCol w:w="655"/>
              <w:gridCol w:w="968"/>
              <w:gridCol w:w="927"/>
              <w:gridCol w:w="1085"/>
              <w:gridCol w:w="1242"/>
            </w:tblGrid>
            <w:tr w14:paraId="5733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4" w:type="pct"/>
                  <w:noWrap w:val="0"/>
                  <w:vAlign w:val="center"/>
                </w:tcPr>
                <w:p w14:paraId="242B0A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产品名称</w:t>
                  </w:r>
                </w:p>
              </w:tc>
              <w:tc>
                <w:tcPr>
                  <w:tcW w:w="424" w:type="pct"/>
                  <w:noWrap w:val="0"/>
                  <w:vAlign w:val="center"/>
                </w:tcPr>
                <w:p w14:paraId="64625B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原料名称</w:t>
                  </w:r>
                </w:p>
              </w:tc>
              <w:tc>
                <w:tcPr>
                  <w:tcW w:w="392" w:type="pct"/>
                  <w:noWrap w:val="0"/>
                  <w:vAlign w:val="center"/>
                </w:tcPr>
                <w:p w14:paraId="4EF1975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工艺名称</w:t>
                  </w:r>
                </w:p>
              </w:tc>
              <w:tc>
                <w:tcPr>
                  <w:tcW w:w="393" w:type="pct"/>
                  <w:noWrap w:val="0"/>
                  <w:vAlign w:val="center"/>
                </w:tcPr>
                <w:p w14:paraId="1454FD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污染物指标</w:t>
                  </w:r>
                </w:p>
              </w:tc>
              <w:tc>
                <w:tcPr>
                  <w:tcW w:w="376" w:type="pct"/>
                  <w:noWrap w:val="0"/>
                  <w:vAlign w:val="center"/>
                </w:tcPr>
                <w:p w14:paraId="43A4B9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bidi="ar"/>
                    </w:rPr>
                    <w:t>系数单位</w:t>
                  </w:r>
                </w:p>
              </w:tc>
              <w:tc>
                <w:tcPr>
                  <w:tcW w:w="385" w:type="pct"/>
                  <w:noWrap w:val="0"/>
                  <w:vAlign w:val="center"/>
                </w:tcPr>
                <w:p w14:paraId="540F18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bidi="ar"/>
                    </w:rPr>
                    <w:t>产污系数</w:t>
                  </w:r>
                </w:p>
              </w:tc>
              <w:tc>
                <w:tcPr>
                  <w:tcW w:w="569" w:type="pct"/>
                  <w:noWrap w:val="0"/>
                  <w:vAlign w:val="center"/>
                </w:tcPr>
                <w:p w14:paraId="1A4B1B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产品量</w:t>
                  </w:r>
                </w:p>
              </w:tc>
              <w:tc>
                <w:tcPr>
                  <w:tcW w:w="545" w:type="pct"/>
                  <w:noWrap w:val="0"/>
                  <w:vAlign w:val="center"/>
                </w:tcPr>
                <w:p w14:paraId="575053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运行时间</w:t>
                  </w:r>
                </w:p>
              </w:tc>
              <w:tc>
                <w:tcPr>
                  <w:tcW w:w="638" w:type="pct"/>
                  <w:noWrap w:val="0"/>
                  <w:vAlign w:val="center"/>
                </w:tcPr>
                <w:p w14:paraId="73DFB1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产生量</w:t>
                  </w:r>
                </w:p>
              </w:tc>
              <w:tc>
                <w:tcPr>
                  <w:tcW w:w="730" w:type="pct"/>
                  <w:noWrap w:val="0"/>
                  <w:vAlign w:val="center"/>
                </w:tcPr>
                <w:p w14:paraId="2FDC98C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产生速率</w:t>
                  </w:r>
                </w:p>
              </w:tc>
            </w:tr>
            <w:tr w14:paraId="1669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4" w:type="pct"/>
                  <w:noWrap w:val="0"/>
                  <w:vAlign w:val="center"/>
                </w:tcPr>
                <w:p w14:paraId="6E578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2926塑料包装箱及容器制造</w:t>
                  </w:r>
                </w:p>
              </w:tc>
              <w:tc>
                <w:tcPr>
                  <w:tcW w:w="424" w:type="pct"/>
                  <w:noWrap w:val="0"/>
                  <w:vAlign w:val="center"/>
                </w:tcPr>
                <w:p w14:paraId="67B56D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塑料框</w:t>
                  </w:r>
                </w:p>
              </w:tc>
              <w:tc>
                <w:tcPr>
                  <w:tcW w:w="392" w:type="pct"/>
                  <w:noWrap w:val="0"/>
                  <w:vAlign w:val="center"/>
                </w:tcPr>
                <w:p w14:paraId="2B0F2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配料-混合-挤出/塑</w:t>
                  </w:r>
                </w:p>
              </w:tc>
              <w:tc>
                <w:tcPr>
                  <w:tcW w:w="393" w:type="pct"/>
                  <w:shd w:val="clear" w:color="auto" w:fill="FFFFFF"/>
                  <w:noWrap w:val="0"/>
                  <w:vAlign w:val="center"/>
                </w:tcPr>
                <w:p w14:paraId="056C7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挥发性有机物</w:t>
                  </w:r>
                </w:p>
              </w:tc>
              <w:tc>
                <w:tcPr>
                  <w:tcW w:w="376" w:type="pct"/>
                  <w:shd w:val="clear" w:color="auto" w:fill="FFFFFF"/>
                  <w:noWrap w:val="0"/>
                  <w:vAlign w:val="center"/>
                </w:tcPr>
                <w:p w14:paraId="19F68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千克/吨产品</w:t>
                  </w:r>
                </w:p>
              </w:tc>
              <w:tc>
                <w:tcPr>
                  <w:tcW w:w="385" w:type="pct"/>
                  <w:shd w:val="clear" w:color="auto" w:fill="FFFFFF"/>
                  <w:noWrap w:val="0"/>
                  <w:vAlign w:val="center"/>
                </w:tcPr>
                <w:p w14:paraId="1EBD39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2.7</w:t>
                  </w:r>
                </w:p>
              </w:tc>
              <w:tc>
                <w:tcPr>
                  <w:tcW w:w="569" w:type="pct"/>
                  <w:noWrap w:val="0"/>
                  <w:vAlign w:val="center"/>
                </w:tcPr>
                <w:p w14:paraId="493A10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2606</w:t>
                  </w:r>
                  <w:r>
                    <w:rPr>
                      <w:rFonts w:hint="default" w:ascii="Times New Roman" w:hAnsi="Times New Roman" w:eastAsia="宋体" w:cs="Times New Roman"/>
                      <w:color w:val="auto"/>
                      <w:kern w:val="0"/>
                      <w:sz w:val="21"/>
                      <w:szCs w:val="21"/>
                      <w:highlight w:val="none"/>
                      <w:lang w:val="en-US" w:eastAsia="zh-CN" w:bidi="ar"/>
                    </w:rPr>
                    <w:t>t/a</w:t>
                  </w:r>
                </w:p>
              </w:tc>
              <w:tc>
                <w:tcPr>
                  <w:tcW w:w="545" w:type="pct"/>
                  <w:noWrap w:val="0"/>
                  <w:vAlign w:val="center"/>
                </w:tcPr>
                <w:p w14:paraId="7668A5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72</w:t>
                  </w:r>
                  <w:r>
                    <w:rPr>
                      <w:rFonts w:hint="default" w:ascii="Times New Roman" w:hAnsi="Times New Roman" w:eastAsia="宋体" w:cs="Times New Roman"/>
                      <w:color w:val="auto"/>
                      <w:kern w:val="0"/>
                      <w:sz w:val="21"/>
                      <w:szCs w:val="21"/>
                      <w:lang w:val="en-US" w:eastAsia="zh-CN" w:bidi="ar"/>
                    </w:rPr>
                    <w:t>00h</w:t>
                  </w:r>
                  <w:r>
                    <w:rPr>
                      <w:rFonts w:hint="eastAsia" w:cs="Times New Roman"/>
                      <w:color w:val="auto"/>
                      <w:kern w:val="0"/>
                      <w:sz w:val="21"/>
                      <w:szCs w:val="21"/>
                      <w:lang w:val="en-US" w:eastAsia="zh-CN" w:bidi="ar"/>
                    </w:rPr>
                    <w:t>/a</w:t>
                  </w:r>
                </w:p>
              </w:tc>
              <w:tc>
                <w:tcPr>
                  <w:tcW w:w="638" w:type="pct"/>
                  <w:noWrap w:val="0"/>
                  <w:vAlign w:val="center"/>
                </w:tcPr>
                <w:p w14:paraId="68AD1A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7.0362</w:t>
                  </w:r>
                  <w:r>
                    <w:rPr>
                      <w:rFonts w:hint="default" w:ascii="Times New Roman" w:hAnsi="Times New Roman" w:eastAsia="宋体" w:cs="Times New Roman"/>
                      <w:color w:val="auto"/>
                      <w:kern w:val="0"/>
                      <w:sz w:val="21"/>
                      <w:szCs w:val="21"/>
                      <w:lang w:val="en-US" w:eastAsia="zh-CN" w:bidi="ar"/>
                    </w:rPr>
                    <w:t>t/a</w:t>
                  </w:r>
                </w:p>
              </w:tc>
              <w:tc>
                <w:tcPr>
                  <w:tcW w:w="730" w:type="pct"/>
                  <w:noWrap w:val="0"/>
                  <w:vAlign w:val="center"/>
                </w:tcPr>
                <w:p w14:paraId="2F1AD4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0.9773</w:t>
                  </w:r>
                  <w:r>
                    <w:rPr>
                      <w:rFonts w:hint="default" w:ascii="Times New Roman" w:hAnsi="Times New Roman" w:eastAsia="宋体" w:cs="Times New Roman"/>
                      <w:color w:val="auto"/>
                      <w:kern w:val="0"/>
                      <w:sz w:val="21"/>
                      <w:szCs w:val="21"/>
                      <w:lang w:val="en-US" w:eastAsia="zh-CN" w:bidi="ar"/>
                    </w:rPr>
                    <w:t>kg/h</w:t>
                  </w:r>
                </w:p>
              </w:tc>
            </w:tr>
          </w:tbl>
          <w:p w14:paraId="4B4B7766">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bidi="ar"/>
              </w:rPr>
            </w:pPr>
            <w:r>
              <w:rPr>
                <w:rFonts w:hint="eastAsia" w:cs="Times New Roman"/>
                <w:b/>
                <w:bCs/>
                <w:color w:val="auto"/>
                <w:kern w:val="0"/>
                <w:sz w:val="24"/>
                <w:szCs w:val="24"/>
                <w:lang w:val="en-US" w:eastAsia="zh-CN" w:bidi="ar"/>
              </w:rPr>
              <w:t>②</w:t>
            </w:r>
            <w:r>
              <w:rPr>
                <w:rFonts w:hint="default" w:ascii="Times New Roman" w:hAnsi="Times New Roman" w:eastAsia="宋体" w:cs="Times New Roman"/>
                <w:b/>
                <w:bCs/>
                <w:color w:val="auto"/>
                <w:kern w:val="0"/>
                <w:sz w:val="24"/>
                <w:szCs w:val="24"/>
                <w:lang w:val="en-US" w:eastAsia="zh-CN" w:bidi="ar"/>
              </w:rPr>
              <w:t>治理措施</w:t>
            </w:r>
          </w:p>
          <w:p w14:paraId="457544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aps w:val="0"/>
                <w:smallCaps w:val="0"/>
                <w:color w:val="auto"/>
                <w:sz w:val="24"/>
                <w:szCs w:val="24"/>
                <w:lang w:val="en-US" w:eastAsia="zh-CN"/>
              </w:rPr>
              <w:t>根据建设单位提供资料，</w:t>
            </w:r>
            <w:r>
              <w:rPr>
                <w:rFonts w:hint="eastAsia" w:cs="Times New Roman"/>
                <w:caps w:val="0"/>
                <w:smallCaps w:val="0"/>
                <w:color w:val="auto"/>
                <w:sz w:val="24"/>
                <w:szCs w:val="24"/>
                <w:lang w:val="en-US" w:eastAsia="zh-CN"/>
              </w:rPr>
              <w:t>项目注塑机为</w:t>
            </w:r>
            <w:r>
              <w:rPr>
                <w:rFonts w:hint="eastAsia" w:ascii="Times New Roman" w:hAnsi="Times New Roman" w:eastAsia="宋体" w:cs="Times New Roman"/>
                <w:color w:val="auto"/>
                <w:sz w:val="24"/>
                <w:lang w:val="en-US" w:eastAsia="zh-CN"/>
              </w:rPr>
              <w:t>半</w:t>
            </w:r>
            <w:r>
              <w:rPr>
                <w:rFonts w:hint="default" w:ascii="Times New Roman" w:hAnsi="Times New Roman" w:eastAsia="宋体" w:cs="Times New Roman"/>
                <w:color w:val="auto"/>
                <w:sz w:val="24"/>
              </w:rPr>
              <w:t>封闭式模具箱体</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aps w:val="0"/>
                <w:smallCaps w:val="0"/>
                <w:color w:val="auto"/>
                <w:sz w:val="24"/>
                <w:szCs w:val="24"/>
                <w:lang w:val="en-US" w:eastAsia="zh-CN"/>
              </w:rPr>
              <w:t>项目设计在每台</w:t>
            </w:r>
            <w:r>
              <w:rPr>
                <w:rFonts w:hint="default" w:ascii="Times New Roman" w:hAnsi="Times New Roman" w:eastAsia="宋体" w:cs="Times New Roman"/>
                <w:color w:val="000000"/>
                <w:kern w:val="0"/>
                <w:sz w:val="24"/>
                <w:szCs w:val="24"/>
                <w:lang w:val="en-US" w:eastAsia="zh-CN" w:bidi="ar"/>
              </w:rPr>
              <w:t>注塑机（8台）</w:t>
            </w:r>
            <w:r>
              <w:rPr>
                <w:rFonts w:hint="default" w:ascii="Times New Roman" w:hAnsi="Times New Roman" w:eastAsia="宋体" w:cs="Times New Roman"/>
                <w:caps w:val="0"/>
                <w:smallCaps w:val="0"/>
                <w:color w:val="auto"/>
                <w:sz w:val="24"/>
                <w:szCs w:val="24"/>
                <w:lang w:val="en-US" w:eastAsia="zh-CN"/>
              </w:rPr>
              <w:t>上方设置半封闭负压集气罩</w:t>
            </w:r>
            <w:r>
              <w:rPr>
                <w:rFonts w:hint="eastAsia" w:cs="Times New Roman"/>
                <w:caps w:val="0"/>
                <w:smallCaps w:val="0"/>
                <w:color w:val="auto"/>
                <w:sz w:val="24"/>
                <w:szCs w:val="24"/>
                <w:lang w:val="en-US" w:eastAsia="zh-CN"/>
              </w:rPr>
              <w:t>侧吸集气罩</w:t>
            </w:r>
            <w:r>
              <w:rPr>
                <w:rFonts w:hint="default" w:ascii="Times New Roman" w:hAnsi="Times New Roman" w:eastAsia="宋体" w:cs="Times New Roman"/>
                <w:caps w:val="0"/>
                <w:smallCaps w:val="0"/>
                <w:color w:val="auto"/>
                <w:sz w:val="24"/>
                <w:szCs w:val="24"/>
                <w:lang w:val="en-US" w:eastAsia="zh-CN"/>
              </w:rPr>
              <w:t>对废气进行收集，</w:t>
            </w:r>
            <w:r>
              <w:rPr>
                <w:rFonts w:hint="default" w:ascii="Times New Roman" w:hAnsi="Times New Roman" w:eastAsia="宋体" w:cs="Times New Roman"/>
                <w:color w:val="000000"/>
                <w:kern w:val="0"/>
                <w:sz w:val="24"/>
                <w:szCs w:val="24"/>
                <w:lang w:val="en-US" w:eastAsia="zh-CN" w:bidi="ar"/>
              </w:rPr>
              <w:t>经集气罩收集后进入一套“三级活性炭吸附”装置处理后经 15m 高排气筒（DA001）排放。</w:t>
            </w:r>
          </w:p>
          <w:p w14:paraId="175AE4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val="0"/>
                <w:bCs w:val="0"/>
                <w:color w:val="000000"/>
                <w:kern w:val="0"/>
                <w:sz w:val="24"/>
                <w:szCs w:val="24"/>
                <w:lang w:val="en-US" w:eastAsia="zh-CN" w:bidi="ar"/>
              </w:rPr>
            </w:pPr>
            <w:r>
              <w:rPr>
                <w:rFonts w:hint="eastAsia" w:cs="Times New Roman"/>
                <w:b/>
                <w:bCs/>
                <w:color w:val="000000"/>
                <w:kern w:val="0"/>
                <w:sz w:val="24"/>
                <w:szCs w:val="24"/>
                <w:lang w:val="en-US" w:eastAsia="zh-CN" w:bidi="ar"/>
              </w:rPr>
              <w:t>③</w:t>
            </w:r>
            <w:r>
              <w:rPr>
                <w:rFonts w:hint="default" w:ascii="Times New Roman" w:hAnsi="Times New Roman" w:eastAsia="宋体" w:cs="Times New Roman"/>
                <w:b/>
                <w:bCs/>
                <w:color w:val="000000"/>
                <w:kern w:val="0"/>
                <w:sz w:val="24"/>
                <w:szCs w:val="24"/>
                <w:lang w:val="en-US" w:eastAsia="zh-CN" w:bidi="ar"/>
              </w:rPr>
              <w:t>风量</w:t>
            </w:r>
          </w:p>
          <w:p w14:paraId="1AE78A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建设单位拟在单台注塑机上方设置1个0.</w:t>
            </w:r>
            <w:r>
              <w:rPr>
                <w:rFonts w:hint="eastAsia" w:cs="Times New Roman"/>
                <w:b w:val="0"/>
                <w:bCs w:val="0"/>
                <w:color w:val="000000"/>
                <w:kern w:val="0"/>
                <w:sz w:val="24"/>
                <w:szCs w:val="24"/>
                <w:lang w:val="en-US" w:eastAsia="zh-CN" w:bidi="ar"/>
              </w:rPr>
              <w:t>5</w:t>
            </w:r>
            <w:r>
              <w:rPr>
                <w:rFonts w:hint="default" w:ascii="Times New Roman" w:hAnsi="Times New Roman" w:eastAsia="宋体" w:cs="Times New Roman"/>
                <w:b w:val="0"/>
                <w:bCs w:val="0"/>
                <w:color w:val="000000"/>
                <w:kern w:val="0"/>
                <w:sz w:val="24"/>
                <w:szCs w:val="24"/>
                <w:lang w:val="en-US" w:eastAsia="zh-CN" w:bidi="ar"/>
              </w:rPr>
              <w:t>m*</w:t>
            </w:r>
            <w:r>
              <w:rPr>
                <w:rFonts w:hint="eastAsia" w:cs="Times New Roman"/>
                <w:b w:val="0"/>
                <w:bCs w:val="0"/>
                <w:color w:val="000000"/>
                <w:kern w:val="0"/>
                <w:sz w:val="24"/>
                <w:szCs w:val="24"/>
                <w:lang w:val="en-US" w:eastAsia="zh-CN" w:bidi="ar"/>
              </w:rPr>
              <w:t>1.1</w:t>
            </w:r>
            <w:r>
              <w:rPr>
                <w:rFonts w:hint="default" w:ascii="Times New Roman" w:hAnsi="Times New Roman" w:eastAsia="宋体" w:cs="Times New Roman"/>
                <w:b w:val="0"/>
                <w:bCs w:val="0"/>
                <w:color w:val="000000"/>
                <w:kern w:val="0"/>
                <w:sz w:val="24"/>
                <w:szCs w:val="24"/>
                <w:lang w:val="en-US" w:eastAsia="zh-CN" w:bidi="ar"/>
              </w:rPr>
              <w:t>m的</w:t>
            </w:r>
            <w:r>
              <w:rPr>
                <w:rFonts w:hint="eastAsia" w:cs="Times New Roman"/>
                <w:b w:val="0"/>
                <w:bCs w:val="0"/>
                <w:color w:val="000000"/>
                <w:kern w:val="0"/>
                <w:sz w:val="24"/>
                <w:szCs w:val="24"/>
                <w:lang w:val="en-US" w:eastAsia="zh-CN" w:bidi="ar"/>
              </w:rPr>
              <w:t>负压半密闭</w:t>
            </w:r>
            <w:r>
              <w:rPr>
                <w:rFonts w:hint="default" w:ascii="Times New Roman" w:hAnsi="Times New Roman" w:eastAsia="宋体" w:cs="Times New Roman"/>
                <w:b w:val="0"/>
                <w:bCs w:val="0"/>
                <w:color w:val="000000"/>
                <w:kern w:val="0"/>
                <w:sz w:val="24"/>
                <w:szCs w:val="24"/>
                <w:lang w:val="en-US" w:eastAsia="zh-CN" w:bidi="ar"/>
              </w:rPr>
              <w:t>集气罩进行废气收集</w:t>
            </w:r>
            <w:r>
              <w:rPr>
                <w:rFonts w:hint="eastAsia" w:cs="Times New Roman"/>
                <w:b w:val="0"/>
                <w:bCs w:val="0"/>
                <w:color w:val="000000"/>
                <w:kern w:val="0"/>
                <w:sz w:val="24"/>
                <w:szCs w:val="24"/>
                <w:lang w:val="en-US" w:eastAsia="zh-CN" w:bidi="ar"/>
              </w:rPr>
              <w:t>，</w:t>
            </w:r>
            <w:r>
              <w:rPr>
                <w:rFonts w:hint="default" w:ascii="Times New Roman" w:hAnsi="Times New Roman" w:eastAsia="宋体" w:cs="Times New Roman"/>
                <w:b w:val="0"/>
                <w:bCs w:val="0"/>
                <w:color w:val="000000"/>
                <w:kern w:val="0"/>
                <w:sz w:val="24"/>
                <w:szCs w:val="24"/>
                <w:lang w:val="en-US" w:eastAsia="zh-CN" w:bidi="ar"/>
              </w:rPr>
              <w:t>集气罩罩体覆盖</w:t>
            </w:r>
            <w:r>
              <w:rPr>
                <w:rFonts w:hint="eastAsia" w:ascii="Times New Roman" w:hAnsi="Times New Roman" w:eastAsia="宋体" w:cs="Times New Roman"/>
                <w:b w:val="0"/>
                <w:bCs w:val="0"/>
                <w:color w:val="000000"/>
                <w:kern w:val="0"/>
                <w:sz w:val="24"/>
                <w:szCs w:val="24"/>
                <w:lang w:val="en-US" w:eastAsia="zh-CN" w:bidi="ar"/>
              </w:rPr>
              <w:t>热熔注塑工序</w:t>
            </w:r>
            <w:r>
              <w:rPr>
                <w:rFonts w:hint="default" w:ascii="Times New Roman" w:hAnsi="Times New Roman" w:eastAsia="宋体" w:cs="Times New Roman"/>
                <w:b w:val="0"/>
                <w:bCs w:val="0"/>
                <w:color w:val="000000"/>
                <w:kern w:val="0"/>
                <w:sz w:val="24"/>
                <w:szCs w:val="24"/>
                <w:lang w:val="en-US" w:eastAsia="zh-CN" w:bidi="ar"/>
              </w:rPr>
              <w:t>逸散面</w:t>
            </w:r>
            <w:r>
              <w:rPr>
                <w:rFonts w:hint="eastAsia" w:cs="Times New Roman"/>
                <w:b w:val="0"/>
                <w:bCs w:val="0"/>
                <w:color w:val="000000"/>
                <w:kern w:val="0"/>
                <w:sz w:val="24"/>
                <w:szCs w:val="24"/>
                <w:lang w:val="en-US" w:eastAsia="zh-CN" w:bidi="ar"/>
              </w:rPr>
              <w:t>进行收集</w:t>
            </w:r>
            <w:r>
              <w:rPr>
                <w:rFonts w:hint="default" w:ascii="Times New Roman" w:hAnsi="Times New Roman" w:eastAsia="宋体" w:cs="Times New Roman"/>
                <w:b w:val="0"/>
                <w:bCs w:val="0"/>
                <w:color w:val="000000"/>
                <w:kern w:val="0"/>
                <w:sz w:val="24"/>
                <w:szCs w:val="24"/>
                <w:lang w:val="en-US" w:eastAsia="zh-CN" w:bidi="ar"/>
              </w:rPr>
              <w:t>，</w:t>
            </w:r>
            <w:r>
              <w:rPr>
                <w:rFonts w:hint="eastAsia" w:cs="Times New Roman"/>
                <w:b w:val="0"/>
                <w:bCs w:val="0"/>
                <w:color w:val="000000"/>
                <w:kern w:val="0"/>
                <w:sz w:val="24"/>
                <w:szCs w:val="24"/>
                <w:lang w:val="en-US" w:eastAsia="zh-CN" w:bidi="ar"/>
              </w:rPr>
              <w:t>收集后的废气由项目区内集气管集中</w:t>
            </w:r>
            <w:r>
              <w:rPr>
                <w:rFonts w:hint="default" w:ascii="Times New Roman" w:hAnsi="Times New Roman" w:eastAsia="宋体" w:cs="Times New Roman"/>
                <w:b w:val="0"/>
                <w:bCs w:val="0"/>
                <w:color w:val="000000"/>
                <w:kern w:val="0"/>
                <w:sz w:val="24"/>
                <w:szCs w:val="24"/>
                <w:lang w:val="en-US" w:eastAsia="zh-CN" w:bidi="ar"/>
              </w:rPr>
              <w:t>引至</w:t>
            </w:r>
            <w:r>
              <w:rPr>
                <w:rFonts w:hint="eastAsia" w:ascii="Times New Roman" w:hAnsi="Times New Roman" w:eastAsia="宋体" w:cs="Times New Roman"/>
                <w:b w:val="0"/>
                <w:bCs w:val="0"/>
                <w:color w:val="000000"/>
                <w:kern w:val="0"/>
                <w:sz w:val="24"/>
                <w:szCs w:val="24"/>
                <w:lang w:val="en-US" w:eastAsia="zh-CN" w:bidi="ar"/>
              </w:rPr>
              <w:t>三级活性炭吸附装置进行处理，然后由</w:t>
            </w:r>
            <w:r>
              <w:rPr>
                <w:rFonts w:hint="default" w:ascii="Times New Roman" w:hAnsi="Times New Roman" w:eastAsia="宋体" w:cs="Times New Roman"/>
                <w:b w:val="0"/>
                <w:bCs w:val="0"/>
                <w:color w:val="000000"/>
                <w:kern w:val="0"/>
                <w:sz w:val="24"/>
                <w:szCs w:val="24"/>
                <w:lang w:val="en-US" w:eastAsia="zh-CN" w:bidi="ar"/>
              </w:rPr>
              <w:t>排气筒DA001排放。</w:t>
            </w:r>
            <w:r>
              <w:rPr>
                <w:rFonts w:hint="eastAsia" w:ascii="Times New Roman" w:hAnsi="Times New Roman" w:eastAsia="宋体" w:cs="Times New Roman"/>
                <w:b w:val="0"/>
                <w:bCs w:val="0"/>
                <w:color w:val="000000"/>
                <w:kern w:val="0"/>
                <w:sz w:val="24"/>
                <w:szCs w:val="24"/>
                <w:lang w:val="en-US" w:eastAsia="zh-CN" w:bidi="ar"/>
              </w:rPr>
              <w:t>上方</w:t>
            </w:r>
            <w:r>
              <w:rPr>
                <w:rFonts w:hint="eastAsia" w:cs="Times New Roman"/>
                <w:b w:val="0"/>
                <w:bCs w:val="0"/>
                <w:color w:val="000000"/>
                <w:kern w:val="0"/>
                <w:sz w:val="24"/>
                <w:szCs w:val="24"/>
                <w:lang w:val="en-US" w:eastAsia="zh-CN" w:bidi="ar"/>
              </w:rPr>
              <w:t>集气罩与污染源的距离设置为0.3m，污染源逸散点（控制点）处控制风速设计0.6m/s。</w:t>
            </w:r>
          </w:p>
          <w:p w14:paraId="7B42B9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b w:val="0"/>
                <w:bCs w:val="0"/>
                <w:sz w:val="24"/>
                <w:szCs w:val="24"/>
              </w:rPr>
            </w:pPr>
            <w:r>
              <w:rPr>
                <w:rFonts w:hint="eastAsia"/>
                <w:b w:val="0"/>
                <w:bCs w:val="0"/>
                <w:sz w:val="24"/>
                <w:szCs w:val="24"/>
              </w:rPr>
              <w:t>集气风量核算参考《</w:t>
            </w:r>
            <w:r>
              <w:rPr>
                <w:rFonts w:hint="eastAsia"/>
                <w:b w:val="0"/>
                <w:bCs w:val="0"/>
                <w:sz w:val="24"/>
                <w:szCs w:val="24"/>
                <w:lang w:val="en-US" w:eastAsia="zh-CN"/>
              </w:rPr>
              <w:t>工业</w:t>
            </w:r>
            <w:r>
              <w:rPr>
                <w:rFonts w:hint="eastAsia"/>
                <w:b w:val="0"/>
                <w:bCs w:val="0"/>
                <w:sz w:val="24"/>
                <w:szCs w:val="24"/>
              </w:rPr>
              <w:t>通风》</w:t>
            </w:r>
            <w:r>
              <w:rPr>
                <w:rFonts w:hint="eastAsia"/>
                <w:b w:val="0"/>
                <w:bCs w:val="0"/>
                <w:sz w:val="24"/>
                <w:szCs w:val="24"/>
                <w:lang w:eastAsia="zh-CN"/>
              </w:rPr>
              <w:t>（</w:t>
            </w:r>
            <w:r>
              <w:rPr>
                <w:rFonts w:hint="eastAsia"/>
                <w:b w:val="0"/>
                <w:bCs w:val="0"/>
                <w:sz w:val="24"/>
                <w:szCs w:val="24"/>
              </w:rPr>
              <w:t>（</w:t>
            </w:r>
            <w:r>
              <w:rPr>
                <w:rFonts w:hint="eastAsia"/>
                <w:b w:val="0"/>
                <w:bCs w:val="0"/>
                <w:sz w:val="24"/>
                <w:szCs w:val="24"/>
                <w:lang w:val="en-US" w:eastAsia="zh-CN"/>
              </w:rPr>
              <w:t>第四版）</w:t>
            </w:r>
            <w:r>
              <w:rPr>
                <w:rFonts w:hint="eastAsia"/>
                <w:b w:val="0"/>
                <w:bCs w:val="0"/>
                <w:sz w:val="24"/>
                <w:szCs w:val="24"/>
              </w:rPr>
              <w:t>孙一坚</w:t>
            </w:r>
            <w:r>
              <w:rPr>
                <w:rFonts w:hint="eastAsia"/>
                <w:b w:val="0"/>
                <w:bCs w:val="0"/>
                <w:sz w:val="24"/>
                <w:szCs w:val="24"/>
                <w:lang w:eastAsia="zh-CN"/>
              </w:rPr>
              <w:t>、</w:t>
            </w:r>
            <w:r>
              <w:rPr>
                <w:rFonts w:hint="eastAsia"/>
                <w:b w:val="0"/>
                <w:bCs w:val="0"/>
                <w:sz w:val="24"/>
                <w:szCs w:val="24"/>
                <w:lang w:val="en-US" w:eastAsia="zh-CN"/>
              </w:rPr>
              <w:t>沈恒根，中国建筑工业出版社、2010</w:t>
            </w:r>
            <w:r>
              <w:rPr>
                <w:rFonts w:hint="eastAsia"/>
                <w:b w:val="0"/>
                <w:bCs w:val="0"/>
                <w:sz w:val="24"/>
                <w:szCs w:val="24"/>
                <w:lang w:eastAsia="zh-CN"/>
              </w:rPr>
              <w:t>）</w:t>
            </w:r>
            <w:r>
              <w:rPr>
                <w:rFonts w:hint="eastAsia"/>
                <w:b w:val="0"/>
                <w:bCs w:val="0"/>
                <w:sz w:val="24"/>
                <w:szCs w:val="24"/>
              </w:rPr>
              <w:t>、《局部排风设施控制风速检测与评估技术规范》（</w:t>
            </w:r>
            <w:r>
              <w:rPr>
                <w:rFonts w:hint="eastAsia"/>
                <w:b w:val="0"/>
                <w:bCs w:val="0"/>
                <w:sz w:val="24"/>
                <w:szCs w:val="24"/>
                <w:lang w:val="en-US" w:eastAsia="zh-CN"/>
              </w:rPr>
              <w:t>AQ/T</w:t>
            </w:r>
            <w:r>
              <w:rPr>
                <w:rFonts w:hint="eastAsia"/>
                <w:b w:val="0"/>
                <w:bCs w:val="0"/>
                <w:sz w:val="24"/>
                <w:szCs w:val="24"/>
              </w:rPr>
              <w:t xml:space="preserve"> 388‑2017）</w:t>
            </w:r>
            <w:r>
              <w:rPr>
                <w:rFonts w:hint="eastAsia"/>
                <w:b w:val="0"/>
                <w:bCs w:val="0"/>
                <w:sz w:val="24"/>
                <w:szCs w:val="24"/>
                <w:lang w:val="en-US" w:eastAsia="zh-CN"/>
              </w:rPr>
              <w:t>进行计算</w:t>
            </w:r>
            <w:r>
              <w:rPr>
                <w:rFonts w:hint="eastAsia"/>
                <w:b w:val="0"/>
                <w:bCs w:val="0"/>
                <w:sz w:val="24"/>
                <w:szCs w:val="24"/>
              </w:rPr>
              <w:t>。</w:t>
            </w:r>
          </w:p>
          <w:p w14:paraId="74253F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b w:val="0"/>
                <w:bCs w:val="0"/>
                <w:sz w:val="24"/>
                <w:szCs w:val="24"/>
              </w:rPr>
            </w:pPr>
            <w:r>
              <w:rPr>
                <w:rFonts w:hint="eastAsia"/>
                <w:b w:val="0"/>
                <w:bCs w:val="0"/>
                <w:sz w:val="24"/>
                <w:szCs w:val="24"/>
              </w:rPr>
              <w:t>上部集气罩罩口距离污染源高度0.</w:t>
            </w:r>
            <w:r>
              <w:rPr>
                <w:rFonts w:hint="eastAsia"/>
                <w:b w:val="0"/>
                <w:bCs w:val="0"/>
                <w:sz w:val="24"/>
                <w:szCs w:val="24"/>
                <w:lang w:val="en-US" w:eastAsia="zh-CN"/>
              </w:rPr>
              <w:t>3</w:t>
            </w:r>
            <w:r>
              <w:rPr>
                <w:rFonts w:hint="eastAsia"/>
                <w:b w:val="0"/>
                <w:bCs w:val="0"/>
                <w:sz w:val="24"/>
                <w:szCs w:val="24"/>
              </w:rPr>
              <w:t>m，小于0.3倍罩口长边</w:t>
            </w:r>
            <w:r>
              <w:rPr>
                <w:rFonts w:hint="eastAsia"/>
                <w:b w:val="0"/>
                <w:bCs w:val="0"/>
                <w:sz w:val="24"/>
                <w:szCs w:val="24"/>
                <w:lang w:eastAsia="zh-CN"/>
              </w:rPr>
              <w:t>，</w:t>
            </w:r>
            <w:r>
              <w:rPr>
                <w:rFonts w:hint="eastAsia"/>
                <w:b w:val="0"/>
                <w:bCs w:val="0"/>
                <w:sz w:val="24"/>
                <w:szCs w:val="24"/>
              </w:rPr>
              <w:t>采用低悬外部集气罩公式</w:t>
            </w:r>
            <w:r>
              <w:rPr>
                <w:rFonts w:hint="eastAsia"/>
                <w:b w:val="0"/>
                <w:bCs w:val="0"/>
                <w:sz w:val="24"/>
                <w:szCs w:val="24"/>
                <w:lang w:val="en-US" w:eastAsia="zh-CN"/>
              </w:rPr>
              <w:t>计算：</w:t>
            </w:r>
            <w:r>
              <w:rPr>
                <w:rFonts w:hint="eastAsia"/>
                <w:b w:val="0"/>
                <w:bCs w:val="0"/>
                <w:sz w:val="24"/>
                <w:szCs w:val="24"/>
              </w:rPr>
              <w:t>Q</w:t>
            </w:r>
            <w:r>
              <w:rPr>
                <w:rFonts w:hint="eastAsia"/>
                <w:b w:val="0"/>
                <w:bCs w:val="0"/>
                <w:sz w:val="24"/>
                <w:szCs w:val="24"/>
                <w:lang w:val="en-US" w:eastAsia="zh-CN"/>
              </w:rPr>
              <w:t>1</w:t>
            </w:r>
            <w:r>
              <w:rPr>
                <w:rFonts w:hint="eastAsia"/>
                <w:b w:val="0"/>
                <w:bCs w:val="0"/>
                <w:sz w:val="24"/>
                <w:szCs w:val="24"/>
              </w:rPr>
              <w:t>=1.4</w:t>
            </w:r>
            <w:r>
              <w:rPr>
                <w:rFonts w:hint="eastAsia"/>
                <w:b w:val="0"/>
                <w:bCs w:val="0"/>
                <w:sz w:val="24"/>
                <w:szCs w:val="24"/>
                <w:lang w:val="en-US" w:eastAsia="zh-CN"/>
              </w:rPr>
              <w:t>·</w:t>
            </w:r>
            <w:r>
              <w:rPr>
                <w:rFonts w:hint="eastAsia"/>
                <w:b w:val="0"/>
                <w:bCs w:val="0"/>
                <w:sz w:val="24"/>
                <w:szCs w:val="24"/>
              </w:rPr>
              <w:t>P</w:t>
            </w:r>
            <w:r>
              <w:rPr>
                <w:rFonts w:hint="eastAsia"/>
                <w:b w:val="0"/>
                <w:bCs w:val="0"/>
                <w:sz w:val="24"/>
                <w:szCs w:val="24"/>
                <w:lang w:val="en-US" w:eastAsia="zh-CN"/>
              </w:rPr>
              <w:t>·</w:t>
            </w:r>
            <w:r>
              <w:rPr>
                <w:rFonts w:hint="eastAsia"/>
                <w:b w:val="0"/>
                <w:bCs w:val="0"/>
                <w:sz w:val="24"/>
                <w:szCs w:val="24"/>
              </w:rPr>
              <w:t>H</w:t>
            </w:r>
            <w:r>
              <w:rPr>
                <w:rFonts w:hint="eastAsia"/>
                <w:b w:val="0"/>
                <w:bCs w:val="0"/>
                <w:sz w:val="24"/>
                <w:szCs w:val="24"/>
                <w:lang w:val="en-US" w:eastAsia="zh-CN"/>
              </w:rPr>
              <w:t>·v</w:t>
            </w:r>
            <w:r>
              <w:rPr>
                <w:rFonts w:hint="eastAsia"/>
                <w:b w:val="0"/>
                <w:bCs w:val="0"/>
                <w:sz w:val="24"/>
                <w:szCs w:val="24"/>
                <w:vertAlign w:val="subscript"/>
                <w:lang w:val="en-US" w:eastAsia="zh-CN"/>
              </w:rPr>
              <w:t>x</w:t>
            </w:r>
          </w:p>
          <w:p w14:paraId="298280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b w:val="0"/>
                <w:bCs w:val="0"/>
                <w:sz w:val="24"/>
                <w:szCs w:val="24"/>
                <w:lang w:val="en-US" w:eastAsia="zh-CN"/>
              </w:rPr>
            </w:pPr>
            <w:r>
              <w:rPr>
                <w:rFonts w:hint="eastAsia"/>
                <w:b w:val="0"/>
                <w:bCs w:val="0"/>
                <w:sz w:val="24"/>
                <w:szCs w:val="24"/>
                <w:lang w:val="en-US" w:eastAsia="zh-CN"/>
              </w:rPr>
              <w:t>式中：</w:t>
            </w:r>
            <w:r>
              <w:rPr>
                <w:rFonts w:hint="eastAsia"/>
                <w:b w:val="0"/>
                <w:bCs w:val="0"/>
                <w:sz w:val="24"/>
                <w:szCs w:val="24"/>
              </w:rPr>
              <w:t>Q</w:t>
            </w:r>
            <w:r>
              <w:rPr>
                <w:rFonts w:hint="eastAsia"/>
                <w:b w:val="0"/>
                <w:bCs w:val="0"/>
                <w:sz w:val="24"/>
                <w:szCs w:val="24"/>
                <w:lang w:val="en-US" w:eastAsia="zh-CN"/>
              </w:rPr>
              <w:t>1</w:t>
            </w:r>
            <w:r>
              <w:rPr>
                <w:rFonts w:hint="eastAsia" w:cs="Times New Roman"/>
                <w:b w:val="0"/>
                <w:bCs w:val="0"/>
                <w:color w:val="000000"/>
                <w:kern w:val="0"/>
                <w:sz w:val="24"/>
                <w:szCs w:val="24"/>
                <w:lang w:val="en-US" w:eastAsia="zh-CN" w:bidi="ar"/>
              </w:rPr>
              <w:t>一计算风量，m</w:t>
            </w:r>
            <w:r>
              <w:rPr>
                <w:rFonts w:hint="eastAsia" w:cs="Times New Roman"/>
                <w:b w:val="0"/>
                <w:bCs w:val="0"/>
                <w:color w:val="000000"/>
                <w:kern w:val="0"/>
                <w:sz w:val="24"/>
                <w:szCs w:val="24"/>
                <w:vertAlign w:val="superscript"/>
                <w:lang w:val="en-US" w:eastAsia="zh-CN" w:bidi="ar"/>
              </w:rPr>
              <w:t>3</w:t>
            </w:r>
            <w:r>
              <w:rPr>
                <w:rFonts w:hint="eastAsia" w:cs="Times New Roman"/>
                <w:b w:val="0"/>
                <w:bCs w:val="0"/>
                <w:color w:val="000000"/>
                <w:kern w:val="0"/>
                <w:sz w:val="24"/>
                <w:szCs w:val="24"/>
                <w:lang w:val="en-US" w:eastAsia="zh-CN" w:bidi="ar"/>
              </w:rPr>
              <w:t>/s</w:t>
            </w:r>
          </w:p>
          <w:p w14:paraId="177CB0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eastAsia="宋体"/>
                <w:b w:val="0"/>
                <w:bCs w:val="0"/>
                <w:color w:val="auto"/>
                <w:sz w:val="24"/>
                <w:szCs w:val="24"/>
                <w:lang w:val="en-US" w:eastAsia="zh-CN"/>
              </w:rPr>
            </w:pPr>
            <w:r>
              <w:rPr>
                <w:rFonts w:hint="eastAsia"/>
                <w:b w:val="0"/>
                <w:bCs w:val="0"/>
                <w:sz w:val="24"/>
                <w:szCs w:val="24"/>
              </w:rPr>
              <w:t>P</w:t>
            </w:r>
            <w:r>
              <w:rPr>
                <w:rFonts w:hint="eastAsia" w:cs="Times New Roman"/>
                <w:b w:val="0"/>
                <w:bCs w:val="0"/>
                <w:color w:val="000000"/>
                <w:kern w:val="0"/>
                <w:sz w:val="24"/>
                <w:szCs w:val="24"/>
                <w:lang w:val="en-US" w:eastAsia="zh-CN" w:bidi="ar"/>
              </w:rPr>
              <w:t>一集气罩罩</w:t>
            </w:r>
            <w:r>
              <w:rPr>
                <w:rFonts w:hint="eastAsia" w:cs="Times New Roman"/>
                <w:b w:val="0"/>
                <w:bCs w:val="0"/>
                <w:color w:val="auto"/>
                <w:kern w:val="0"/>
                <w:sz w:val="24"/>
                <w:szCs w:val="24"/>
                <w:lang w:val="en-US" w:eastAsia="zh-CN" w:bidi="ar"/>
              </w:rPr>
              <w:t>口周长，（0.5+1.1）×2=3.2m</w:t>
            </w:r>
          </w:p>
          <w:p w14:paraId="6A7951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b w:val="0"/>
                <w:bCs w:val="0"/>
                <w:color w:val="auto"/>
                <w:sz w:val="24"/>
                <w:szCs w:val="24"/>
              </w:rPr>
            </w:pPr>
            <w:r>
              <w:rPr>
                <w:rFonts w:hint="eastAsia"/>
                <w:b w:val="0"/>
                <w:bCs w:val="0"/>
                <w:color w:val="auto"/>
                <w:sz w:val="24"/>
                <w:szCs w:val="24"/>
              </w:rPr>
              <w:t>H</w:t>
            </w:r>
            <w:r>
              <w:rPr>
                <w:rFonts w:hint="eastAsia" w:cs="Times New Roman"/>
                <w:b w:val="0"/>
                <w:bCs w:val="0"/>
                <w:color w:val="auto"/>
                <w:kern w:val="0"/>
                <w:sz w:val="24"/>
                <w:szCs w:val="24"/>
                <w:lang w:val="en-US" w:eastAsia="zh-CN" w:bidi="ar"/>
              </w:rPr>
              <w:t>一集气罩至污染源的距离(取0.3m)</w:t>
            </w:r>
          </w:p>
          <w:p w14:paraId="4BCDA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b w:val="0"/>
                <w:bCs w:val="0"/>
                <w:color w:val="auto"/>
                <w:sz w:val="24"/>
                <w:szCs w:val="24"/>
              </w:rPr>
            </w:pPr>
            <w:r>
              <w:rPr>
                <w:rFonts w:hint="eastAsia"/>
                <w:b w:val="0"/>
                <w:bCs w:val="0"/>
                <w:color w:val="auto"/>
                <w:sz w:val="24"/>
                <w:szCs w:val="24"/>
                <w:lang w:val="en-US" w:eastAsia="zh-CN"/>
              </w:rPr>
              <w:t>v</w:t>
            </w:r>
            <w:r>
              <w:rPr>
                <w:rFonts w:hint="eastAsia"/>
                <w:b w:val="0"/>
                <w:bCs w:val="0"/>
                <w:color w:val="auto"/>
                <w:sz w:val="24"/>
                <w:szCs w:val="24"/>
                <w:vertAlign w:val="subscript"/>
                <w:lang w:val="en-US" w:eastAsia="zh-CN"/>
              </w:rPr>
              <w:t>x</w:t>
            </w:r>
            <w:r>
              <w:rPr>
                <w:rFonts w:hint="eastAsia" w:cs="Times New Roman"/>
                <w:b w:val="0"/>
                <w:bCs w:val="0"/>
                <w:color w:val="auto"/>
                <w:kern w:val="0"/>
                <w:sz w:val="24"/>
                <w:szCs w:val="24"/>
                <w:lang w:val="en-US" w:eastAsia="zh-CN" w:bidi="ar"/>
              </w:rPr>
              <w:t>一控制风速(</w:t>
            </w:r>
            <w:r>
              <w:rPr>
                <w:rFonts w:hint="eastAsia"/>
                <w:b w:val="0"/>
                <w:bCs w:val="0"/>
                <w:color w:val="auto"/>
                <w:sz w:val="24"/>
                <w:szCs w:val="24"/>
              </w:rPr>
              <w:t>注塑熔融废气属于中等逸散工况，控制风速取0.6m/s</w:t>
            </w:r>
            <w:r>
              <w:rPr>
                <w:rFonts w:hint="eastAsia" w:cs="Times New Roman"/>
                <w:b w:val="0"/>
                <w:bCs w:val="0"/>
                <w:color w:val="auto"/>
                <w:kern w:val="0"/>
                <w:sz w:val="24"/>
                <w:szCs w:val="24"/>
                <w:lang w:val="en-US" w:eastAsia="zh-CN" w:bidi="ar"/>
              </w:rPr>
              <w:t>)</w:t>
            </w:r>
          </w:p>
          <w:p w14:paraId="56013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b w:val="0"/>
                <w:bCs w:val="0"/>
                <w:color w:val="auto"/>
                <w:sz w:val="24"/>
                <w:szCs w:val="24"/>
                <w:lang w:val="en-US"/>
              </w:rPr>
            </w:pPr>
            <w:r>
              <w:rPr>
                <w:rFonts w:hint="eastAsia" w:cs="Times New Roman"/>
                <w:b w:val="0"/>
                <w:bCs w:val="0"/>
                <w:color w:val="auto"/>
                <w:kern w:val="0"/>
                <w:sz w:val="24"/>
                <w:szCs w:val="24"/>
                <w:lang w:val="en-US" w:eastAsia="zh-CN" w:bidi="ar"/>
              </w:rPr>
              <w:t>由上计算可知，单台设备上方负压集气罩的风量约为0.8064m</w:t>
            </w:r>
            <w:r>
              <w:rPr>
                <w:rFonts w:hint="eastAsia" w:cs="Times New Roman"/>
                <w:b w:val="0"/>
                <w:bCs w:val="0"/>
                <w:color w:val="auto"/>
                <w:kern w:val="0"/>
                <w:sz w:val="24"/>
                <w:szCs w:val="24"/>
                <w:vertAlign w:val="superscript"/>
                <w:lang w:val="en-US" w:eastAsia="zh-CN" w:bidi="ar"/>
              </w:rPr>
              <w:t>3</w:t>
            </w:r>
            <w:r>
              <w:rPr>
                <w:rFonts w:hint="eastAsia" w:cs="Times New Roman"/>
                <w:b w:val="0"/>
                <w:bCs w:val="0"/>
                <w:color w:val="auto"/>
                <w:kern w:val="0"/>
                <w:sz w:val="24"/>
                <w:szCs w:val="24"/>
                <w:lang w:val="en-US" w:eastAsia="zh-CN" w:bidi="ar"/>
              </w:rPr>
              <w:t>/s=0.8064m</w:t>
            </w:r>
            <w:r>
              <w:rPr>
                <w:rFonts w:hint="eastAsia" w:cs="Times New Roman"/>
                <w:b w:val="0"/>
                <w:bCs w:val="0"/>
                <w:color w:val="auto"/>
                <w:kern w:val="0"/>
                <w:sz w:val="24"/>
                <w:szCs w:val="24"/>
                <w:vertAlign w:val="superscript"/>
                <w:lang w:val="en-US" w:eastAsia="zh-CN" w:bidi="ar"/>
              </w:rPr>
              <w:t>3</w:t>
            </w:r>
            <w:r>
              <w:rPr>
                <w:rFonts w:hint="eastAsia" w:cs="Times New Roman"/>
                <w:b w:val="0"/>
                <w:bCs w:val="0"/>
                <w:color w:val="auto"/>
                <w:kern w:val="0"/>
                <w:sz w:val="24"/>
                <w:szCs w:val="24"/>
                <w:lang w:val="en-US" w:eastAsia="zh-CN" w:bidi="ar"/>
              </w:rPr>
              <w:t>/s×3600=2903.04m</w:t>
            </w:r>
            <w:r>
              <w:rPr>
                <w:rFonts w:hint="eastAsia" w:cs="Times New Roman"/>
                <w:b w:val="0"/>
                <w:bCs w:val="0"/>
                <w:color w:val="auto"/>
                <w:kern w:val="0"/>
                <w:sz w:val="24"/>
                <w:szCs w:val="24"/>
                <w:vertAlign w:val="superscript"/>
                <w:lang w:val="en-US" w:eastAsia="zh-CN" w:bidi="ar"/>
              </w:rPr>
              <w:t>3</w:t>
            </w:r>
            <w:r>
              <w:rPr>
                <w:rFonts w:hint="eastAsia" w:cs="Times New Roman"/>
                <w:b w:val="0"/>
                <w:bCs w:val="0"/>
                <w:color w:val="auto"/>
                <w:kern w:val="0"/>
                <w:sz w:val="24"/>
                <w:szCs w:val="24"/>
                <w:lang w:val="en-US" w:eastAsia="zh-CN" w:bidi="ar"/>
              </w:rPr>
              <w:t>/h</w:t>
            </w:r>
          </w:p>
          <w:p w14:paraId="7ECEA6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b w:val="0"/>
                <w:bCs w:val="0"/>
                <w:color w:val="auto"/>
                <w:kern w:val="0"/>
                <w:sz w:val="24"/>
                <w:szCs w:val="24"/>
                <w:lang w:val="en-US" w:eastAsia="zh-CN" w:bidi="ar"/>
              </w:rPr>
            </w:pPr>
            <w:r>
              <w:rPr>
                <w:rFonts w:hint="eastAsia"/>
                <w:b w:val="0"/>
                <w:bCs w:val="0"/>
                <w:color w:val="auto"/>
                <w:sz w:val="24"/>
                <w:szCs w:val="24"/>
              </w:rPr>
              <w:t>经核算单台注塑机</w:t>
            </w:r>
            <w:r>
              <w:rPr>
                <w:rFonts w:hint="eastAsia"/>
                <w:b w:val="0"/>
                <w:bCs w:val="0"/>
                <w:color w:val="auto"/>
                <w:sz w:val="24"/>
                <w:szCs w:val="24"/>
                <w:lang w:val="en-US" w:eastAsia="zh-CN"/>
              </w:rPr>
              <w:t>设计</w:t>
            </w:r>
            <w:r>
              <w:rPr>
                <w:rFonts w:hint="eastAsia"/>
                <w:b w:val="0"/>
                <w:bCs w:val="0"/>
                <w:color w:val="auto"/>
                <w:sz w:val="24"/>
                <w:szCs w:val="24"/>
              </w:rPr>
              <w:t>集气风量</w:t>
            </w:r>
            <w:r>
              <w:rPr>
                <w:rFonts w:hint="eastAsia"/>
                <w:b w:val="0"/>
                <w:bCs w:val="0"/>
                <w:color w:val="auto"/>
                <w:sz w:val="24"/>
                <w:szCs w:val="24"/>
                <w:lang w:val="en-US" w:eastAsia="zh-CN"/>
              </w:rPr>
              <w:t>值应不低于</w:t>
            </w:r>
            <w:r>
              <w:rPr>
                <w:rFonts w:hint="eastAsia" w:cs="Times New Roman"/>
                <w:b w:val="0"/>
                <w:bCs w:val="0"/>
                <w:color w:val="auto"/>
                <w:kern w:val="0"/>
                <w:sz w:val="24"/>
                <w:szCs w:val="24"/>
                <w:lang w:val="en-US" w:eastAsia="zh-CN" w:bidi="ar"/>
              </w:rPr>
              <w:t>2903.04</w:t>
            </w:r>
            <w:r>
              <w:rPr>
                <w:rFonts w:hint="eastAsia"/>
                <w:b w:val="0"/>
                <w:bCs w:val="0"/>
                <w:color w:val="auto"/>
                <w:sz w:val="24"/>
                <w:szCs w:val="24"/>
              </w:rPr>
              <w:t>m</w:t>
            </w:r>
            <w:r>
              <w:rPr>
                <w:rFonts w:hint="eastAsia"/>
                <w:b w:val="0"/>
                <w:bCs w:val="0"/>
                <w:color w:val="auto"/>
                <w:sz w:val="24"/>
                <w:szCs w:val="24"/>
                <w:vertAlign w:val="superscript"/>
              </w:rPr>
              <w:t>3</w:t>
            </w:r>
            <w:r>
              <w:rPr>
                <w:rFonts w:hint="eastAsia"/>
                <w:b w:val="0"/>
                <w:bCs w:val="0"/>
                <w:color w:val="auto"/>
                <w:sz w:val="24"/>
                <w:szCs w:val="24"/>
              </w:rPr>
              <w:t>/h</w:t>
            </w:r>
            <w:r>
              <w:rPr>
                <w:rFonts w:hint="eastAsia"/>
                <w:b w:val="0"/>
                <w:bCs w:val="0"/>
                <w:color w:val="auto"/>
                <w:sz w:val="24"/>
                <w:szCs w:val="24"/>
                <w:lang w:eastAsia="zh-CN"/>
              </w:rPr>
              <w:t>，</w:t>
            </w:r>
            <w:r>
              <w:rPr>
                <w:rFonts w:hint="eastAsia"/>
                <w:b w:val="0"/>
                <w:bCs w:val="0"/>
                <w:color w:val="auto"/>
                <w:sz w:val="24"/>
                <w:szCs w:val="24"/>
                <w:lang w:val="en-US" w:eastAsia="zh-CN"/>
              </w:rPr>
              <w:t>根据工程选型向上取整原则，本项目单台设备风量</w:t>
            </w:r>
            <w:r>
              <w:rPr>
                <w:rFonts w:hint="default" w:ascii="Times New Roman" w:hAnsi="Times New Roman" w:eastAsia="宋体" w:cs="Times New Roman"/>
                <w:b w:val="0"/>
                <w:bCs w:val="0"/>
                <w:color w:val="auto"/>
                <w:kern w:val="0"/>
                <w:sz w:val="24"/>
                <w:szCs w:val="24"/>
                <w:lang w:val="en-US" w:eastAsia="zh-CN" w:bidi="ar"/>
              </w:rPr>
              <w:t>按照</w:t>
            </w:r>
            <w:r>
              <w:rPr>
                <w:rFonts w:hint="eastAsia" w:cs="Times New Roman"/>
                <w:b w:val="0"/>
                <w:bCs w:val="0"/>
                <w:color w:val="auto"/>
                <w:kern w:val="0"/>
                <w:sz w:val="24"/>
                <w:szCs w:val="24"/>
                <w:lang w:val="en-US" w:eastAsia="zh-CN" w:bidi="ar"/>
              </w:rPr>
              <w:t>3</w:t>
            </w:r>
            <w:r>
              <w:rPr>
                <w:rFonts w:hint="eastAsia" w:ascii="Times New Roman" w:hAnsi="Times New Roman" w:eastAsia="宋体" w:cs="Times New Roman"/>
                <w:b w:val="0"/>
                <w:bCs w:val="0"/>
                <w:color w:val="auto"/>
                <w:kern w:val="0"/>
                <w:sz w:val="24"/>
                <w:szCs w:val="24"/>
                <w:lang w:val="en-US" w:eastAsia="zh-CN" w:bidi="ar"/>
              </w:rPr>
              <w:t>000</w:t>
            </w:r>
            <w:r>
              <w:rPr>
                <w:rFonts w:hint="default" w:ascii="Times New Roman" w:hAnsi="Times New Roman" w:eastAsia="宋体" w:cs="Times New Roman"/>
                <w:b w:val="0"/>
                <w:bCs w:val="0"/>
                <w:color w:val="auto"/>
                <w:kern w:val="0"/>
                <w:sz w:val="24"/>
                <w:szCs w:val="24"/>
                <w:lang w:val="en-US" w:eastAsia="zh-CN" w:bidi="ar"/>
              </w:rPr>
              <w:t>m</w:t>
            </w:r>
            <w:r>
              <w:rPr>
                <w:rFonts w:hint="default" w:ascii="Times New Roman" w:hAnsi="Times New Roman" w:eastAsia="宋体" w:cs="Times New Roman"/>
                <w:b w:val="0"/>
                <w:bCs w:val="0"/>
                <w:color w:val="auto"/>
                <w:kern w:val="0"/>
                <w:sz w:val="24"/>
                <w:szCs w:val="24"/>
                <w:vertAlign w:val="superscript"/>
                <w:lang w:val="en-US" w:eastAsia="zh-CN" w:bidi="ar"/>
              </w:rPr>
              <w:t>3</w:t>
            </w:r>
            <w:r>
              <w:rPr>
                <w:rFonts w:hint="default" w:ascii="Times New Roman" w:hAnsi="Times New Roman" w:eastAsia="宋体" w:cs="Times New Roman"/>
                <w:b w:val="0"/>
                <w:bCs w:val="0"/>
                <w:color w:val="auto"/>
                <w:kern w:val="0"/>
                <w:sz w:val="24"/>
                <w:szCs w:val="24"/>
                <w:lang w:val="en-US" w:eastAsia="zh-CN" w:bidi="ar"/>
              </w:rPr>
              <w:t>/h进行设置，</w:t>
            </w:r>
            <w:r>
              <w:rPr>
                <w:rFonts w:hint="eastAsia" w:cs="Times New Roman"/>
                <w:b w:val="0"/>
                <w:bCs w:val="0"/>
                <w:color w:val="auto"/>
                <w:kern w:val="0"/>
                <w:sz w:val="24"/>
                <w:szCs w:val="24"/>
                <w:lang w:val="en-US" w:eastAsia="zh-CN" w:bidi="ar"/>
              </w:rPr>
              <w:t>本项目共8台注塑机，则总风量为24000m</w:t>
            </w:r>
            <w:r>
              <w:rPr>
                <w:rFonts w:hint="eastAsia" w:cs="Times New Roman"/>
                <w:b w:val="0"/>
                <w:bCs w:val="0"/>
                <w:color w:val="auto"/>
                <w:kern w:val="0"/>
                <w:sz w:val="24"/>
                <w:szCs w:val="24"/>
                <w:vertAlign w:val="superscript"/>
                <w:lang w:val="en-US" w:eastAsia="zh-CN" w:bidi="ar"/>
              </w:rPr>
              <w:t>3</w:t>
            </w:r>
            <w:r>
              <w:rPr>
                <w:rFonts w:hint="eastAsia" w:cs="Times New Roman"/>
                <w:b w:val="0"/>
                <w:bCs w:val="0"/>
                <w:color w:val="auto"/>
                <w:kern w:val="0"/>
                <w:sz w:val="24"/>
                <w:szCs w:val="24"/>
                <w:lang w:val="en-US" w:eastAsia="zh-CN" w:bidi="ar"/>
              </w:rPr>
              <w:t>/h</w:t>
            </w:r>
            <w:r>
              <w:rPr>
                <w:rFonts w:hint="default" w:ascii="Times New Roman" w:hAnsi="Times New Roman" w:eastAsia="宋体" w:cs="Times New Roman"/>
                <w:b w:val="0"/>
                <w:bCs w:val="0"/>
                <w:color w:val="auto"/>
                <w:kern w:val="0"/>
                <w:sz w:val="24"/>
                <w:szCs w:val="24"/>
                <w:lang w:val="en-US" w:eastAsia="zh-CN" w:bidi="ar"/>
              </w:rPr>
              <w:t>。</w:t>
            </w:r>
          </w:p>
          <w:p w14:paraId="5CFD0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kern w:val="0"/>
                <w:sz w:val="24"/>
                <w:szCs w:val="24"/>
                <w:lang w:val="en-US" w:eastAsia="zh-CN" w:bidi="ar"/>
              </w:rPr>
            </w:pPr>
            <w:r>
              <w:rPr>
                <w:rFonts w:hint="eastAsia" w:cs="Times New Roman"/>
                <w:b/>
                <w:bCs/>
                <w:color w:val="auto"/>
                <w:kern w:val="0"/>
                <w:sz w:val="24"/>
                <w:szCs w:val="24"/>
                <w:lang w:val="en-US" w:eastAsia="zh-CN" w:bidi="ar"/>
              </w:rPr>
              <w:t>④集气罩收集效率</w:t>
            </w:r>
          </w:p>
          <w:p w14:paraId="0DA38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bCs w:val="0"/>
                <w:color w:val="000000"/>
                <w:kern w:val="0"/>
                <w:sz w:val="24"/>
                <w:szCs w:val="24"/>
                <w:lang w:val="en-US" w:eastAsia="zh-CN" w:bidi="ar"/>
              </w:rPr>
              <w:t>建设单位拟在单台注塑机上方设置1个0.</w:t>
            </w:r>
            <w:r>
              <w:rPr>
                <w:rFonts w:hint="eastAsia" w:cs="Times New Roman"/>
                <w:b w:val="0"/>
                <w:bCs w:val="0"/>
                <w:color w:val="000000"/>
                <w:kern w:val="0"/>
                <w:sz w:val="24"/>
                <w:szCs w:val="24"/>
                <w:lang w:val="en-US" w:eastAsia="zh-CN" w:bidi="ar"/>
              </w:rPr>
              <w:t>5</w:t>
            </w:r>
            <w:r>
              <w:rPr>
                <w:rFonts w:hint="default" w:ascii="Times New Roman" w:hAnsi="Times New Roman" w:eastAsia="宋体" w:cs="Times New Roman"/>
                <w:b w:val="0"/>
                <w:bCs w:val="0"/>
                <w:color w:val="000000"/>
                <w:kern w:val="0"/>
                <w:sz w:val="24"/>
                <w:szCs w:val="24"/>
                <w:lang w:val="en-US" w:eastAsia="zh-CN" w:bidi="ar"/>
              </w:rPr>
              <w:t>m*</w:t>
            </w:r>
            <w:r>
              <w:rPr>
                <w:rFonts w:hint="eastAsia" w:cs="Times New Roman"/>
                <w:b w:val="0"/>
                <w:bCs w:val="0"/>
                <w:color w:val="000000"/>
                <w:kern w:val="0"/>
                <w:sz w:val="24"/>
                <w:szCs w:val="24"/>
                <w:lang w:val="en-US" w:eastAsia="zh-CN" w:bidi="ar"/>
              </w:rPr>
              <w:t>1.1</w:t>
            </w:r>
            <w:r>
              <w:rPr>
                <w:rFonts w:hint="default" w:ascii="Times New Roman" w:hAnsi="Times New Roman" w:eastAsia="宋体" w:cs="Times New Roman"/>
                <w:b w:val="0"/>
                <w:bCs w:val="0"/>
                <w:color w:val="000000"/>
                <w:kern w:val="0"/>
                <w:sz w:val="24"/>
                <w:szCs w:val="24"/>
                <w:lang w:val="en-US" w:eastAsia="zh-CN" w:bidi="ar"/>
              </w:rPr>
              <w:t>m的</w:t>
            </w:r>
            <w:r>
              <w:rPr>
                <w:rFonts w:hint="eastAsia" w:cs="Times New Roman"/>
                <w:b w:val="0"/>
                <w:bCs w:val="0"/>
                <w:color w:val="000000"/>
                <w:kern w:val="0"/>
                <w:sz w:val="24"/>
                <w:szCs w:val="24"/>
                <w:lang w:val="en-US" w:eastAsia="zh-CN" w:bidi="ar"/>
              </w:rPr>
              <w:t>负压半密闭</w:t>
            </w:r>
            <w:r>
              <w:rPr>
                <w:rFonts w:hint="default" w:ascii="Times New Roman" w:hAnsi="Times New Roman" w:eastAsia="宋体" w:cs="Times New Roman"/>
                <w:b w:val="0"/>
                <w:bCs w:val="0"/>
                <w:color w:val="000000"/>
                <w:kern w:val="0"/>
                <w:sz w:val="24"/>
                <w:szCs w:val="24"/>
                <w:lang w:val="en-US" w:eastAsia="zh-CN" w:bidi="ar"/>
              </w:rPr>
              <w:t>集气罩进行废气收集</w:t>
            </w:r>
            <w:r>
              <w:rPr>
                <w:rFonts w:hint="eastAsia" w:cs="Times New Roman"/>
                <w:b w:val="0"/>
                <w:bCs w:val="0"/>
                <w:color w:val="000000"/>
                <w:kern w:val="0"/>
                <w:sz w:val="24"/>
                <w:szCs w:val="24"/>
                <w:lang w:val="en-US" w:eastAsia="zh-CN" w:bidi="ar"/>
              </w:rPr>
              <w:t>，</w:t>
            </w:r>
            <w:r>
              <w:rPr>
                <w:rFonts w:hint="default" w:ascii="Times New Roman" w:hAnsi="Times New Roman" w:eastAsia="宋体" w:cs="Times New Roman"/>
                <w:b w:val="0"/>
                <w:bCs w:val="0"/>
                <w:color w:val="000000"/>
                <w:kern w:val="0"/>
                <w:sz w:val="24"/>
                <w:szCs w:val="24"/>
                <w:lang w:val="en-US" w:eastAsia="zh-CN" w:bidi="ar"/>
              </w:rPr>
              <w:t>集气罩罩体覆盖</w:t>
            </w:r>
            <w:r>
              <w:rPr>
                <w:rFonts w:hint="eastAsia" w:ascii="Times New Roman" w:hAnsi="Times New Roman" w:eastAsia="宋体" w:cs="Times New Roman"/>
                <w:b w:val="0"/>
                <w:bCs w:val="0"/>
                <w:color w:val="000000"/>
                <w:kern w:val="0"/>
                <w:sz w:val="24"/>
                <w:szCs w:val="24"/>
                <w:lang w:val="en-US" w:eastAsia="zh-CN" w:bidi="ar"/>
              </w:rPr>
              <w:t>热熔注塑工序</w:t>
            </w:r>
            <w:r>
              <w:rPr>
                <w:rFonts w:hint="default" w:ascii="Times New Roman" w:hAnsi="Times New Roman" w:eastAsia="宋体" w:cs="Times New Roman"/>
                <w:b w:val="0"/>
                <w:bCs w:val="0"/>
                <w:color w:val="000000"/>
                <w:kern w:val="0"/>
                <w:sz w:val="24"/>
                <w:szCs w:val="24"/>
                <w:lang w:val="en-US" w:eastAsia="zh-CN" w:bidi="ar"/>
              </w:rPr>
              <w:t>逸散面</w:t>
            </w:r>
            <w:r>
              <w:rPr>
                <w:rFonts w:hint="eastAsia" w:cs="Times New Roman"/>
                <w:b w:val="0"/>
                <w:bCs w:val="0"/>
                <w:color w:val="000000"/>
                <w:kern w:val="0"/>
                <w:sz w:val="24"/>
                <w:szCs w:val="24"/>
                <w:lang w:val="en-US" w:eastAsia="zh-CN" w:bidi="ar"/>
              </w:rPr>
              <w:t>进行收集</w:t>
            </w:r>
            <w:r>
              <w:rPr>
                <w:rFonts w:hint="default" w:ascii="Times New Roman" w:hAnsi="Times New Roman" w:eastAsia="宋体" w:cs="Times New Roman"/>
                <w:b w:val="0"/>
                <w:bCs w:val="0"/>
                <w:color w:val="000000"/>
                <w:kern w:val="0"/>
                <w:sz w:val="24"/>
                <w:szCs w:val="24"/>
                <w:lang w:val="en-US" w:eastAsia="zh-CN" w:bidi="ar"/>
              </w:rPr>
              <w:t>，</w:t>
            </w:r>
            <w:r>
              <w:rPr>
                <w:rFonts w:hint="eastAsia" w:cs="Times New Roman"/>
                <w:b w:val="0"/>
                <w:bCs w:val="0"/>
                <w:color w:val="000000"/>
                <w:kern w:val="0"/>
                <w:sz w:val="24"/>
                <w:szCs w:val="24"/>
                <w:lang w:val="en-US" w:eastAsia="zh-CN" w:bidi="ar"/>
              </w:rPr>
              <w:t>收集后的废气由项目区内集气管集中</w:t>
            </w:r>
            <w:r>
              <w:rPr>
                <w:rFonts w:hint="default" w:ascii="Times New Roman" w:hAnsi="Times New Roman" w:eastAsia="宋体" w:cs="Times New Roman"/>
                <w:b w:val="0"/>
                <w:bCs w:val="0"/>
                <w:color w:val="000000"/>
                <w:kern w:val="0"/>
                <w:sz w:val="24"/>
                <w:szCs w:val="24"/>
                <w:lang w:val="en-US" w:eastAsia="zh-CN" w:bidi="ar"/>
              </w:rPr>
              <w:t>引至</w:t>
            </w:r>
            <w:r>
              <w:rPr>
                <w:rFonts w:hint="eastAsia" w:ascii="Times New Roman" w:hAnsi="Times New Roman" w:eastAsia="宋体" w:cs="Times New Roman"/>
                <w:b w:val="0"/>
                <w:bCs w:val="0"/>
                <w:color w:val="000000"/>
                <w:kern w:val="0"/>
                <w:sz w:val="24"/>
                <w:szCs w:val="24"/>
                <w:lang w:val="en-US" w:eastAsia="zh-CN" w:bidi="ar"/>
              </w:rPr>
              <w:t>三级活性炭吸附装置进行处理，然后由</w:t>
            </w:r>
            <w:r>
              <w:rPr>
                <w:rFonts w:hint="default" w:ascii="Times New Roman" w:hAnsi="Times New Roman" w:eastAsia="宋体" w:cs="Times New Roman"/>
                <w:b w:val="0"/>
                <w:bCs w:val="0"/>
                <w:color w:val="000000"/>
                <w:kern w:val="0"/>
                <w:sz w:val="24"/>
                <w:szCs w:val="24"/>
                <w:lang w:val="en-US" w:eastAsia="zh-CN" w:bidi="ar"/>
              </w:rPr>
              <w:t>排气筒DA001排放。集气收集效率参考《浙江省重点行业 VOCs 污染排放源</w:t>
            </w:r>
            <w:r>
              <w:rPr>
                <w:rFonts w:hint="default" w:ascii="Times New Roman" w:hAnsi="Times New Roman" w:eastAsia="宋体" w:cs="Times New Roman"/>
                <w:color w:val="000000"/>
                <w:kern w:val="0"/>
                <w:sz w:val="24"/>
                <w:szCs w:val="24"/>
                <w:lang w:val="en-US" w:eastAsia="zh-CN" w:bidi="ar"/>
              </w:rPr>
              <w:t xml:space="preserve">排放量计算方法》，认定收集效率见下表。 </w:t>
            </w:r>
          </w:p>
          <w:p w14:paraId="6D00EE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kern w:val="0"/>
                <w:sz w:val="21"/>
                <w:szCs w:val="21"/>
                <w:lang w:val="en-US" w:eastAsia="zh-CN" w:bidi="ar"/>
              </w:rPr>
              <w:t>表4-2  《浙江省重点行业 VOCs 污染排放源排放量计算方法》捕集效率认定</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2213"/>
              <w:gridCol w:w="4669"/>
            </w:tblGrid>
            <w:tr w14:paraId="0F92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noWrap w:val="0"/>
                  <w:vAlign w:val="center"/>
                </w:tcPr>
                <w:p w14:paraId="6370D7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lang w:val="en-US" w:eastAsia="zh-CN" w:bidi="ar"/>
                    </w:rPr>
                    <w:t>收集方式</w:t>
                  </w:r>
                </w:p>
              </w:tc>
              <w:tc>
                <w:tcPr>
                  <w:tcW w:w="2213" w:type="dxa"/>
                  <w:noWrap w:val="0"/>
                  <w:vAlign w:val="center"/>
                </w:tcPr>
                <w:p w14:paraId="01428A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lang w:val="en-US" w:eastAsia="zh-CN" w:bidi="ar"/>
                    </w:rPr>
                    <w:t>捕集效率（%）</w:t>
                  </w:r>
                </w:p>
              </w:tc>
              <w:tc>
                <w:tcPr>
                  <w:tcW w:w="4669" w:type="dxa"/>
                  <w:noWrap w:val="0"/>
                  <w:vAlign w:val="center"/>
                </w:tcPr>
                <w:p w14:paraId="2CCEE7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vertAlign w:val="baseline"/>
                      <w:lang w:val="en-US" w:eastAsia="zh-CN" w:bidi="ar"/>
                    </w:rPr>
                  </w:pPr>
                  <w:r>
                    <w:rPr>
                      <w:rFonts w:hint="default" w:ascii="Times New Roman" w:hAnsi="Times New Roman" w:eastAsia="宋体" w:cs="Times New Roman"/>
                      <w:b/>
                      <w:bCs/>
                      <w:color w:val="000000"/>
                      <w:kern w:val="0"/>
                      <w:sz w:val="21"/>
                      <w:szCs w:val="21"/>
                      <w:lang w:val="en-US" w:eastAsia="zh-CN" w:bidi="ar"/>
                    </w:rPr>
                    <w:t>达到上限效率必须满足的条件（否则按下限</w:t>
                  </w:r>
                  <w:r>
                    <w:rPr>
                      <w:rFonts w:hint="eastAsia" w:cs="Times New Roman"/>
                      <w:b/>
                      <w:bCs/>
                      <w:color w:val="000000"/>
                      <w:kern w:val="0"/>
                      <w:sz w:val="21"/>
                      <w:szCs w:val="21"/>
                      <w:lang w:val="en-US" w:eastAsia="zh-CN" w:bidi="ar"/>
                    </w:rPr>
                    <w:t>计算</w:t>
                  </w:r>
                  <w:r>
                    <w:rPr>
                      <w:rFonts w:hint="default" w:ascii="Times New Roman" w:hAnsi="Times New Roman" w:eastAsia="宋体" w:cs="Times New Roman"/>
                      <w:b/>
                      <w:bCs/>
                      <w:color w:val="000000"/>
                      <w:kern w:val="0"/>
                      <w:sz w:val="21"/>
                      <w:szCs w:val="21"/>
                      <w:lang w:val="en-US" w:eastAsia="zh-CN" w:bidi="ar"/>
                    </w:rPr>
                    <w:t>）</w:t>
                  </w:r>
                </w:p>
              </w:tc>
            </w:tr>
            <w:tr w14:paraId="5785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noWrap w:val="0"/>
                  <w:vAlign w:val="center"/>
                </w:tcPr>
                <w:p w14:paraId="3A5A31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设备废气排口直连</w:t>
                  </w:r>
                </w:p>
              </w:tc>
              <w:tc>
                <w:tcPr>
                  <w:tcW w:w="2213" w:type="dxa"/>
                  <w:noWrap w:val="0"/>
                  <w:vAlign w:val="center"/>
                </w:tcPr>
                <w:p w14:paraId="35FDFD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vertAlign w:val="baseline"/>
                      <w:lang w:val="en-US" w:eastAsia="zh-CN" w:bidi="ar"/>
                    </w:rPr>
                    <w:t>80~95</w:t>
                  </w:r>
                </w:p>
              </w:tc>
              <w:tc>
                <w:tcPr>
                  <w:tcW w:w="4669" w:type="dxa"/>
                  <w:noWrap w:val="0"/>
                  <w:vAlign w:val="center"/>
                </w:tcPr>
                <w:p w14:paraId="76CA58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设备有固定排放管（或口）直接与风管连接，设备整体密闭只留进出口，且进出口处有废气收集措施，收集系统运行时周边基本无 VOCs 散发</w:t>
                  </w:r>
                </w:p>
              </w:tc>
            </w:tr>
            <w:tr w14:paraId="4B97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noWrap w:val="0"/>
                  <w:vAlign w:val="center"/>
                </w:tcPr>
                <w:p w14:paraId="5F1421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车间或密闭间进行密闭收集</w:t>
                  </w:r>
                </w:p>
              </w:tc>
              <w:tc>
                <w:tcPr>
                  <w:tcW w:w="2213" w:type="dxa"/>
                  <w:noWrap w:val="0"/>
                  <w:vAlign w:val="center"/>
                </w:tcPr>
                <w:p w14:paraId="33B251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vertAlign w:val="baseline"/>
                      <w:lang w:val="en-US" w:eastAsia="zh-CN" w:bidi="ar"/>
                    </w:rPr>
                    <w:t>80~95</w:t>
                  </w:r>
                </w:p>
              </w:tc>
              <w:tc>
                <w:tcPr>
                  <w:tcW w:w="4669" w:type="dxa"/>
                  <w:noWrap w:val="0"/>
                  <w:vAlign w:val="center"/>
                </w:tcPr>
                <w:p w14:paraId="2EECAB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屋面现浇，四周墙壁或门窗等密闭性好。收集总风量能确保开口处保持微负压（敞开截面处的吸入风速≥0.5m/s），不让废气外泄</w:t>
                  </w:r>
                </w:p>
              </w:tc>
            </w:tr>
            <w:tr w14:paraId="5330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shd w:val="clear" w:color="auto" w:fill="D7D7D7"/>
                  <w:noWrap w:val="0"/>
                  <w:vAlign w:val="center"/>
                </w:tcPr>
                <w:p w14:paraId="72C04C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半密闭罩或通风橱方式收集（罩内或橱内操作）</w:t>
                  </w:r>
                </w:p>
              </w:tc>
              <w:tc>
                <w:tcPr>
                  <w:tcW w:w="2213" w:type="dxa"/>
                  <w:shd w:val="clear" w:color="auto" w:fill="D7D7D7"/>
                  <w:noWrap w:val="0"/>
                  <w:vAlign w:val="center"/>
                </w:tcPr>
                <w:p w14:paraId="4E11E1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vertAlign w:val="baseline"/>
                      <w:lang w:val="en-US" w:eastAsia="zh-CN" w:bidi="ar"/>
                    </w:rPr>
                    <w:t>65~85</w:t>
                  </w:r>
                </w:p>
              </w:tc>
              <w:tc>
                <w:tcPr>
                  <w:tcW w:w="4669" w:type="dxa"/>
                  <w:shd w:val="clear" w:color="auto" w:fill="D7D7D7"/>
                  <w:noWrap w:val="0"/>
                  <w:vAlign w:val="center"/>
                </w:tcPr>
                <w:p w14:paraId="30852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污染物产生点（面）处，往吸入口方向的控制风速≥某一数值（喷≥0.75m/s，其余≥0.5m/s）</w:t>
                  </w:r>
                </w:p>
              </w:tc>
            </w:tr>
            <w:tr w14:paraId="4FB0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noWrap w:val="0"/>
                  <w:vAlign w:val="center"/>
                </w:tcPr>
                <w:p w14:paraId="5E1FDB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热态上吸风罩</w:t>
                  </w:r>
                </w:p>
              </w:tc>
              <w:tc>
                <w:tcPr>
                  <w:tcW w:w="2213" w:type="dxa"/>
                  <w:noWrap w:val="0"/>
                  <w:vAlign w:val="center"/>
                </w:tcPr>
                <w:p w14:paraId="213F9D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vertAlign w:val="baseline"/>
                      <w:lang w:val="en-US" w:eastAsia="zh-CN" w:bidi="ar"/>
                    </w:rPr>
                    <w:t>30~60</w:t>
                  </w:r>
                </w:p>
              </w:tc>
              <w:tc>
                <w:tcPr>
                  <w:tcW w:w="4669" w:type="dxa"/>
                  <w:noWrap w:val="0"/>
                  <w:vAlign w:val="center"/>
                </w:tcPr>
                <w:p w14:paraId="21DF7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污染物产生点（面）处，往吸入口方向的控制风速≥0.5m/s，热态指污染源散发气体温度≥60℃</w:t>
                  </w:r>
                </w:p>
              </w:tc>
            </w:tr>
            <w:tr w14:paraId="68C3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noWrap w:val="0"/>
                  <w:vAlign w:val="center"/>
                </w:tcPr>
                <w:p w14:paraId="5356F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冷态上吸风罩</w:t>
                  </w:r>
                </w:p>
              </w:tc>
              <w:tc>
                <w:tcPr>
                  <w:tcW w:w="2213" w:type="dxa"/>
                  <w:noWrap w:val="0"/>
                  <w:vAlign w:val="center"/>
                </w:tcPr>
                <w:p w14:paraId="25024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vertAlign w:val="baseline"/>
                      <w:lang w:val="en-US" w:eastAsia="zh-CN" w:bidi="ar"/>
                    </w:rPr>
                    <w:t>20~50</w:t>
                  </w:r>
                </w:p>
              </w:tc>
              <w:tc>
                <w:tcPr>
                  <w:tcW w:w="4669" w:type="dxa"/>
                  <w:noWrap w:val="0"/>
                  <w:vAlign w:val="center"/>
                </w:tcPr>
                <w:p w14:paraId="5672D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污染物产生点（面）处，往吸入口方向的控制风速≥0.25m/s，热态指污染源散发气体温度＜60℃</w:t>
                  </w:r>
                </w:p>
              </w:tc>
            </w:tr>
            <w:tr w14:paraId="372C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7" w:type="dxa"/>
                  <w:noWrap w:val="0"/>
                  <w:vAlign w:val="center"/>
                </w:tcPr>
                <w:p w14:paraId="4E0244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侧吸风罩</w:t>
                  </w:r>
                </w:p>
              </w:tc>
              <w:tc>
                <w:tcPr>
                  <w:tcW w:w="2213" w:type="dxa"/>
                  <w:noWrap w:val="0"/>
                  <w:vAlign w:val="center"/>
                </w:tcPr>
                <w:p w14:paraId="4F13D4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20~40</w:t>
                  </w:r>
                </w:p>
              </w:tc>
              <w:tc>
                <w:tcPr>
                  <w:tcW w:w="4669" w:type="dxa"/>
                  <w:noWrap w:val="0"/>
                  <w:vAlign w:val="center"/>
                </w:tcPr>
                <w:p w14:paraId="2B1A88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vertAlign w:val="baseline"/>
                      <w:lang w:val="en-US" w:eastAsia="zh-CN" w:bidi="ar"/>
                    </w:rPr>
                  </w:pPr>
                  <w:r>
                    <w:rPr>
                      <w:rFonts w:hint="default" w:ascii="Times New Roman" w:hAnsi="Times New Roman" w:eastAsia="宋体" w:cs="Times New Roman"/>
                      <w:color w:val="000000"/>
                      <w:kern w:val="0"/>
                      <w:sz w:val="21"/>
                      <w:szCs w:val="21"/>
                      <w:lang w:val="en-US" w:eastAsia="zh-CN" w:bidi="ar"/>
                    </w:rPr>
                    <w:t>污染物产生点（面）处，往吸入口方向的控制风速≥0.5m/s，且吸风罩距离污染源远端的距离≤0.6m</w:t>
                  </w:r>
                </w:p>
              </w:tc>
            </w:tr>
          </w:tbl>
          <w:p w14:paraId="6B87340B">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000000"/>
                <w:kern w:val="0"/>
                <w:sz w:val="24"/>
                <w:szCs w:val="24"/>
                <w:lang w:val="en-US" w:eastAsia="zh-CN" w:bidi="ar"/>
              </w:rPr>
              <w:t>项目</w:t>
            </w:r>
            <w:r>
              <w:rPr>
                <w:rFonts w:hint="eastAsia" w:cs="Times New Roman"/>
                <w:color w:val="000000"/>
                <w:kern w:val="0"/>
                <w:sz w:val="24"/>
                <w:szCs w:val="24"/>
                <w:lang w:val="en-US" w:eastAsia="zh-CN" w:bidi="ar"/>
              </w:rPr>
              <w:t>在设备上方</w:t>
            </w:r>
            <w:r>
              <w:rPr>
                <w:rFonts w:hint="default" w:ascii="Times New Roman" w:hAnsi="Times New Roman" w:eastAsia="宋体" w:cs="Times New Roman"/>
                <w:color w:val="000000"/>
                <w:kern w:val="0"/>
                <w:sz w:val="24"/>
                <w:szCs w:val="24"/>
                <w:lang w:val="en-US" w:eastAsia="zh-CN" w:bidi="ar"/>
              </w:rPr>
              <w:t>设置</w:t>
            </w:r>
            <w:r>
              <w:rPr>
                <w:rFonts w:hint="eastAsia" w:cs="Times New Roman"/>
                <w:color w:val="000000"/>
                <w:kern w:val="0"/>
                <w:sz w:val="24"/>
                <w:szCs w:val="24"/>
                <w:lang w:val="en-US" w:eastAsia="zh-CN" w:bidi="ar"/>
              </w:rPr>
              <w:t>负压</w:t>
            </w:r>
            <w:r>
              <w:rPr>
                <w:rFonts w:hint="default" w:ascii="Times New Roman" w:hAnsi="Times New Roman" w:eastAsia="宋体" w:cs="Times New Roman"/>
                <w:color w:val="000000"/>
                <w:kern w:val="0"/>
                <w:sz w:val="24"/>
                <w:szCs w:val="24"/>
                <w:lang w:val="en-US" w:eastAsia="zh-CN" w:bidi="ar"/>
              </w:rPr>
              <w:t>集气罩为半密闭罩，</w:t>
            </w:r>
            <w:r>
              <w:rPr>
                <w:rFonts w:hint="eastAsia" w:cs="Times New Roman"/>
                <w:color w:val="000000"/>
                <w:kern w:val="0"/>
                <w:sz w:val="24"/>
                <w:szCs w:val="24"/>
                <w:lang w:val="en-US" w:eastAsia="zh-CN" w:bidi="ar"/>
              </w:rPr>
              <w:t>半密闭负压</w:t>
            </w:r>
            <w:r>
              <w:rPr>
                <w:rFonts w:hint="default" w:ascii="Times New Roman" w:hAnsi="Times New Roman" w:eastAsia="宋体" w:cs="Times New Roman"/>
                <w:color w:val="000000"/>
                <w:kern w:val="0"/>
                <w:sz w:val="24"/>
                <w:szCs w:val="24"/>
                <w:lang w:val="en-US" w:eastAsia="zh-CN" w:bidi="ar"/>
              </w:rPr>
              <w:t>集气罩覆盖污染物产生点（面）处，</w:t>
            </w:r>
            <w:r>
              <w:rPr>
                <w:rFonts w:hint="default" w:ascii="Times New Roman" w:hAnsi="Times New Roman" w:eastAsia="宋体" w:cs="Times New Roman"/>
                <w:color w:val="auto"/>
                <w:kern w:val="0"/>
                <w:sz w:val="24"/>
                <w:szCs w:val="24"/>
                <w:lang w:val="en-US" w:eastAsia="zh-CN" w:bidi="ar"/>
              </w:rPr>
              <w:t>逸散点控制风速不小于0.5m/s</w:t>
            </w:r>
            <w:r>
              <w:rPr>
                <w:rFonts w:hint="eastAsia" w:cs="Times New Roman"/>
                <w:color w:val="auto"/>
                <w:kern w:val="0"/>
                <w:sz w:val="24"/>
                <w:szCs w:val="24"/>
                <w:lang w:val="en-US" w:eastAsia="zh-CN" w:bidi="ar"/>
              </w:rPr>
              <w:t>（本项目设计控制风速为0.6</w:t>
            </w:r>
            <w:r>
              <w:rPr>
                <w:rFonts w:hint="default" w:ascii="Times New Roman" w:hAnsi="Times New Roman" w:eastAsia="宋体" w:cs="Times New Roman"/>
                <w:color w:val="auto"/>
                <w:kern w:val="0"/>
                <w:sz w:val="24"/>
                <w:szCs w:val="24"/>
                <w:lang w:val="en-US" w:eastAsia="zh-CN" w:bidi="ar"/>
              </w:rPr>
              <w:t>m/s</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，综合以上分析，本次环评废气污染物收集效率取</w:t>
            </w:r>
            <w:r>
              <w:rPr>
                <w:rFonts w:hint="eastAsia" w:cs="Times New Roman"/>
                <w:color w:val="auto"/>
                <w:kern w:val="0"/>
                <w:sz w:val="24"/>
                <w:szCs w:val="24"/>
                <w:lang w:val="en-US" w:eastAsia="zh-CN" w:bidi="ar"/>
              </w:rPr>
              <w:t>中间值，集气罩收集效率为75</w:t>
            </w:r>
            <w:r>
              <w:rPr>
                <w:rFonts w:hint="default" w:ascii="Times New Roman" w:hAnsi="Times New Roman" w:eastAsia="宋体" w:cs="Times New Roman"/>
                <w:color w:val="auto"/>
                <w:kern w:val="0"/>
                <w:sz w:val="24"/>
                <w:szCs w:val="24"/>
                <w:lang w:val="en-US" w:eastAsia="zh-CN" w:bidi="ar"/>
              </w:rPr>
              <w:t>%，未被收集的有机废气呈无组织排放。则项目有机废气（非甲烷总烃计）有组织</w:t>
            </w:r>
            <w:r>
              <w:rPr>
                <w:rFonts w:hint="eastAsia" w:ascii="Times New Roman" w:hAnsi="Times New Roman" w:eastAsia="宋体" w:cs="Times New Roman"/>
                <w:color w:val="auto"/>
                <w:kern w:val="0"/>
                <w:sz w:val="24"/>
                <w:szCs w:val="24"/>
                <w:lang w:val="en-US" w:eastAsia="zh-CN" w:bidi="ar"/>
              </w:rPr>
              <w:t>收集</w:t>
            </w:r>
            <w:r>
              <w:rPr>
                <w:rFonts w:hint="default" w:ascii="Times New Roman" w:hAnsi="Times New Roman" w:eastAsia="宋体" w:cs="Times New Roman"/>
                <w:color w:val="auto"/>
                <w:kern w:val="0"/>
                <w:sz w:val="24"/>
                <w:szCs w:val="24"/>
                <w:highlight w:val="none"/>
                <w:lang w:val="en-US" w:eastAsia="zh-CN" w:bidi="ar"/>
              </w:rPr>
              <w:t>量为</w:t>
            </w:r>
            <w:r>
              <w:rPr>
                <w:rFonts w:hint="eastAsia" w:cs="Times New Roman"/>
                <w:color w:val="auto"/>
                <w:kern w:val="0"/>
                <w:sz w:val="24"/>
                <w:szCs w:val="24"/>
                <w:highlight w:val="none"/>
                <w:lang w:val="en-US" w:eastAsia="zh-CN" w:bidi="ar"/>
              </w:rPr>
              <w:t>5.2772</w:t>
            </w:r>
            <w:r>
              <w:rPr>
                <w:rFonts w:hint="default" w:ascii="Times New Roman" w:hAnsi="Times New Roman" w:eastAsia="宋体" w:cs="Times New Roman"/>
                <w:color w:val="auto"/>
                <w:kern w:val="0"/>
                <w:sz w:val="24"/>
                <w:szCs w:val="24"/>
                <w:highlight w:val="none"/>
                <w:lang w:val="en-US" w:eastAsia="zh-CN" w:bidi="ar"/>
              </w:rPr>
              <w:t>t/a，产生速率</w:t>
            </w:r>
            <w:r>
              <w:rPr>
                <w:rFonts w:hint="eastAsia" w:cs="Times New Roman"/>
                <w:color w:val="auto"/>
                <w:kern w:val="0"/>
                <w:sz w:val="24"/>
                <w:szCs w:val="24"/>
                <w:highlight w:val="none"/>
                <w:lang w:val="en-US" w:eastAsia="zh-CN" w:bidi="ar"/>
              </w:rPr>
              <w:t>0.7329</w:t>
            </w:r>
            <w:r>
              <w:rPr>
                <w:rFonts w:hint="default" w:ascii="Times New Roman" w:hAnsi="Times New Roman" w:eastAsia="宋体" w:cs="Times New Roman"/>
                <w:color w:val="auto"/>
                <w:kern w:val="0"/>
                <w:sz w:val="24"/>
                <w:szCs w:val="24"/>
                <w:highlight w:val="none"/>
                <w:lang w:val="en-US" w:eastAsia="zh-CN" w:bidi="ar"/>
              </w:rPr>
              <w:t>kg/h，</w:t>
            </w:r>
            <w:r>
              <w:rPr>
                <w:rFonts w:hint="eastAsia" w:cs="Times New Roman"/>
                <w:color w:val="auto"/>
                <w:kern w:val="0"/>
                <w:sz w:val="24"/>
                <w:szCs w:val="24"/>
                <w:highlight w:val="none"/>
                <w:lang w:val="en-US" w:eastAsia="zh-CN" w:bidi="ar"/>
              </w:rPr>
              <w:t>30.5375</w:t>
            </w:r>
            <w:r>
              <w:rPr>
                <w:rFonts w:hint="default" w:ascii="Times New Roman" w:hAnsi="Times New Roman" w:eastAsia="宋体" w:cs="Times New Roman"/>
                <w:color w:val="auto"/>
                <w:kern w:val="0"/>
                <w:sz w:val="24"/>
                <w:szCs w:val="24"/>
                <w:highlight w:val="none"/>
                <w:lang w:val="en-US" w:eastAsia="zh-CN" w:bidi="ar"/>
              </w:rPr>
              <w:t>mg/m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aps w:val="0"/>
                <w:smallCaps w:val="0"/>
                <w:color w:val="auto"/>
                <w:sz w:val="24"/>
                <w:szCs w:val="24"/>
                <w:highlight w:val="none"/>
                <w:lang w:val="en-US" w:eastAsia="zh-CN"/>
              </w:rPr>
              <w:t>则</w:t>
            </w:r>
            <w:r>
              <w:rPr>
                <w:rFonts w:hint="default" w:ascii="Times New Roman" w:hAnsi="Times New Roman" w:eastAsia="宋体" w:cs="Times New Roman"/>
                <w:color w:val="auto"/>
                <w:kern w:val="0"/>
                <w:sz w:val="24"/>
                <w:szCs w:val="24"/>
                <w:highlight w:val="none"/>
                <w:lang w:val="en-US" w:eastAsia="zh-CN" w:bidi="ar"/>
              </w:rPr>
              <w:t>有机废气无组织排放量为</w:t>
            </w:r>
            <w:r>
              <w:rPr>
                <w:rFonts w:hint="eastAsia" w:cs="Times New Roman"/>
                <w:color w:val="auto"/>
                <w:kern w:val="0"/>
                <w:sz w:val="24"/>
                <w:szCs w:val="24"/>
                <w:highlight w:val="none"/>
                <w:lang w:val="en-US" w:eastAsia="zh-CN" w:bidi="ar"/>
              </w:rPr>
              <w:t>1.7591</w:t>
            </w:r>
            <w:r>
              <w:rPr>
                <w:rFonts w:hint="default" w:ascii="Times New Roman" w:hAnsi="Times New Roman" w:eastAsia="宋体" w:cs="Times New Roman"/>
                <w:color w:val="auto"/>
                <w:kern w:val="0"/>
                <w:sz w:val="24"/>
                <w:szCs w:val="24"/>
                <w:highlight w:val="none"/>
                <w:lang w:val="en-US" w:eastAsia="zh-CN" w:bidi="ar"/>
              </w:rPr>
              <w:t>t/a，排放速率</w:t>
            </w:r>
            <w:r>
              <w:rPr>
                <w:rFonts w:hint="eastAsia" w:cs="Times New Roman"/>
                <w:color w:val="auto"/>
                <w:kern w:val="0"/>
                <w:sz w:val="24"/>
                <w:szCs w:val="24"/>
                <w:highlight w:val="none"/>
                <w:lang w:val="en-US" w:eastAsia="zh-CN" w:bidi="ar"/>
              </w:rPr>
              <w:t>0.2443</w:t>
            </w:r>
            <w:r>
              <w:rPr>
                <w:rFonts w:hint="default" w:ascii="Times New Roman" w:hAnsi="Times New Roman" w:eastAsia="宋体" w:cs="Times New Roman"/>
                <w:color w:val="auto"/>
                <w:kern w:val="0"/>
                <w:sz w:val="24"/>
                <w:szCs w:val="24"/>
                <w:highlight w:val="none"/>
                <w:lang w:val="en-US" w:eastAsia="zh-CN" w:bidi="ar"/>
              </w:rPr>
              <w:t>kg/h。</w:t>
            </w:r>
          </w:p>
          <w:p w14:paraId="0F840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bidi="ar"/>
              </w:rPr>
            </w:pPr>
            <w:r>
              <w:rPr>
                <w:rFonts w:hint="eastAsia" w:cs="Times New Roman"/>
                <w:b/>
                <w:bCs/>
                <w:color w:val="auto"/>
                <w:kern w:val="0"/>
                <w:sz w:val="24"/>
                <w:szCs w:val="24"/>
                <w:lang w:val="en-US" w:eastAsia="zh-CN" w:bidi="ar"/>
              </w:rPr>
              <w:t>⑤活性炭吸附装置</w:t>
            </w:r>
            <w:r>
              <w:rPr>
                <w:rFonts w:hint="default" w:ascii="Times New Roman" w:hAnsi="Times New Roman" w:eastAsia="宋体" w:cs="Times New Roman"/>
                <w:b/>
                <w:bCs/>
                <w:color w:val="auto"/>
                <w:kern w:val="0"/>
                <w:sz w:val="24"/>
                <w:szCs w:val="24"/>
                <w:lang w:val="en-US" w:eastAsia="zh-CN" w:bidi="ar"/>
              </w:rPr>
              <w:t>处理效率</w:t>
            </w:r>
          </w:p>
          <w:p w14:paraId="73253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lang w:val="en-US" w:eastAsia="zh-CN" w:bidi="ar"/>
              </w:rPr>
              <w:t>根据《排放源统计调查产排污核算方法和系数手册》中《292塑料制品业系数手册》—“2926 塑料包装箱及容器制造行业系数表”可知末端活性炭吸附处理效率为 21%。采用多级活性炭吸附装置（由 1 层吸附处理提高到 3 层吸附处理），通过增加有机废气的停留时间能有效提高处置效率，本项目采用“三级活性炭吸附”装置。本项目“三级活性炭吸附”装置处理效率为 51%</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1-</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(1-0.21)</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(1-0.21) </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 (1-0.21)</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highlight w:val="none"/>
                <w:lang w:val="en-US" w:eastAsia="zh-CN" w:bidi="ar"/>
              </w:rPr>
              <w:t>则项目有机废气（非甲烷总烃计）有组织排放量为</w:t>
            </w:r>
            <w:r>
              <w:rPr>
                <w:rFonts w:hint="eastAsia" w:cs="Times New Roman"/>
                <w:color w:val="auto"/>
                <w:kern w:val="0"/>
                <w:sz w:val="24"/>
                <w:szCs w:val="24"/>
                <w:highlight w:val="none"/>
                <w:lang w:val="en-US" w:eastAsia="zh-CN" w:bidi="ar"/>
              </w:rPr>
              <w:t>2.5858</w:t>
            </w:r>
            <w:r>
              <w:rPr>
                <w:rFonts w:hint="default" w:ascii="Times New Roman" w:hAnsi="Times New Roman" w:eastAsia="宋体" w:cs="Times New Roman"/>
                <w:color w:val="auto"/>
                <w:kern w:val="0"/>
                <w:sz w:val="24"/>
                <w:szCs w:val="24"/>
                <w:highlight w:val="none"/>
                <w:lang w:val="en-US" w:eastAsia="zh-CN" w:bidi="ar"/>
              </w:rPr>
              <w:t>t/a，排放速率</w:t>
            </w:r>
            <w:r>
              <w:rPr>
                <w:rFonts w:hint="eastAsia" w:cs="Times New Roman"/>
                <w:color w:val="auto"/>
                <w:kern w:val="0"/>
                <w:sz w:val="24"/>
                <w:szCs w:val="24"/>
                <w:highlight w:val="none"/>
                <w:lang w:val="en-US" w:eastAsia="zh-CN" w:bidi="ar"/>
              </w:rPr>
              <w:t>0.3591</w:t>
            </w:r>
            <w:r>
              <w:rPr>
                <w:rFonts w:hint="default" w:ascii="Times New Roman" w:hAnsi="Times New Roman" w:eastAsia="宋体" w:cs="Times New Roman"/>
                <w:color w:val="auto"/>
                <w:kern w:val="0"/>
                <w:sz w:val="24"/>
                <w:szCs w:val="24"/>
                <w:highlight w:val="none"/>
                <w:lang w:val="en-US" w:eastAsia="zh-CN" w:bidi="ar"/>
              </w:rPr>
              <w:t>kg/h，排放浓度为</w:t>
            </w:r>
            <w:r>
              <w:rPr>
                <w:rFonts w:hint="eastAsia" w:cs="Times New Roman"/>
                <w:color w:val="auto"/>
                <w:kern w:val="0"/>
                <w:sz w:val="24"/>
                <w:szCs w:val="24"/>
                <w:highlight w:val="none"/>
                <w:lang w:val="en-US" w:eastAsia="zh-CN" w:bidi="ar"/>
              </w:rPr>
              <w:t>14.9625</w:t>
            </w:r>
            <w:r>
              <w:rPr>
                <w:rFonts w:hint="default" w:ascii="Times New Roman" w:hAnsi="Times New Roman" w:eastAsia="宋体" w:cs="Times New Roman"/>
                <w:color w:val="auto"/>
                <w:kern w:val="0"/>
                <w:sz w:val="24"/>
                <w:szCs w:val="24"/>
                <w:highlight w:val="none"/>
                <w:lang w:val="en-US" w:eastAsia="zh-CN" w:bidi="ar"/>
              </w:rPr>
              <w:t>mg/m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p>
          <w:p w14:paraId="4D4525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caps w:val="0"/>
                <w:smallCaps w:val="0"/>
                <w:color w:val="auto"/>
                <w:sz w:val="24"/>
                <w:szCs w:val="20"/>
                <w:highlight w:val="none"/>
                <w:lang w:val="en-US" w:eastAsia="zh-CN"/>
              </w:rPr>
              <w:t>综上所述，本</w:t>
            </w:r>
            <w:r>
              <w:rPr>
                <w:rFonts w:hint="default" w:ascii="Times New Roman" w:hAnsi="Times New Roman" w:eastAsia="宋体" w:cs="Times New Roman"/>
                <w:caps w:val="0"/>
                <w:smallCaps w:val="0"/>
                <w:color w:val="auto"/>
                <w:sz w:val="24"/>
                <w:szCs w:val="20"/>
                <w:highlight w:val="none"/>
              </w:rPr>
              <w:t>项目产生的非甲烷总烃经半封闭式集气罩后</w:t>
            </w:r>
            <w:r>
              <w:rPr>
                <w:rFonts w:hint="default" w:ascii="Times New Roman" w:hAnsi="Times New Roman" w:eastAsia="宋体" w:cs="Times New Roman"/>
                <w:caps w:val="0"/>
                <w:smallCaps w:val="0"/>
                <w:color w:val="auto"/>
                <w:sz w:val="24"/>
                <w:szCs w:val="20"/>
                <w:highlight w:val="none"/>
                <w:lang w:val="en-US" w:eastAsia="zh-CN"/>
              </w:rPr>
              <w:t>（</w:t>
            </w:r>
            <w:r>
              <w:rPr>
                <w:rFonts w:hint="default" w:ascii="Times New Roman" w:hAnsi="Times New Roman" w:eastAsia="宋体" w:cs="Times New Roman"/>
                <w:caps w:val="0"/>
                <w:smallCaps w:val="0"/>
                <w:color w:val="auto"/>
                <w:sz w:val="24"/>
                <w:szCs w:val="20"/>
                <w:highlight w:val="none"/>
              </w:rPr>
              <w:t>收集效率</w:t>
            </w:r>
            <w:r>
              <w:rPr>
                <w:rFonts w:hint="eastAsia" w:cs="Times New Roman"/>
                <w:caps w:val="0"/>
                <w:smallCaps w:val="0"/>
                <w:color w:val="auto"/>
                <w:sz w:val="24"/>
                <w:szCs w:val="20"/>
                <w:highlight w:val="none"/>
                <w:lang w:val="en-US" w:eastAsia="zh-CN"/>
              </w:rPr>
              <w:t>75</w:t>
            </w:r>
            <w:r>
              <w:rPr>
                <w:rFonts w:hint="default" w:ascii="Times New Roman" w:hAnsi="Times New Roman" w:eastAsia="宋体" w:cs="Times New Roman"/>
                <w:caps w:val="0"/>
                <w:smallCaps w:val="0"/>
                <w:color w:val="auto"/>
                <w:sz w:val="24"/>
                <w:szCs w:val="20"/>
                <w:highlight w:val="none"/>
              </w:rPr>
              <w:t>%</w:t>
            </w:r>
            <w:r>
              <w:rPr>
                <w:rFonts w:hint="default" w:ascii="Times New Roman" w:hAnsi="Times New Roman" w:eastAsia="宋体" w:cs="Times New Roman"/>
                <w:caps w:val="0"/>
                <w:smallCaps w:val="0"/>
                <w:color w:val="auto"/>
                <w:sz w:val="24"/>
                <w:szCs w:val="20"/>
                <w:highlight w:val="none"/>
                <w:lang w:val="en-US" w:eastAsia="zh-CN"/>
              </w:rPr>
              <w:t>计）</w:t>
            </w:r>
            <w:r>
              <w:rPr>
                <w:rFonts w:hint="default" w:ascii="Times New Roman" w:hAnsi="Times New Roman" w:eastAsia="宋体" w:cs="Times New Roman"/>
                <w:caps w:val="0"/>
                <w:smallCaps w:val="0"/>
                <w:color w:val="auto"/>
                <w:sz w:val="24"/>
                <w:szCs w:val="20"/>
                <w:highlight w:val="none"/>
              </w:rPr>
              <w:t>，经</w:t>
            </w:r>
            <w:r>
              <w:rPr>
                <w:rFonts w:hint="default" w:ascii="Times New Roman" w:hAnsi="Times New Roman" w:eastAsia="宋体" w:cs="Times New Roman"/>
                <w:caps w:val="0"/>
                <w:smallCaps w:val="0"/>
                <w:color w:val="auto"/>
                <w:sz w:val="24"/>
                <w:szCs w:val="20"/>
                <w:highlight w:val="none"/>
                <w:lang w:val="en-US" w:eastAsia="zh-CN"/>
              </w:rPr>
              <w:t>三</w:t>
            </w:r>
            <w:r>
              <w:rPr>
                <w:rFonts w:hint="default" w:ascii="Times New Roman" w:hAnsi="Times New Roman" w:eastAsia="宋体" w:cs="Times New Roman"/>
                <w:caps w:val="0"/>
                <w:smallCaps w:val="0"/>
                <w:color w:val="auto"/>
                <w:sz w:val="24"/>
                <w:szCs w:val="20"/>
                <w:highlight w:val="none"/>
              </w:rPr>
              <w:t>级活性炭吸附装置</w:t>
            </w:r>
            <w:r>
              <w:rPr>
                <w:rFonts w:hint="default" w:ascii="Times New Roman" w:hAnsi="Times New Roman" w:eastAsia="宋体" w:cs="Times New Roman"/>
                <w:caps w:val="0"/>
                <w:smallCaps w:val="0"/>
                <w:color w:val="auto"/>
                <w:sz w:val="24"/>
                <w:szCs w:val="20"/>
                <w:highlight w:val="none"/>
                <w:lang w:eastAsia="zh-CN"/>
              </w:rPr>
              <w:t>（</w:t>
            </w:r>
            <w:r>
              <w:rPr>
                <w:rFonts w:hint="default" w:ascii="Times New Roman" w:hAnsi="Times New Roman" w:eastAsia="宋体" w:cs="Times New Roman"/>
                <w:caps w:val="0"/>
                <w:smallCaps w:val="0"/>
                <w:color w:val="auto"/>
                <w:sz w:val="24"/>
                <w:szCs w:val="20"/>
                <w:highlight w:val="none"/>
                <w:lang w:val="en-US" w:eastAsia="zh-CN"/>
              </w:rPr>
              <w:t>处理效率51%计</w:t>
            </w:r>
            <w:r>
              <w:rPr>
                <w:rFonts w:hint="default" w:ascii="Times New Roman" w:hAnsi="Times New Roman" w:eastAsia="宋体" w:cs="Times New Roman"/>
                <w:caps w:val="0"/>
                <w:smallCaps w:val="0"/>
                <w:color w:val="auto"/>
                <w:sz w:val="24"/>
                <w:szCs w:val="20"/>
                <w:highlight w:val="none"/>
                <w:lang w:eastAsia="zh-CN"/>
              </w:rPr>
              <w:t>）</w:t>
            </w:r>
            <w:r>
              <w:rPr>
                <w:rFonts w:hint="default" w:ascii="Times New Roman" w:hAnsi="Times New Roman" w:eastAsia="宋体" w:cs="Times New Roman"/>
                <w:caps w:val="0"/>
                <w:smallCaps w:val="0"/>
                <w:color w:val="auto"/>
                <w:sz w:val="24"/>
                <w:szCs w:val="20"/>
                <w:highlight w:val="none"/>
              </w:rPr>
              <w:t>处理后通过1根15m高排气筒DA001排放</w:t>
            </w:r>
            <w:r>
              <w:rPr>
                <w:rFonts w:hint="default" w:ascii="Times New Roman" w:hAnsi="Times New Roman" w:eastAsia="宋体" w:cs="Times New Roman"/>
                <w:caps w:val="0"/>
                <w:smallCaps w:val="0"/>
                <w:color w:val="auto"/>
                <w:sz w:val="24"/>
                <w:szCs w:val="20"/>
                <w:highlight w:val="none"/>
                <w:lang w:eastAsia="zh-CN"/>
              </w:rPr>
              <w:t>。</w:t>
            </w:r>
            <w:r>
              <w:rPr>
                <w:rFonts w:hint="default" w:ascii="Times New Roman" w:hAnsi="Times New Roman" w:eastAsia="宋体" w:cs="Times New Roman"/>
                <w:caps w:val="0"/>
                <w:smallCaps w:val="0"/>
                <w:color w:val="auto"/>
                <w:sz w:val="24"/>
                <w:szCs w:val="20"/>
                <w:highlight w:val="none"/>
              </w:rPr>
              <w:t>非甲烷总烃</w:t>
            </w:r>
            <w:r>
              <w:rPr>
                <w:rFonts w:hint="default" w:ascii="Times New Roman" w:hAnsi="Times New Roman" w:eastAsia="宋体" w:cs="Times New Roman"/>
                <w:caps w:val="0"/>
                <w:smallCaps w:val="0"/>
                <w:color w:val="auto"/>
                <w:sz w:val="24"/>
                <w:szCs w:val="20"/>
                <w:highlight w:val="none"/>
                <w:lang w:val="en-US" w:eastAsia="zh-CN"/>
              </w:rPr>
              <w:t>有组织排放</w:t>
            </w:r>
            <w:r>
              <w:rPr>
                <w:rFonts w:hint="default" w:ascii="Times New Roman" w:hAnsi="Times New Roman" w:eastAsia="宋体" w:cs="Times New Roman"/>
                <w:caps w:val="0"/>
                <w:smallCaps w:val="0"/>
                <w:color w:val="auto"/>
                <w:sz w:val="24"/>
                <w:szCs w:val="20"/>
                <w:highlight w:val="none"/>
              </w:rPr>
              <w:t>量</w:t>
            </w:r>
            <w:r>
              <w:rPr>
                <w:rFonts w:hint="eastAsia" w:cs="Times New Roman"/>
                <w:color w:val="auto"/>
                <w:kern w:val="0"/>
                <w:sz w:val="24"/>
                <w:szCs w:val="24"/>
                <w:highlight w:val="none"/>
                <w:lang w:val="en-US" w:eastAsia="zh-CN" w:bidi="ar"/>
              </w:rPr>
              <w:t>2.5858</w:t>
            </w:r>
            <w:r>
              <w:rPr>
                <w:rFonts w:hint="default" w:ascii="Times New Roman" w:hAnsi="Times New Roman" w:eastAsia="宋体" w:cs="Times New Roman"/>
                <w:color w:val="auto"/>
                <w:kern w:val="0"/>
                <w:sz w:val="24"/>
                <w:szCs w:val="24"/>
                <w:highlight w:val="none"/>
                <w:lang w:val="en-US" w:eastAsia="zh-CN" w:bidi="ar"/>
              </w:rPr>
              <w:t>t/a</w:t>
            </w:r>
            <w:r>
              <w:rPr>
                <w:rFonts w:hint="default" w:ascii="Times New Roman" w:hAnsi="Times New Roman" w:eastAsia="宋体" w:cs="Times New Roman"/>
                <w:caps w:val="0"/>
                <w:smallCaps w:val="0"/>
                <w:color w:val="auto"/>
                <w:sz w:val="24"/>
                <w:szCs w:val="20"/>
                <w:highlight w:val="none"/>
              </w:rPr>
              <w:t>，</w:t>
            </w:r>
            <w:r>
              <w:rPr>
                <w:rFonts w:hint="default" w:ascii="Times New Roman" w:hAnsi="Times New Roman" w:eastAsia="宋体" w:cs="Times New Roman"/>
                <w:caps w:val="0"/>
                <w:smallCaps w:val="0"/>
                <w:color w:val="auto"/>
                <w:sz w:val="24"/>
                <w:szCs w:val="20"/>
                <w:highlight w:val="none"/>
                <w:lang w:val="en-US" w:eastAsia="zh-CN"/>
              </w:rPr>
              <w:t>排放</w:t>
            </w:r>
            <w:r>
              <w:rPr>
                <w:rFonts w:hint="default" w:ascii="Times New Roman" w:hAnsi="Times New Roman" w:eastAsia="宋体" w:cs="Times New Roman"/>
                <w:caps w:val="0"/>
                <w:smallCaps w:val="0"/>
                <w:color w:val="auto"/>
                <w:sz w:val="24"/>
                <w:szCs w:val="20"/>
                <w:highlight w:val="none"/>
              </w:rPr>
              <w:t>速率</w:t>
            </w:r>
            <w:r>
              <w:rPr>
                <w:rFonts w:hint="eastAsia" w:cs="Times New Roman"/>
                <w:color w:val="auto"/>
                <w:kern w:val="0"/>
                <w:sz w:val="24"/>
                <w:szCs w:val="24"/>
                <w:highlight w:val="none"/>
                <w:lang w:val="en-US" w:eastAsia="zh-CN" w:bidi="ar"/>
              </w:rPr>
              <w:t>0.3591</w:t>
            </w:r>
            <w:r>
              <w:rPr>
                <w:rFonts w:hint="default" w:ascii="Times New Roman" w:hAnsi="Times New Roman" w:eastAsia="宋体" w:cs="Times New Roman"/>
                <w:color w:val="auto"/>
                <w:kern w:val="0"/>
                <w:sz w:val="24"/>
                <w:szCs w:val="24"/>
                <w:highlight w:val="none"/>
                <w:lang w:val="en-US" w:eastAsia="zh-CN" w:bidi="ar"/>
              </w:rPr>
              <w:t>kg/h</w:t>
            </w:r>
            <w:r>
              <w:rPr>
                <w:rFonts w:hint="default" w:ascii="Times New Roman" w:hAnsi="Times New Roman" w:eastAsia="宋体" w:cs="Times New Roman"/>
                <w:caps w:val="0"/>
                <w:smallCaps w:val="0"/>
                <w:color w:val="auto"/>
                <w:sz w:val="24"/>
                <w:szCs w:val="20"/>
                <w:highlight w:val="none"/>
              </w:rPr>
              <w:t>，</w:t>
            </w:r>
            <w:r>
              <w:rPr>
                <w:rFonts w:hint="eastAsia" w:ascii="Times New Roman" w:hAnsi="Times New Roman" w:eastAsia="宋体" w:cs="Times New Roman"/>
                <w:caps w:val="0"/>
                <w:smallCaps w:val="0"/>
                <w:color w:val="auto"/>
                <w:sz w:val="24"/>
                <w:szCs w:val="20"/>
                <w:highlight w:val="none"/>
                <w:lang w:val="en-US" w:eastAsia="zh-CN"/>
              </w:rPr>
              <w:t>排放</w:t>
            </w:r>
            <w:r>
              <w:rPr>
                <w:rFonts w:hint="default" w:ascii="Times New Roman" w:hAnsi="Times New Roman" w:eastAsia="宋体" w:cs="Times New Roman"/>
                <w:caps w:val="0"/>
                <w:smallCaps w:val="0"/>
                <w:color w:val="auto"/>
                <w:sz w:val="24"/>
                <w:szCs w:val="20"/>
                <w:highlight w:val="none"/>
              </w:rPr>
              <w:t>浓度为</w:t>
            </w:r>
            <w:r>
              <w:rPr>
                <w:rFonts w:hint="eastAsia" w:cs="Times New Roman"/>
                <w:color w:val="auto"/>
                <w:kern w:val="0"/>
                <w:sz w:val="24"/>
                <w:szCs w:val="24"/>
                <w:highlight w:val="none"/>
                <w:lang w:val="en-US" w:eastAsia="zh-CN" w:bidi="ar"/>
              </w:rPr>
              <w:t>14.9625</w:t>
            </w:r>
            <w:r>
              <w:rPr>
                <w:rFonts w:hint="default" w:ascii="Times New Roman" w:hAnsi="Times New Roman" w:eastAsia="宋体" w:cs="Times New Roman"/>
                <w:color w:val="auto"/>
                <w:kern w:val="0"/>
                <w:sz w:val="24"/>
                <w:szCs w:val="24"/>
                <w:highlight w:val="none"/>
                <w:lang w:val="en-US" w:eastAsia="zh-CN" w:bidi="ar"/>
              </w:rPr>
              <w:t>mg/m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aps w:val="0"/>
                <w:smallCaps w:val="0"/>
                <w:color w:val="auto"/>
                <w:sz w:val="24"/>
                <w:szCs w:val="20"/>
                <w:highlight w:val="none"/>
                <w:vertAlign w:val="baseline"/>
                <w:lang w:eastAsia="zh-CN"/>
              </w:rPr>
              <w:t>；</w:t>
            </w:r>
            <w:r>
              <w:rPr>
                <w:rFonts w:hint="default" w:ascii="Times New Roman" w:hAnsi="Times New Roman" w:eastAsia="宋体" w:cs="Times New Roman"/>
                <w:caps w:val="0"/>
                <w:smallCaps w:val="0"/>
                <w:color w:val="auto"/>
                <w:sz w:val="24"/>
                <w:szCs w:val="20"/>
                <w:highlight w:val="none"/>
              </w:rPr>
              <w:t>非甲烷总烃</w:t>
            </w:r>
            <w:r>
              <w:rPr>
                <w:rFonts w:hint="default" w:ascii="Times New Roman" w:hAnsi="Times New Roman" w:eastAsia="宋体" w:cs="Times New Roman"/>
                <w:caps w:val="0"/>
                <w:smallCaps w:val="0"/>
                <w:color w:val="auto"/>
                <w:sz w:val="24"/>
                <w:szCs w:val="20"/>
                <w:highlight w:val="none"/>
                <w:lang w:val="en-US" w:eastAsia="zh-CN"/>
              </w:rPr>
              <w:t>无组织</w:t>
            </w:r>
            <w:r>
              <w:rPr>
                <w:rFonts w:hint="default" w:ascii="Times New Roman" w:hAnsi="Times New Roman" w:eastAsia="宋体" w:cs="Times New Roman"/>
                <w:caps w:val="0"/>
                <w:smallCaps w:val="0"/>
                <w:color w:val="000000" w:themeColor="text1"/>
                <w:sz w:val="24"/>
                <w:szCs w:val="20"/>
                <w14:textFill>
                  <w14:solidFill>
                    <w14:schemeClr w14:val="tx1"/>
                  </w14:solidFill>
                </w14:textFill>
              </w:rPr>
              <w:t>排放量约为</w:t>
            </w:r>
            <w:r>
              <w:rPr>
                <w:rFonts w:hint="eastAsia" w:cs="Times New Roman"/>
                <w:color w:val="000000" w:themeColor="text1"/>
                <w:kern w:val="0"/>
                <w:sz w:val="24"/>
                <w:szCs w:val="24"/>
                <w:lang w:val="en-US" w:eastAsia="zh-CN" w:bidi="ar"/>
                <w14:textFill>
                  <w14:solidFill>
                    <w14:schemeClr w14:val="tx1"/>
                  </w14:solidFill>
                </w14:textFill>
              </w:rPr>
              <w:t>1.7591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default" w:ascii="Times New Roman" w:hAnsi="Times New Roman" w:eastAsia="宋体" w:cs="Times New Roman"/>
                <w:caps w:val="0"/>
                <w:smallCaps w:val="0"/>
                <w:color w:val="000000" w:themeColor="text1"/>
                <w:sz w:val="24"/>
                <w:szCs w:val="20"/>
                <w14:textFill>
                  <w14:solidFill>
                    <w14:schemeClr w14:val="tx1"/>
                  </w14:solidFill>
                </w14:textFill>
              </w:rPr>
              <w:t>，排放速率</w:t>
            </w:r>
            <w:r>
              <w:rPr>
                <w:rFonts w:hint="eastAsia" w:cs="Times New Roman"/>
                <w:color w:val="000000" w:themeColor="text1"/>
                <w:kern w:val="0"/>
                <w:sz w:val="24"/>
                <w:szCs w:val="24"/>
                <w:lang w:val="en-US" w:eastAsia="zh-CN" w:bidi="ar"/>
                <w14:textFill>
                  <w14:solidFill>
                    <w14:schemeClr w14:val="tx1"/>
                  </w14:solidFill>
                </w14:textFill>
              </w:rPr>
              <w:t>0.2443</w:t>
            </w:r>
            <w:r>
              <w:rPr>
                <w:rFonts w:hint="default" w:ascii="Times New Roman" w:hAnsi="Times New Roman" w:eastAsia="宋体" w:cs="Times New Roman"/>
                <w:color w:val="000000"/>
                <w:kern w:val="0"/>
                <w:sz w:val="24"/>
                <w:szCs w:val="24"/>
                <w:lang w:val="en-US" w:eastAsia="zh-CN" w:bidi="ar"/>
              </w:rPr>
              <w:t>kg/h</w:t>
            </w:r>
            <w:r>
              <w:rPr>
                <w:rFonts w:hint="default" w:ascii="Times New Roman" w:hAnsi="Times New Roman" w:eastAsia="宋体" w:cs="Times New Roman"/>
                <w:caps w:val="0"/>
                <w:smallCaps w:val="0"/>
                <w:color w:val="auto"/>
                <w:sz w:val="24"/>
                <w:szCs w:val="20"/>
              </w:rPr>
              <w:t>。</w:t>
            </w:r>
          </w:p>
          <w:p w14:paraId="3AE25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b/>
                <w:bCs/>
                <w:color w:val="auto"/>
                <w:sz w:val="24"/>
              </w:rPr>
              <w:t>（2）</w:t>
            </w:r>
            <w:r>
              <w:rPr>
                <w:rFonts w:hint="default" w:ascii="Times New Roman" w:hAnsi="Times New Roman" w:eastAsia="宋体" w:cs="Times New Roman"/>
                <w:b/>
                <w:bCs/>
                <w:color w:val="auto"/>
                <w:sz w:val="24"/>
                <w:lang w:val="en-US" w:eastAsia="zh-CN"/>
              </w:rPr>
              <w:t>异味</w:t>
            </w:r>
          </w:p>
          <w:p w14:paraId="20D54B0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aps w:val="0"/>
                <w:smallCaps w:val="0"/>
                <w:color w:val="auto"/>
                <w:sz w:val="24"/>
                <w:szCs w:val="20"/>
                <w:highlight w:val="none"/>
                <w:lang w:eastAsia="zh-CN"/>
              </w:rPr>
            </w:pP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sz w:val="24"/>
                <w:lang w:val="en-US" w:eastAsia="zh-CN"/>
              </w:rPr>
              <w:t>注塑</w:t>
            </w:r>
            <w:r>
              <w:rPr>
                <w:rFonts w:hint="default" w:ascii="Times New Roman" w:hAnsi="Times New Roman" w:eastAsia="宋体" w:cs="Times New Roman"/>
                <w:color w:val="auto"/>
                <w:sz w:val="24"/>
              </w:rPr>
              <w:t>工序除产生的有机废气外，还会伴有轻微异味产生，以臭气浓度表征</w:t>
            </w:r>
            <w:r>
              <w:rPr>
                <w:rFonts w:hint="eastAsia" w:cs="Times New Roman"/>
                <w:color w:val="auto"/>
                <w:sz w:val="24"/>
                <w:lang w:eastAsia="zh-CN"/>
              </w:rPr>
              <w:t>，</w:t>
            </w:r>
            <w:r>
              <w:rPr>
                <w:rFonts w:hint="eastAsia" w:ascii="Times New Roman" w:hAnsi="Times New Roman" w:eastAsia="宋体" w:cs="Times New Roman"/>
                <w:caps w:val="0"/>
                <w:smallCaps w:val="0"/>
                <w:color w:val="auto"/>
                <w:sz w:val="24"/>
                <w:szCs w:val="20"/>
              </w:rPr>
              <w:t>项目热熔注塑工序中大部分异味经集气罩收集后</w:t>
            </w:r>
            <w:r>
              <w:rPr>
                <w:rFonts w:hint="eastAsia" w:ascii="Times New Roman" w:hAnsi="Times New Roman" w:eastAsia="宋体" w:cs="Times New Roman"/>
                <w:caps w:val="0"/>
                <w:smallCaps w:val="0"/>
                <w:color w:val="auto"/>
                <w:sz w:val="24"/>
                <w:szCs w:val="20"/>
                <w:lang w:val="en-US" w:eastAsia="zh-CN"/>
              </w:rPr>
              <w:t>经</w:t>
            </w:r>
            <w:r>
              <w:rPr>
                <w:rFonts w:hint="eastAsia" w:ascii="Times New Roman" w:hAnsi="Times New Roman" w:eastAsia="宋体" w:cs="Times New Roman"/>
                <w:caps w:val="0"/>
                <w:smallCaps w:val="0"/>
                <w:color w:val="auto"/>
                <w:sz w:val="24"/>
                <w:szCs w:val="20"/>
              </w:rPr>
              <w:t>“三级活性炭吸附装置”处理后通过15m高排气筒（DA001）排放</w:t>
            </w:r>
            <w:r>
              <w:rPr>
                <w:rFonts w:hint="eastAsia" w:ascii="Times New Roman" w:hAnsi="Times New Roman" w:eastAsia="宋体" w:cs="Times New Roman"/>
                <w:caps w:val="0"/>
                <w:smallCaps w:val="0"/>
                <w:color w:val="auto"/>
                <w:sz w:val="24"/>
                <w:szCs w:val="20"/>
                <w:lang w:eastAsia="zh-CN"/>
              </w:rPr>
              <w:t>，</w:t>
            </w:r>
            <w:r>
              <w:rPr>
                <w:rFonts w:hint="eastAsia" w:ascii="Times New Roman" w:hAnsi="Times New Roman" w:eastAsia="宋体" w:cs="Times New Roman"/>
                <w:caps w:val="0"/>
                <w:smallCaps w:val="0"/>
                <w:color w:val="auto"/>
                <w:sz w:val="24"/>
                <w:szCs w:val="20"/>
              </w:rPr>
              <w:t>“三级活性炭吸附装置”</w:t>
            </w:r>
            <w:r>
              <w:rPr>
                <w:rFonts w:hint="eastAsia" w:ascii="Times New Roman" w:hAnsi="Times New Roman" w:eastAsia="宋体" w:cs="Times New Roman"/>
                <w:caps w:val="0"/>
                <w:smallCaps w:val="0"/>
                <w:color w:val="auto"/>
                <w:sz w:val="24"/>
                <w:szCs w:val="20"/>
                <w:lang w:val="en-US" w:eastAsia="zh-CN"/>
              </w:rPr>
              <w:t>对臭</w:t>
            </w:r>
            <w:r>
              <w:rPr>
                <w:rFonts w:hint="eastAsia" w:ascii="Times New Roman" w:hAnsi="Times New Roman" w:eastAsia="宋体" w:cs="Times New Roman"/>
                <w:caps w:val="0"/>
                <w:smallCaps w:val="0"/>
                <w:color w:val="auto"/>
                <w:sz w:val="24"/>
                <w:szCs w:val="20"/>
                <w:highlight w:val="none"/>
                <w:lang w:val="en-US" w:eastAsia="zh-CN"/>
              </w:rPr>
              <w:t>气浓度</w:t>
            </w:r>
            <w:r>
              <w:rPr>
                <w:rFonts w:hint="default" w:ascii="Times New Roman" w:hAnsi="Times New Roman" w:eastAsia="宋体" w:cs="Times New Roman"/>
                <w:caps w:val="0"/>
                <w:smallCaps w:val="0"/>
                <w:color w:val="auto"/>
                <w:sz w:val="24"/>
                <w:szCs w:val="20"/>
                <w:highlight w:val="none"/>
              </w:rPr>
              <w:t>去除效率</w:t>
            </w:r>
            <w:r>
              <w:rPr>
                <w:rFonts w:hint="eastAsia" w:ascii="Times New Roman" w:hAnsi="Times New Roman" w:eastAsia="宋体" w:cs="Times New Roman"/>
                <w:caps w:val="0"/>
                <w:smallCaps w:val="0"/>
                <w:color w:val="auto"/>
                <w:sz w:val="24"/>
                <w:szCs w:val="20"/>
                <w:highlight w:val="none"/>
                <w:lang w:val="en-US" w:eastAsia="zh-CN"/>
              </w:rPr>
              <w:t>按51</w:t>
            </w:r>
            <w:r>
              <w:rPr>
                <w:rFonts w:hint="default" w:ascii="Times New Roman" w:hAnsi="Times New Roman" w:eastAsia="宋体" w:cs="Times New Roman"/>
                <w:caps w:val="0"/>
                <w:smallCaps w:val="0"/>
                <w:color w:val="auto"/>
                <w:sz w:val="24"/>
                <w:szCs w:val="20"/>
                <w:highlight w:val="none"/>
              </w:rPr>
              <w:t>%</w:t>
            </w:r>
            <w:r>
              <w:rPr>
                <w:rFonts w:hint="eastAsia" w:ascii="Times New Roman" w:hAnsi="Times New Roman" w:eastAsia="宋体" w:cs="Times New Roman"/>
                <w:caps w:val="0"/>
                <w:smallCaps w:val="0"/>
                <w:color w:val="auto"/>
                <w:sz w:val="24"/>
                <w:szCs w:val="20"/>
                <w:highlight w:val="none"/>
                <w:lang w:val="en-US" w:eastAsia="zh-CN"/>
              </w:rPr>
              <w:t>计</w:t>
            </w:r>
            <w:r>
              <w:rPr>
                <w:rFonts w:hint="default" w:ascii="Times New Roman" w:hAnsi="Times New Roman" w:eastAsia="宋体" w:cs="Times New Roman"/>
                <w:caps w:val="0"/>
                <w:smallCaps w:val="0"/>
                <w:color w:val="auto"/>
                <w:sz w:val="24"/>
                <w:szCs w:val="20"/>
                <w:highlight w:val="none"/>
                <w:lang w:eastAsia="zh-CN"/>
              </w:rPr>
              <w:t>。</w:t>
            </w:r>
          </w:p>
          <w:p w14:paraId="0E6A44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本次评价类比</w:t>
            </w:r>
            <w:r>
              <w:rPr>
                <w:rFonts w:hint="eastAsia" w:ascii="Times New Roman" w:hAnsi="Times New Roman" w:eastAsia="宋体" w:cs="Times New Roman"/>
                <w:caps w:val="0"/>
                <w:smallCaps w:val="0"/>
                <w:color w:val="auto"/>
                <w:sz w:val="24"/>
                <w:szCs w:val="20"/>
                <w:highlight w:val="none"/>
                <w:lang w:val="en-US" w:eastAsia="zh-CN"/>
              </w:rPr>
              <w:t>《</w:t>
            </w:r>
            <w:r>
              <w:rPr>
                <w:rFonts w:hint="default" w:ascii="Times New Roman" w:hAnsi="Times New Roman" w:eastAsia="宋体" w:cs="Times New Roman"/>
                <w:color w:val="auto"/>
                <w:sz w:val="24"/>
              </w:rPr>
              <w:t>寻甸县蜀滇塑料制品经营部蔬菜框生产项目</w:t>
            </w:r>
            <w:r>
              <w:rPr>
                <w:rFonts w:hint="eastAsia" w:ascii="Times New Roman" w:hAnsi="Times New Roman" w:eastAsia="宋体" w:cs="Times New Roman"/>
                <w:caps w:val="0"/>
                <w:smallCaps w:val="0"/>
                <w:color w:val="auto"/>
                <w:sz w:val="24"/>
                <w:szCs w:val="20"/>
                <w:highlight w:val="none"/>
              </w:rPr>
              <w:t>竣工环境保护验收监测报告</w:t>
            </w:r>
            <w:r>
              <w:rPr>
                <w:rFonts w:hint="eastAsia" w:ascii="Times New Roman" w:hAnsi="Times New Roman" w:eastAsia="宋体" w:cs="Times New Roman"/>
                <w:caps w:val="0"/>
                <w:smallCaps w:val="0"/>
                <w:color w:val="auto"/>
                <w:sz w:val="24"/>
                <w:szCs w:val="20"/>
                <w:highlight w:val="none"/>
                <w:lang w:val="en-US" w:eastAsia="zh-CN"/>
              </w:rPr>
              <w:t>》实测数据</w:t>
            </w:r>
            <w:r>
              <w:rPr>
                <w:rFonts w:hint="default" w:ascii="Times New Roman" w:hAnsi="Times New Roman" w:eastAsia="宋体" w:cs="Times New Roman"/>
                <w:color w:val="auto"/>
                <w:sz w:val="24"/>
              </w:rPr>
              <w:t>对本项目挤出废气有组织、无组织排放的臭气浓度进行评价，</w:t>
            </w:r>
            <w:r>
              <w:rPr>
                <w:rFonts w:hint="eastAsia" w:ascii="Times New Roman" w:hAnsi="Times New Roman" w:eastAsia="宋体" w:cs="Times New Roman"/>
                <w:caps w:val="0"/>
                <w:smallCaps w:val="0"/>
                <w:color w:val="auto"/>
                <w:sz w:val="24"/>
                <w:szCs w:val="20"/>
                <w:highlight w:val="none"/>
              </w:rPr>
              <w:t>该验收报告已通过验收。</w:t>
            </w:r>
            <w:r>
              <w:rPr>
                <w:rFonts w:hint="default" w:ascii="Times New Roman" w:hAnsi="Times New Roman" w:eastAsia="宋体" w:cs="Times New Roman"/>
                <w:color w:val="auto"/>
                <w:sz w:val="24"/>
              </w:rPr>
              <w:t>类比项目与本项目原辅料、生产工艺及污染治理设施对比见下表。</w:t>
            </w:r>
          </w:p>
          <w:p w14:paraId="49F9FF2C">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表4-</w:t>
            </w:r>
            <w:r>
              <w:rPr>
                <w:rFonts w:hint="default" w:ascii="Times New Roman" w:hAnsi="Times New Roman" w:eastAsia="宋体" w:cs="Times New Roman"/>
                <w:b/>
                <w:bCs/>
                <w:color w:val="auto"/>
                <w:lang w:val="en-US" w:eastAsia="zh-CN"/>
              </w:rPr>
              <w:t>3</w:t>
            </w:r>
            <w:r>
              <w:rPr>
                <w:rFonts w:hint="default" w:ascii="Times New Roman" w:hAnsi="Times New Roman" w:eastAsia="宋体" w:cs="Times New Roman"/>
                <w:b/>
                <w:bCs/>
                <w:color w:val="auto"/>
              </w:rPr>
              <w:t xml:space="preserve">  类比项目与本项目对照</w:t>
            </w:r>
            <w:r>
              <w:rPr>
                <w:rFonts w:hint="eastAsia" w:cs="Times New Roman"/>
                <w:b/>
                <w:bCs/>
                <w:color w:val="auto"/>
                <w:lang w:val="en-US" w:eastAsia="zh-CN"/>
              </w:rPr>
              <w:t>一览</w:t>
            </w:r>
            <w:r>
              <w:rPr>
                <w:rFonts w:hint="default" w:ascii="Times New Roman" w:hAnsi="Times New Roman" w:eastAsia="宋体" w:cs="Times New Roman"/>
                <w:b/>
                <w:bCs/>
                <w:color w:val="auto"/>
              </w:rPr>
              <w:t>表</w:t>
            </w:r>
          </w:p>
          <w:tbl>
            <w:tblPr>
              <w:tblStyle w:val="37"/>
              <w:tblW w:w="8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2462"/>
              <w:gridCol w:w="2462"/>
              <w:gridCol w:w="2464"/>
            </w:tblGrid>
            <w:tr w14:paraId="34C2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1" w:type="dxa"/>
                  <w:noWrap w:val="0"/>
                  <w:tcMar>
                    <w:top w:w="0" w:type="dxa"/>
                    <w:left w:w="57" w:type="dxa"/>
                    <w:bottom w:w="0" w:type="dxa"/>
                    <w:right w:w="57" w:type="dxa"/>
                  </w:tcMar>
                  <w:vAlign w:val="center"/>
                </w:tcPr>
                <w:p w14:paraId="3ADAF4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w:t>
                  </w:r>
                </w:p>
              </w:tc>
              <w:tc>
                <w:tcPr>
                  <w:tcW w:w="2462" w:type="dxa"/>
                  <w:noWrap w:val="0"/>
                  <w:tcMar>
                    <w:top w:w="0" w:type="dxa"/>
                    <w:left w:w="57" w:type="dxa"/>
                    <w:bottom w:w="0" w:type="dxa"/>
                    <w:right w:w="57" w:type="dxa"/>
                  </w:tcMar>
                  <w:vAlign w:val="center"/>
                </w:tcPr>
                <w:p w14:paraId="5D33F70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类比项目</w:t>
                  </w:r>
                </w:p>
              </w:tc>
              <w:tc>
                <w:tcPr>
                  <w:tcW w:w="2462" w:type="dxa"/>
                  <w:noWrap w:val="0"/>
                  <w:tcMar>
                    <w:top w:w="0" w:type="dxa"/>
                    <w:left w:w="57" w:type="dxa"/>
                    <w:bottom w:w="0" w:type="dxa"/>
                    <w:right w:w="57" w:type="dxa"/>
                  </w:tcMar>
                  <w:vAlign w:val="center"/>
                </w:tcPr>
                <w:p w14:paraId="24A96D9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w:t>
                  </w:r>
                </w:p>
              </w:tc>
              <w:tc>
                <w:tcPr>
                  <w:tcW w:w="2464" w:type="dxa"/>
                  <w:noWrap w:val="0"/>
                  <w:tcMar>
                    <w:top w:w="0" w:type="dxa"/>
                    <w:left w:w="57" w:type="dxa"/>
                    <w:bottom w:w="0" w:type="dxa"/>
                    <w:right w:w="57" w:type="dxa"/>
                  </w:tcMar>
                  <w:vAlign w:val="center"/>
                </w:tcPr>
                <w:p w14:paraId="32FD10E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备注</w:t>
                  </w:r>
                </w:p>
              </w:tc>
            </w:tr>
            <w:tr w14:paraId="3404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1" w:type="dxa"/>
                  <w:noWrap w:val="0"/>
                  <w:tcMar>
                    <w:top w:w="0" w:type="dxa"/>
                    <w:left w:w="57" w:type="dxa"/>
                    <w:bottom w:w="0" w:type="dxa"/>
                    <w:right w:w="57" w:type="dxa"/>
                  </w:tcMar>
                  <w:vAlign w:val="center"/>
                </w:tcPr>
                <w:p w14:paraId="6B64DF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主要相关生产工艺</w:t>
                  </w:r>
                </w:p>
              </w:tc>
              <w:tc>
                <w:tcPr>
                  <w:tcW w:w="2462" w:type="dxa"/>
                  <w:noWrap w:val="0"/>
                  <w:tcMar>
                    <w:top w:w="0" w:type="dxa"/>
                    <w:left w:w="57" w:type="dxa"/>
                    <w:bottom w:w="0" w:type="dxa"/>
                    <w:right w:w="57" w:type="dxa"/>
                  </w:tcMar>
                  <w:vAlign w:val="center"/>
                </w:tcPr>
                <w:p w14:paraId="5DD283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塑料颗粒→</w:t>
                  </w:r>
                  <w:r>
                    <w:rPr>
                      <w:rFonts w:hint="default" w:ascii="Times New Roman" w:hAnsi="Times New Roman" w:eastAsia="宋体" w:cs="Times New Roman"/>
                      <w:color w:val="auto"/>
                      <w:sz w:val="21"/>
                      <w:szCs w:val="21"/>
                    </w:rPr>
                    <w:t>注塑</w:t>
                  </w:r>
                  <w:r>
                    <w:rPr>
                      <w:rFonts w:hint="default" w:ascii="Times New Roman" w:hAnsi="Times New Roman" w:eastAsia="宋体" w:cs="Times New Roman"/>
                      <w:color w:val="auto"/>
                      <w:sz w:val="21"/>
                      <w:szCs w:val="21"/>
                      <w:lang w:val="en-US" w:eastAsia="zh-CN"/>
                    </w:rPr>
                    <w:t>成型</w:t>
                  </w:r>
                  <w:r>
                    <w:rPr>
                      <w:rFonts w:hint="default" w:ascii="Times New Roman" w:hAnsi="Times New Roman" w:eastAsia="宋体" w:cs="Times New Roman"/>
                      <w:color w:val="auto"/>
                      <w:sz w:val="21"/>
                      <w:szCs w:val="21"/>
                    </w:rPr>
                    <w:t>→冷却</w:t>
                  </w:r>
                  <w:r>
                    <w:rPr>
                      <w:rFonts w:hint="default" w:ascii="Times New Roman" w:hAnsi="Times New Roman" w:eastAsia="宋体" w:cs="Times New Roman"/>
                      <w:color w:val="auto"/>
                      <w:sz w:val="21"/>
                      <w:szCs w:val="21"/>
                      <w:lang w:val="en-US" w:eastAsia="zh-CN"/>
                    </w:rPr>
                    <w:t>定型→检验→塑料制品</w:t>
                  </w:r>
                </w:p>
              </w:tc>
              <w:tc>
                <w:tcPr>
                  <w:tcW w:w="2462" w:type="dxa"/>
                  <w:noWrap w:val="0"/>
                  <w:tcMar>
                    <w:top w:w="0" w:type="dxa"/>
                    <w:left w:w="57" w:type="dxa"/>
                    <w:bottom w:w="0" w:type="dxa"/>
                    <w:right w:w="57" w:type="dxa"/>
                  </w:tcMar>
                  <w:vAlign w:val="center"/>
                </w:tcPr>
                <w:p w14:paraId="21449B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塑料粒→拌料→</w:t>
                  </w:r>
                  <w:r>
                    <w:rPr>
                      <w:rFonts w:hint="default" w:ascii="Times New Roman" w:hAnsi="Times New Roman" w:eastAsia="宋体" w:cs="Times New Roman"/>
                      <w:color w:val="auto"/>
                      <w:sz w:val="21"/>
                      <w:szCs w:val="21"/>
                    </w:rPr>
                    <w:t>上料</w:t>
                  </w:r>
                  <w:r>
                    <w:rPr>
                      <w:rFonts w:hint="default" w:ascii="Times New Roman" w:hAnsi="Times New Roman" w:eastAsia="宋体" w:cs="Times New Roman"/>
                      <w:color w:val="auto"/>
                      <w:sz w:val="21"/>
                      <w:szCs w:val="21"/>
                      <w:lang w:val="en-US" w:eastAsia="zh-CN"/>
                    </w:rPr>
                    <w:t>→热熔→注塑成型→冷却定型→开模取件→</w:t>
                  </w:r>
                  <w:r>
                    <w:rPr>
                      <w:rFonts w:hint="default" w:ascii="Times New Roman" w:hAnsi="Times New Roman" w:eastAsia="宋体" w:cs="Times New Roman"/>
                      <w:color w:val="auto"/>
                      <w:sz w:val="21"/>
                      <w:szCs w:val="21"/>
                    </w:rPr>
                    <w:t>检验</w:t>
                  </w:r>
                  <w:r>
                    <w:rPr>
                      <w:rFonts w:hint="default" w:ascii="Times New Roman" w:hAnsi="Times New Roman" w:eastAsia="宋体" w:cs="Times New Roman"/>
                      <w:color w:val="auto"/>
                      <w:sz w:val="21"/>
                      <w:szCs w:val="21"/>
                      <w:lang w:val="en-US" w:eastAsia="zh-CN"/>
                    </w:rPr>
                    <w:t>→成品</w:t>
                  </w:r>
                  <w:r>
                    <w:rPr>
                      <w:rFonts w:hint="default" w:ascii="Times New Roman" w:hAnsi="Times New Roman" w:eastAsia="宋体" w:cs="Times New Roman"/>
                      <w:color w:val="auto"/>
                      <w:sz w:val="21"/>
                      <w:szCs w:val="21"/>
                    </w:rPr>
                    <w:t>入库</w:t>
                  </w:r>
                </w:p>
              </w:tc>
              <w:tc>
                <w:tcPr>
                  <w:tcW w:w="2464" w:type="dxa"/>
                  <w:noWrap w:val="0"/>
                  <w:tcMar>
                    <w:top w:w="0" w:type="dxa"/>
                    <w:left w:w="57" w:type="dxa"/>
                    <w:bottom w:w="0" w:type="dxa"/>
                    <w:right w:w="57" w:type="dxa"/>
                  </w:tcMar>
                  <w:vAlign w:val="center"/>
                </w:tcPr>
                <w:p w14:paraId="33F9A8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生产工艺均为合成树脂原料加热熔融、成型、冷却等，工艺相近，类比基本可行。</w:t>
                  </w:r>
                </w:p>
              </w:tc>
            </w:tr>
            <w:tr w14:paraId="14BE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1" w:type="dxa"/>
                  <w:noWrap w:val="0"/>
                  <w:tcMar>
                    <w:top w:w="0" w:type="dxa"/>
                    <w:left w:w="57" w:type="dxa"/>
                    <w:bottom w:w="0" w:type="dxa"/>
                    <w:right w:w="57" w:type="dxa"/>
                  </w:tcMar>
                  <w:vAlign w:val="center"/>
                </w:tcPr>
                <w:p w14:paraId="73D340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主要原辅料</w:t>
                  </w:r>
                </w:p>
              </w:tc>
              <w:tc>
                <w:tcPr>
                  <w:tcW w:w="2462" w:type="dxa"/>
                  <w:noWrap w:val="0"/>
                  <w:tcMar>
                    <w:top w:w="0" w:type="dxa"/>
                    <w:left w:w="57" w:type="dxa"/>
                    <w:bottom w:w="0" w:type="dxa"/>
                    <w:right w:w="57" w:type="dxa"/>
                  </w:tcMar>
                  <w:vAlign w:val="center"/>
                </w:tcPr>
                <w:p w14:paraId="4DF8E4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PP新料</w:t>
                  </w:r>
                  <w:r>
                    <w:rPr>
                      <w:rFonts w:hint="eastAsia" w:cs="Times New Roman"/>
                      <w:color w:val="auto"/>
                      <w:sz w:val="21"/>
                      <w:szCs w:val="21"/>
                      <w:lang w:eastAsia="zh-CN"/>
                    </w:rPr>
                    <w:t>、</w:t>
                  </w:r>
                  <w:r>
                    <w:rPr>
                      <w:rFonts w:hint="eastAsia" w:cs="Times New Roman"/>
                      <w:color w:val="auto"/>
                      <w:sz w:val="21"/>
                      <w:szCs w:val="21"/>
                      <w:lang w:val="en-US" w:eastAsia="zh-CN"/>
                    </w:rPr>
                    <w:t>再生料</w:t>
                  </w:r>
                </w:p>
              </w:tc>
              <w:tc>
                <w:tcPr>
                  <w:tcW w:w="2462" w:type="dxa"/>
                  <w:noWrap w:val="0"/>
                  <w:tcMar>
                    <w:top w:w="0" w:type="dxa"/>
                    <w:left w:w="57" w:type="dxa"/>
                    <w:bottom w:w="0" w:type="dxa"/>
                    <w:right w:w="57" w:type="dxa"/>
                  </w:tcMar>
                  <w:vAlign w:val="center"/>
                </w:tcPr>
                <w:p w14:paraId="178D1F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pp</w:t>
                  </w:r>
                  <w:r>
                    <w:rPr>
                      <w:rFonts w:hint="eastAsia" w:cs="Times New Roman"/>
                      <w:color w:val="auto"/>
                      <w:sz w:val="21"/>
                      <w:szCs w:val="21"/>
                      <w:lang w:val="en-US" w:eastAsia="zh-CN"/>
                    </w:rPr>
                    <w:t>新料（</w:t>
                  </w:r>
                  <w:r>
                    <w:rPr>
                      <w:rFonts w:hint="default" w:ascii="Times New Roman" w:hAnsi="Times New Roman" w:eastAsia="宋体" w:cs="Times New Roman"/>
                      <w:color w:val="auto"/>
                      <w:sz w:val="21"/>
                      <w:szCs w:val="21"/>
                      <w:lang w:val="en-US" w:eastAsia="zh-CN"/>
                    </w:rPr>
                    <w:t>母料、颗粒料）</w:t>
                  </w:r>
                </w:p>
              </w:tc>
              <w:tc>
                <w:tcPr>
                  <w:tcW w:w="2464" w:type="dxa"/>
                  <w:noWrap w:val="0"/>
                  <w:tcMar>
                    <w:top w:w="0" w:type="dxa"/>
                    <w:left w:w="57" w:type="dxa"/>
                    <w:bottom w:w="0" w:type="dxa"/>
                    <w:right w:w="57" w:type="dxa"/>
                  </w:tcMar>
                  <w:vAlign w:val="center"/>
                </w:tcPr>
                <w:p w14:paraId="75A2A0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类比项目原料</w:t>
                  </w:r>
                  <w:r>
                    <w:rPr>
                      <w:rFonts w:hint="default" w:ascii="Times New Roman" w:hAnsi="Times New Roman" w:eastAsia="宋体" w:cs="Times New Roman"/>
                      <w:color w:val="auto"/>
                      <w:sz w:val="21"/>
                      <w:szCs w:val="21"/>
                      <w:lang w:val="en-US" w:eastAsia="zh-CN"/>
                    </w:rPr>
                    <w:t>基本上</w:t>
                  </w:r>
                  <w:r>
                    <w:rPr>
                      <w:rFonts w:hint="default" w:ascii="Times New Roman" w:hAnsi="Times New Roman" w:eastAsia="宋体" w:cs="Times New Roman"/>
                      <w:color w:val="auto"/>
                      <w:sz w:val="21"/>
                      <w:szCs w:val="21"/>
                    </w:rPr>
                    <w:t>与本项目相同，类比基本可行。</w:t>
                  </w:r>
                </w:p>
              </w:tc>
            </w:tr>
            <w:tr w14:paraId="0F49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1" w:type="dxa"/>
                  <w:noWrap w:val="0"/>
                  <w:tcMar>
                    <w:top w:w="0" w:type="dxa"/>
                    <w:left w:w="57" w:type="dxa"/>
                    <w:bottom w:w="0" w:type="dxa"/>
                    <w:right w:w="57" w:type="dxa"/>
                  </w:tcMar>
                  <w:vAlign w:val="center"/>
                </w:tcPr>
                <w:p w14:paraId="31C8F3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产品规模</w:t>
                  </w:r>
                </w:p>
              </w:tc>
              <w:tc>
                <w:tcPr>
                  <w:tcW w:w="2462" w:type="dxa"/>
                  <w:noWrap w:val="0"/>
                  <w:tcMar>
                    <w:top w:w="0" w:type="dxa"/>
                    <w:left w:w="57" w:type="dxa"/>
                    <w:bottom w:w="0" w:type="dxa"/>
                    <w:right w:w="57" w:type="dxa"/>
                  </w:tcMar>
                  <w:vAlign w:val="center"/>
                </w:tcPr>
                <w:p w14:paraId="5D7E95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1250</w:t>
                  </w:r>
                  <w:r>
                    <w:rPr>
                      <w:rFonts w:hint="default" w:ascii="Times New Roman" w:hAnsi="Times New Roman" w:eastAsia="宋体" w:cs="Times New Roman"/>
                      <w:color w:val="auto"/>
                      <w:sz w:val="21"/>
                      <w:szCs w:val="21"/>
                      <w:lang w:val="en-US" w:eastAsia="zh-CN"/>
                    </w:rPr>
                    <w:t>t/a塑料胶框</w:t>
                  </w:r>
                  <w:r>
                    <w:rPr>
                      <w:rFonts w:hint="eastAsia" w:cs="Times New Roman"/>
                      <w:color w:val="auto"/>
                      <w:sz w:val="21"/>
                      <w:szCs w:val="21"/>
                      <w:lang w:val="en-US" w:eastAsia="zh-CN"/>
                    </w:rPr>
                    <w:t>（0.58t/h）</w:t>
                  </w:r>
                </w:p>
              </w:tc>
              <w:tc>
                <w:tcPr>
                  <w:tcW w:w="2462" w:type="dxa"/>
                  <w:noWrap w:val="0"/>
                  <w:tcMar>
                    <w:top w:w="0" w:type="dxa"/>
                    <w:left w:w="57" w:type="dxa"/>
                    <w:bottom w:w="0" w:type="dxa"/>
                    <w:right w:w="57" w:type="dxa"/>
                  </w:tcMar>
                  <w:vAlign w:val="center"/>
                </w:tcPr>
                <w:p w14:paraId="7A6C01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2606</w:t>
                  </w:r>
                  <w:r>
                    <w:rPr>
                      <w:rFonts w:hint="default" w:ascii="Times New Roman" w:hAnsi="Times New Roman" w:eastAsia="宋体" w:cs="Times New Roman"/>
                      <w:color w:val="auto"/>
                      <w:sz w:val="21"/>
                      <w:szCs w:val="21"/>
                      <w:highlight w:val="none"/>
                      <w:lang w:val="en-US" w:eastAsia="zh-CN"/>
                    </w:rPr>
                    <w:t>t/a塑料框</w:t>
                  </w:r>
                  <w:r>
                    <w:rPr>
                      <w:rFonts w:hint="eastAsia" w:cs="Times New Roman"/>
                      <w:color w:val="auto"/>
                      <w:sz w:val="21"/>
                      <w:szCs w:val="21"/>
                      <w:highlight w:val="none"/>
                      <w:lang w:val="en-US" w:eastAsia="zh-CN"/>
                    </w:rPr>
                    <w:t>（0.36t/h）</w:t>
                  </w:r>
                </w:p>
              </w:tc>
              <w:tc>
                <w:tcPr>
                  <w:tcW w:w="2464" w:type="dxa"/>
                  <w:noWrap w:val="0"/>
                  <w:tcMar>
                    <w:top w:w="0" w:type="dxa"/>
                    <w:left w:w="57" w:type="dxa"/>
                    <w:bottom w:w="0" w:type="dxa"/>
                    <w:right w:w="57" w:type="dxa"/>
                  </w:tcMar>
                  <w:vAlign w:val="center"/>
                </w:tcPr>
                <w:p w14:paraId="1D4617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与类比项目小时产品</w:t>
                  </w:r>
                  <w:r>
                    <w:rPr>
                      <w:rFonts w:hint="default" w:ascii="Times New Roman" w:hAnsi="Times New Roman" w:eastAsia="宋体" w:cs="Times New Roman"/>
                      <w:color w:val="auto"/>
                      <w:sz w:val="21"/>
                      <w:szCs w:val="21"/>
                      <w:highlight w:val="none"/>
                      <w:lang w:val="en-US" w:eastAsia="zh-CN"/>
                    </w:rPr>
                    <w:t>规模规模相差不大，</w:t>
                  </w:r>
                  <w:r>
                    <w:rPr>
                      <w:rFonts w:hint="default" w:ascii="Times New Roman" w:hAnsi="Times New Roman" w:eastAsia="宋体" w:cs="Times New Roman"/>
                      <w:color w:val="auto"/>
                      <w:sz w:val="21"/>
                      <w:szCs w:val="21"/>
                      <w:highlight w:val="none"/>
                    </w:rPr>
                    <w:t>类比基本可行。</w:t>
                  </w:r>
                </w:p>
              </w:tc>
            </w:tr>
            <w:tr w14:paraId="36F8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1" w:type="dxa"/>
                  <w:noWrap w:val="0"/>
                  <w:tcMar>
                    <w:top w:w="0" w:type="dxa"/>
                    <w:left w:w="57" w:type="dxa"/>
                    <w:bottom w:w="0" w:type="dxa"/>
                    <w:right w:w="57" w:type="dxa"/>
                  </w:tcMar>
                  <w:vAlign w:val="center"/>
                </w:tcPr>
                <w:p w14:paraId="660DC67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挥发性有机物</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异味</w:t>
                  </w:r>
                  <w:r>
                    <w:rPr>
                      <w:rFonts w:hint="default" w:ascii="Times New Roman" w:hAnsi="Times New Roman" w:eastAsia="宋体" w:cs="Times New Roman"/>
                      <w:sz w:val="21"/>
                      <w:szCs w:val="21"/>
                    </w:rPr>
                    <w:t>产生节点</w:t>
                  </w:r>
                </w:p>
              </w:tc>
              <w:tc>
                <w:tcPr>
                  <w:tcW w:w="2462" w:type="dxa"/>
                  <w:noWrap w:val="0"/>
                  <w:tcMar>
                    <w:top w:w="0" w:type="dxa"/>
                    <w:left w:w="57" w:type="dxa"/>
                    <w:bottom w:w="0" w:type="dxa"/>
                    <w:right w:w="57" w:type="dxa"/>
                  </w:tcMar>
                  <w:vAlign w:val="center"/>
                </w:tcPr>
                <w:p w14:paraId="43E98DD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注塑</w:t>
                  </w:r>
                  <w:r>
                    <w:rPr>
                      <w:rFonts w:hint="default" w:ascii="Times New Roman" w:hAnsi="Times New Roman" w:eastAsia="宋体" w:cs="Times New Roman"/>
                      <w:sz w:val="21"/>
                      <w:szCs w:val="21"/>
                      <w:lang w:val="en-US" w:eastAsia="zh-CN"/>
                    </w:rPr>
                    <w:t>成型</w:t>
                  </w:r>
                </w:p>
              </w:tc>
              <w:tc>
                <w:tcPr>
                  <w:tcW w:w="2462" w:type="dxa"/>
                  <w:noWrap w:val="0"/>
                  <w:tcMar>
                    <w:top w:w="0" w:type="dxa"/>
                    <w:left w:w="57" w:type="dxa"/>
                    <w:bottom w:w="0" w:type="dxa"/>
                    <w:right w:w="57" w:type="dxa"/>
                  </w:tcMar>
                  <w:vAlign w:val="center"/>
                </w:tcPr>
                <w:p w14:paraId="3B1D72E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lang w:val="en-US" w:eastAsia="zh-CN"/>
                    </w:rPr>
                    <w:t>注塑成型</w:t>
                  </w:r>
                </w:p>
              </w:tc>
              <w:tc>
                <w:tcPr>
                  <w:tcW w:w="2464" w:type="dxa"/>
                  <w:noWrap w:val="0"/>
                  <w:tcMar>
                    <w:top w:w="0" w:type="dxa"/>
                    <w:left w:w="57" w:type="dxa"/>
                    <w:bottom w:w="0" w:type="dxa"/>
                    <w:right w:w="57" w:type="dxa"/>
                  </w:tcMar>
                  <w:vAlign w:val="center"/>
                </w:tcPr>
                <w:p w14:paraId="1117424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挥发性有机物</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异味</w:t>
                  </w:r>
                  <w:r>
                    <w:rPr>
                      <w:rFonts w:hint="default" w:ascii="Times New Roman" w:hAnsi="Times New Roman" w:eastAsia="宋体" w:cs="Times New Roman"/>
                      <w:sz w:val="21"/>
                      <w:szCs w:val="21"/>
                    </w:rPr>
                    <w:t>产</w:t>
                  </w:r>
                  <w:r>
                    <w:rPr>
                      <w:rFonts w:hint="default" w:ascii="Times New Roman" w:hAnsi="Times New Roman" w:eastAsia="宋体" w:cs="Times New Roman"/>
                      <w:sz w:val="21"/>
                      <w:szCs w:val="21"/>
                      <w:lang w:val="en-US" w:eastAsia="zh-CN"/>
                    </w:rPr>
                    <w:t>污</w:t>
                  </w:r>
                  <w:r>
                    <w:rPr>
                      <w:rFonts w:hint="default" w:ascii="Times New Roman" w:hAnsi="Times New Roman" w:eastAsia="宋体" w:cs="Times New Roman"/>
                      <w:sz w:val="21"/>
                      <w:szCs w:val="21"/>
                    </w:rPr>
                    <w:t>节点均为合成树脂原料加热</w:t>
                  </w:r>
                  <w:r>
                    <w:rPr>
                      <w:rFonts w:hint="default" w:ascii="Times New Roman" w:hAnsi="Times New Roman" w:eastAsia="宋体" w:cs="Times New Roman"/>
                      <w:sz w:val="21"/>
                      <w:szCs w:val="21"/>
                      <w:lang w:val="en-US" w:eastAsia="zh-CN"/>
                    </w:rPr>
                    <w:t>注塑</w:t>
                  </w:r>
                  <w:r>
                    <w:rPr>
                      <w:rFonts w:hint="default" w:ascii="Times New Roman" w:hAnsi="Times New Roman" w:eastAsia="宋体" w:cs="Times New Roman"/>
                      <w:sz w:val="21"/>
                      <w:szCs w:val="21"/>
                    </w:rPr>
                    <w:t>工序，类比基本可行。</w:t>
                  </w:r>
                </w:p>
              </w:tc>
            </w:tr>
            <w:tr w14:paraId="1B5F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81" w:type="dxa"/>
                  <w:noWrap w:val="0"/>
                  <w:tcMar>
                    <w:top w:w="0" w:type="dxa"/>
                    <w:left w:w="57" w:type="dxa"/>
                    <w:bottom w:w="0" w:type="dxa"/>
                    <w:right w:w="57" w:type="dxa"/>
                  </w:tcMar>
                  <w:vAlign w:val="center"/>
                </w:tcPr>
                <w:p w14:paraId="54ACCD0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污染治理设施</w:t>
                  </w:r>
                </w:p>
              </w:tc>
              <w:tc>
                <w:tcPr>
                  <w:tcW w:w="2462" w:type="dxa"/>
                  <w:noWrap w:val="0"/>
                  <w:tcMar>
                    <w:top w:w="0" w:type="dxa"/>
                    <w:left w:w="57" w:type="dxa"/>
                    <w:bottom w:w="0" w:type="dxa"/>
                    <w:right w:w="57" w:type="dxa"/>
                  </w:tcMar>
                  <w:vAlign w:val="center"/>
                </w:tcPr>
                <w:p w14:paraId="5B4542E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集气罩收集+</w:t>
                  </w:r>
                  <w:r>
                    <w:rPr>
                      <w:rFonts w:hint="default" w:ascii="Times New Roman" w:hAnsi="Times New Roman" w:eastAsia="宋体" w:cs="Times New Roman"/>
                      <w:sz w:val="21"/>
                      <w:szCs w:val="21"/>
                      <w:lang w:val="en-US" w:eastAsia="zh-CN"/>
                    </w:rPr>
                    <w:t>三级</w:t>
                  </w:r>
                  <w:r>
                    <w:rPr>
                      <w:rFonts w:hint="default" w:ascii="Times New Roman" w:hAnsi="Times New Roman" w:eastAsia="宋体" w:cs="Times New Roman"/>
                      <w:sz w:val="21"/>
                      <w:szCs w:val="21"/>
                    </w:rPr>
                    <w:t>活性炭吸附</w:t>
                  </w:r>
                </w:p>
              </w:tc>
              <w:tc>
                <w:tcPr>
                  <w:tcW w:w="2462" w:type="dxa"/>
                  <w:noWrap w:val="0"/>
                  <w:tcMar>
                    <w:top w:w="0" w:type="dxa"/>
                    <w:left w:w="57" w:type="dxa"/>
                    <w:bottom w:w="0" w:type="dxa"/>
                    <w:right w:w="57" w:type="dxa"/>
                  </w:tcMar>
                  <w:vAlign w:val="center"/>
                </w:tcPr>
                <w:p w14:paraId="7BD128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sz w:val="21"/>
                      <w:szCs w:val="21"/>
                    </w:rPr>
                    <w:t>集气罩收集+</w:t>
                  </w:r>
                  <w:r>
                    <w:rPr>
                      <w:rFonts w:hint="default" w:ascii="Times New Roman" w:hAnsi="Times New Roman" w:eastAsia="宋体" w:cs="Times New Roman"/>
                      <w:sz w:val="21"/>
                      <w:szCs w:val="21"/>
                      <w:lang w:val="en-US" w:eastAsia="zh-CN"/>
                    </w:rPr>
                    <w:t>三级</w:t>
                  </w:r>
                  <w:r>
                    <w:rPr>
                      <w:rFonts w:hint="default" w:ascii="Times New Roman" w:hAnsi="Times New Roman" w:eastAsia="宋体" w:cs="Times New Roman"/>
                      <w:sz w:val="21"/>
                      <w:szCs w:val="21"/>
                    </w:rPr>
                    <w:t>活性炭吸附</w:t>
                  </w:r>
                </w:p>
              </w:tc>
              <w:tc>
                <w:tcPr>
                  <w:tcW w:w="2464" w:type="dxa"/>
                  <w:noWrap w:val="0"/>
                  <w:tcMar>
                    <w:top w:w="0" w:type="dxa"/>
                    <w:left w:w="57" w:type="dxa"/>
                    <w:bottom w:w="0" w:type="dxa"/>
                    <w:right w:w="57" w:type="dxa"/>
                  </w:tcMar>
                  <w:vAlign w:val="center"/>
                </w:tcPr>
                <w:p w14:paraId="2062415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污染治理设置一致，</w:t>
                  </w:r>
                  <w:r>
                    <w:rPr>
                      <w:rFonts w:hint="default" w:ascii="Times New Roman" w:hAnsi="Times New Roman" w:eastAsia="宋体" w:cs="Times New Roman"/>
                      <w:sz w:val="21"/>
                      <w:szCs w:val="21"/>
                    </w:rPr>
                    <w:t>类比基本可行。</w:t>
                  </w:r>
                </w:p>
              </w:tc>
            </w:tr>
          </w:tbl>
          <w:p w14:paraId="677FE801">
            <w:pPr>
              <w:keepNext w:val="0"/>
              <w:keepLines w:val="0"/>
              <w:pageBreakBefore w:val="0"/>
              <w:suppressLineNumbers w:val="0"/>
              <w:kinsoku/>
              <w:wordWrap/>
              <w:overflowPunct/>
              <w:topLinePunct w:val="0"/>
              <w:autoSpaceDE/>
              <w:autoSpaceDN/>
              <w:bidi w:val="0"/>
              <w:adjustRightInd/>
              <w:snapToGrid/>
              <w:spacing w:before="120" w:beforeLines="50" w:beforeAutospacing="0" w:after="0" w:afterAutospacing="0" w:line="360" w:lineRule="auto"/>
              <w:ind w:left="0" w:right="0" w:firstLine="480"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sz w:val="24"/>
                <w:szCs w:val="24"/>
              </w:rPr>
              <w:t>据上表，类比项目</w:t>
            </w:r>
            <w:r>
              <w:rPr>
                <w:rFonts w:hint="default" w:ascii="Times New Roman" w:hAnsi="Times New Roman" w:eastAsia="宋体" w:cs="Times New Roman"/>
                <w:sz w:val="24"/>
                <w:szCs w:val="24"/>
                <w:lang w:val="en-US" w:eastAsia="zh-CN"/>
              </w:rPr>
              <w:t>产品规模与</w:t>
            </w:r>
            <w:r>
              <w:rPr>
                <w:rFonts w:hint="default" w:ascii="Times New Roman" w:hAnsi="Times New Roman" w:eastAsia="宋体" w:cs="Times New Roman"/>
                <w:sz w:val="24"/>
                <w:szCs w:val="24"/>
              </w:rPr>
              <w:t>本项目</w:t>
            </w:r>
            <w:r>
              <w:rPr>
                <w:rFonts w:hint="default" w:ascii="Times New Roman" w:hAnsi="Times New Roman" w:eastAsia="宋体" w:cs="Times New Roman"/>
                <w:sz w:val="24"/>
                <w:szCs w:val="24"/>
                <w:lang w:val="en-US" w:eastAsia="zh-CN"/>
              </w:rPr>
              <w:t>生产规模相差不大</w:t>
            </w:r>
            <w:r>
              <w:rPr>
                <w:rFonts w:hint="default" w:ascii="Times New Roman" w:hAnsi="Times New Roman" w:eastAsia="宋体" w:cs="Times New Roman"/>
                <w:sz w:val="24"/>
                <w:szCs w:val="24"/>
              </w:rPr>
              <w:t>，且生产工艺、原辅料、污染治理设施</w:t>
            </w:r>
            <w:r>
              <w:rPr>
                <w:rFonts w:hint="default" w:ascii="Times New Roman" w:hAnsi="Times New Roman" w:eastAsia="宋体" w:cs="Times New Roman"/>
                <w:sz w:val="24"/>
                <w:szCs w:val="24"/>
                <w:lang w:val="en-US" w:eastAsia="zh-CN"/>
              </w:rPr>
              <w:t>基本一致</w:t>
            </w:r>
            <w:r>
              <w:rPr>
                <w:rFonts w:hint="default" w:ascii="Times New Roman" w:hAnsi="Times New Roman" w:eastAsia="宋体" w:cs="Times New Roman"/>
                <w:sz w:val="24"/>
                <w:szCs w:val="24"/>
              </w:rPr>
              <w:t>，故本项目包塑废气污染治理设施入口臭气浓度引用“寻甸县蜀滇塑料制品经营部蔬菜框生产项目竣工环境</w:t>
            </w:r>
            <w:r>
              <w:rPr>
                <w:rFonts w:hint="default" w:ascii="Times New Roman" w:hAnsi="Times New Roman" w:eastAsia="宋体" w:cs="Times New Roman"/>
                <w:color w:val="auto"/>
                <w:sz w:val="24"/>
                <w:szCs w:val="24"/>
              </w:rPr>
              <w:t>保护验收监测报告表</w:t>
            </w:r>
            <w:r>
              <w:rPr>
                <w:rFonts w:hint="default" w:ascii="Times New Roman" w:hAnsi="Times New Roman" w:eastAsia="宋体" w:cs="Times New Roman"/>
                <w:sz w:val="24"/>
                <w:szCs w:val="24"/>
              </w:rPr>
              <w:t>”中的监测结果可代表本项目</w:t>
            </w:r>
            <w:r>
              <w:rPr>
                <w:rFonts w:hint="default" w:ascii="Times New Roman" w:hAnsi="Times New Roman" w:eastAsia="宋体" w:cs="Times New Roman"/>
                <w:sz w:val="24"/>
                <w:szCs w:val="24"/>
                <w:lang w:val="en-US" w:eastAsia="zh-CN"/>
              </w:rPr>
              <w:t>生产运营</w:t>
            </w:r>
            <w:r>
              <w:rPr>
                <w:rFonts w:hint="default" w:ascii="Times New Roman" w:hAnsi="Times New Roman" w:eastAsia="宋体" w:cs="Times New Roman"/>
                <w:sz w:val="24"/>
                <w:szCs w:val="24"/>
              </w:rPr>
              <w:t>臭气浓度的产生情况，故类比可行。</w:t>
            </w:r>
          </w:p>
          <w:p w14:paraId="65F01A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lang w:val="en-US" w:eastAsia="zh-CN"/>
              </w:rPr>
              <w:t>①</w:t>
            </w:r>
            <w:r>
              <w:rPr>
                <w:rFonts w:hint="default" w:ascii="Times New Roman" w:hAnsi="Times New Roman" w:eastAsia="宋体" w:cs="Times New Roman"/>
                <w:b/>
                <w:bCs/>
                <w:sz w:val="24"/>
                <w:szCs w:val="24"/>
              </w:rPr>
              <w:t>有组织臭气浓度</w:t>
            </w:r>
          </w:p>
          <w:p w14:paraId="38F422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sz w:val="24"/>
                <w:szCs w:val="24"/>
              </w:rPr>
              <w:t>类比“寻甸县蜀滇塑料制品经营部蔬菜框生产项目</w:t>
            </w:r>
            <w:r>
              <w:rPr>
                <w:rFonts w:hint="default" w:ascii="Times New Roman" w:hAnsi="Times New Roman" w:eastAsia="宋体" w:cs="Times New Roman"/>
                <w:color w:val="auto"/>
                <w:sz w:val="24"/>
                <w:szCs w:val="24"/>
                <w:highlight w:val="none"/>
              </w:rPr>
              <w:t>竣工环境保护验收监测报告表</w:t>
            </w:r>
            <w:r>
              <w:rPr>
                <w:rFonts w:hint="default" w:ascii="Times New Roman" w:hAnsi="Times New Roman" w:eastAsia="宋体" w:cs="Times New Roman"/>
                <w:sz w:val="24"/>
                <w:szCs w:val="24"/>
                <w:highlight w:val="none"/>
              </w:rPr>
              <w:t>”，</w:t>
            </w:r>
            <w:r>
              <w:rPr>
                <w:rFonts w:hint="eastAsia" w:ascii="Times New Roman" w:hAnsi="Times New Roman" w:eastAsia="宋体" w:cs="Times New Roman"/>
                <w:caps w:val="0"/>
                <w:smallCaps w:val="0"/>
                <w:color w:val="auto"/>
                <w:sz w:val="24"/>
                <w:szCs w:val="20"/>
                <w:highlight w:val="none"/>
                <w:lang w:val="en-US" w:eastAsia="zh-CN"/>
              </w:rPr>
              <w:t>类比项目风机风量为10800m</w:t>
            </w:r>
            <w:r>
              <w:rPr>
                <w:rFonts w:hint="eastAsia" w:ascii="Times New Roman" w:hAnsi="Times New Roman" w:eastAsia="宋体" w:cs="Times New Roman"/>
                <w:caps w:val="0"/>
                <w:smallCaps w:val="0"/>
                <w:color w:val="auto"/>
                <w:sz w:val="24"/>
                <w:szCs w:val="20"/>
                <w:highlight w:val="none"/>
                <w:vertAlign w:val="superscript"/>
                <w:lang w:val="en-US" w:eastAsia="zh-CN"/>
              </w:rPr>
              <w:t>3</w:t>
            </w:r>
            <w:r>
              <w:rPr>
                <w:rFonts w:hint="eastAsia" w:ascii="Times New Roman" w:hAnsi="Times New Roman" w:eastAsia="宋体" w:cs="Times New Roman"/>
                <w:caps w:val="0"/>
                <w:smallCaps w:val="0"/>
                <w:color w:val="auto"/>
                <w:sz w:val="24"/>
                <w:szCs w:val="20"/>
                <w:highlight w:val="none"/>
                <w:lang w:val="en-US" w:eastAsia="zh-CN"/>
              </w:rPr>
              <w:t>/h，产品小时生产规模为0.58t/h，排气筒出口臭气</w:t>
            </w:r>
            <w:r>
              <w:rPr>
                <w:rFonts w:hint="eastAsia" w:ascii="Times New Roman" w:hAnsi="Times New Roman" w:eastAsia="宋体" w:cs="Times New Roman"/>
                <w:caps w:val="0"/>
                <w:smallCaps w:val="0"/>
                <w:color w:val="auto"/>
                <w:sz w:val="24"/>
                <w:szCs w:val="20"/>
                <w:highlight w:val="none"/>
              </w:rPr>
              <w:t>浓度为</w:t>
            </w:r>
            <w:r>
              <w:rPr>
                <w:rFonts w:hint="eastAsia" w:ascii="Times New Roman" w:hAnsi="Times New Roman" w:eastAsia="宋体" w:cs="Times New Roman"/>
                <w:caps w:val="0"/>
                <w:smallCaps w:val="0"/>
                <w:color w:val="auto"/>
                <w:sz w:val="24"/>
                <w:szCs w:val="20"/>
                <w:highlight w:val="none"/>
                <w:lang w:val="en-US" w:eastAsia="zh-CN"/>
              </w:rPr>
              <w:t>1128</w:t>
            </w:r>
            <w:r>
              <w:rPr>
                <w:rFonts w:hint="eastAsia" w:ascii="Times New Roman" w:hAnsi="Times New Roman" w:eastAsia="宋体" w:cs="Times New Roman"/>
                <w:caps w:val="0"/>
                <w:smallCaps w:val="0"/>
                <w:color w:val="auto"/>
                <w:sz w:val="24"/>
                <w:szCs w:val="20"/>
                <w:highlight w:val="none"/>
              </w:rPr>
              <w:t>-1505（无量纲）</w:t>
            </w:r>
            <w:r>
              <w:rPr>
                <w:rFonts w:hint="eastAsia" w:ascii="Times New Roman" w:hAnsi="Times New Roman" w:eastAsia="宋体" w:cs="Times New Roman"/>
                <w:caps w:val="0"/>
                <w:smallCaps w:val="0"/>
                <w:color w:val="auto"/>
                <w:sz w:val="24"/>
                <w:szCs w:val="20"/>
                <w:highlight w:val="none"/>
                <w:lang w:val="en-US" w:eastAsia="zh-CN"/>
              </w:rPr>
              <w:t>。本项目废气量为</w:t>
            </w:r>
            <w:r>
              <w:rPr>
                <w:rFonts w:hint="eastAsia" w:eastAsia="宋体" w:cs="Times New Roman"/>
                <w:caps w:val="0"/>
                <w:smallCaps w:val="0"/>
                <w:color w:val="auto"/>
                <w:sz w:val="24"/>
                <w:szCs w:val="20"/>
                <w:highlight w:val="none"/>
                <w:lang w:val="en-US" w:eastAsia="zh-CN"/>
              </w:rPr>
              <w:t>24000</w:t>
            </w:r>
            <w:r>
              <w:rPr>
                <w:rFonts w:hint="eastAsia" w:ascii="Times New Roman" w:hAnsi="Times New Roman" w:eastAsia="宋体" w:cs="Times New Roman"/>
                <w:caps w:val="0"/>
                <w:smallCaps w:val="0"/>
                <w:color w:val="auto"/>
                <w:sz w:val="24"/>
                <w:szCs w:val="20"/>
                <w:highlight w:val="none"/>
                <w:lang w:val="en-US" w:eastAsia="zh-CN"/>
              </w:rPr>
              <w:t>m</w:t>
            </w:r>
            <w:r>
              <w:rPr>
                <w:rFonts w:hint="eastAsia" w:ascii="Times New Roman" w:hAnsi="Times New Roman" w:eastAsia="宋体" w:cs="Times New Roman"/>
                <w:caps w:val="0"/>
                <w:smallCaps w:val="0"/>
                <w:color w:val="auto"/>
                <w:sz w:val="24"/>
                <w:szCs w:val="20"/>
                <w:highlight w:val="none"/>
                <w:vertAlign w:val="superscript"/>
                <w:lang w:val="en-US" w:eastAsia="zh-CN"/>
              </w:rPr>
              <w:t>3</w:t>
            </w:r>
            <w:r>
              <w:rPr>
                <w:rFonts w:hint="eastAsia" w:ascii="Times New Roman" w:hAnsi="Times New Roman" w:eastAsia="宋体" w:cs="Times New Roman"/>
                <w:caps w:val="0"/>
                <w:smallCaps w:val="0"/>
                <w:color w:val="auto"/>
                <w:sz w:val="24"/>
                <w:szCs w:val="20"/>
                <w:highlight w:val="none"/>
                <w:lang w:val="en-US" w:eastAsia="zh-CN"/>
              </w:rPr>
              <w:t>/h，产品小时生产规模为</w:t>
            </w:r>
            <w:r>
              <w:rPr>
                <w:rFonts w:hint="eastAsia" w:eastAsia="宋体" w:cs="Times New Roman"/>
                <w:caps w:val="0"/>
                <w:smallCaps w:val="0"/>
                <w:color w:val="auto"/>
                <w:sz w:val="24"/>
                <w:szCs w:val="20"/>
                <w:highlight w:val="none"/>
                <w:lang w:val="en-US" w:eastAsia="zh-CN"/>
              </w:rPr>
              <w:t>0.36</w:t>
            </w:r>
            <w:r>
              <w:rPr>
                <w:rFonts w:hint="eastAsia" w:ascii="Times New Roman" w:hAnsi="Times New Roman" w:eastAsia="宋体" w:cs="Times New Roman"/>
                <w:caps w:val="0"/>
                <w:smallCaps w:val="0"/>
                <w:color w:val="auto"/>
                <w:sz w:val="24"/>
                <w:szCs w:val="20"/>
                <w:highlight w:val="none"/>
                <w:lang w:val="en-US" w:eastAsia="zh-CN"/>
              </w:rPr>
              <w:t>t/h，考虑</w:t>
            </w:r>
            <w:r>
              <w:rPr>
                <w:rFonts w:hint="default" w:ascii="Times New Roman" w:hAnsi="Times New Roman" w:eastAsia="宋体" w:cs="宋体"/>
                <w:caps w:val="0"/>
                <w:smallCaps w:val="0"/>
                <w:color w:val="auto"/>
                <w:sz w:val="24"/>
                <w:szCs w:val="24"/>
              </w:rPr>
              <w:t>每吨产品产生的臭气量一致</w:t>
            </w:r>
            <w:r>
              <w:rPr>
                <w:rFonts w:hint="eastAsia" w:ascii="Times New Roman" w:hAnsi="Times New Roman" w:eastAsia="宋体" w:cs="宋体"/>
                <w:caps w:val="0"/>
                <w:smallCaps w:val="0"/>
                <w:color w:val="auto"/>
                <w:sz w:val="24"/>
                <w:szCs w:val="24"/>
                <w:lang w:eastAsia="zh-CN"/>
              </w:rPr>
              <w:t>，</w:t>
            </w:r>
            <w:r>
              <w:rPr>
                <w:rFonts w:hint="eastAsia" w:ascii="Times New Roman" w:hAnsi="Times New Roman" w:eastAsia="宋体" w:cs="Times New Roman"/>
                <w:caps w:val="0"/>
                <w:smallCaps w:val="0"/>
                <w:color w:val="auto"/>
                <w:sz w:val="24"/>
                <w:szCs w:val="20"/>
                <w:highlight w:val="none"/>
                <w:lang w:val="en-US" w:eastAsia="zh-CN"/>
              </w:rPr>
              <w:t>按类比项目的最大臭气浓度作为本项目排放的臭气浓度进行类比</w:t>
            </w:r>
            <w:r>
              <w:rPr>
                <w:rFonts w:hint="eastAsia" w:cs="Times New Roman"/>
                <w:caps w:val="0"/>
                <w:smallCaps w:val="0"/>
                <w:color w:val="auto"/>
                <w:sz w:val="24"/>
                <w:szCs w:val="20"/>
                <w:highlight w:val="none"/>
                <w:lang w:val="en-US" w:eastAsia="zh-CN"/>
              </w:rPr>
              <w:t>（类比数据详见附件11）</w:t>
            </w:r>
            <w:r>
              <w:rPr>
                <w:rFonts w:hint="default" w:ascii="Times New Roman" w:hAnsi="Times New Roman" w:eastAsia="宋体" w:cs="Times New Roman"/>
                <w:color w:val="auto"/>
                <w:kern w:val="0"/>
                <w:sz w:val="24"/>
                <w:szCs w:val="24"/>
                <w:highlight w:val="none"/>
                <w:lang w:val="en-US" w:eastAsia="zh-CN" w:bidi="ar"/>
              </w:rPr>
              <w:t>，本项目</w:t>
            </w:r>
            <w:r>
              <w:rPr>
                <w:rFonts w:hint="eastAsia" w:cs="Times New Roman"/>
                <w:color w:val="auto"/>
                <w:kern w:val="0"/>
                <w:sz w:val="24"/>
                <w:szCs w:val="24"/>
                <w:highlight w:val="none"/>
                <w:lang w:val="en-US" w:eastAsia="zh-CN" w:bidi="ar"/>
              </w:rPr>
              <w:t>小时</w:t>
            </w:r>
            <w:r>
              <w:rPr>
                <w:rFonts w:hint="default" w:ascii="Times New Roman" w:hAnsi="Times New Roman" w:eastAsia="宋体" w:cs="Times New Roman"/>
                <w:color w:val="auto"/>
                <w:kern w:val="0"/>
                <w:sz w:val="24"/>
                <w:szCs w:val="24"/>
                <w:highlight w:val="none"/>
                <w:lang w:val="en-US" w:eastAsia="zh-CN" w:bidi="ar"/>
              </w:rPr>
              <w:t>产品规模约为类比项目</w:t>
            </w:r>
            <w:r>
              <w:rPr>
                <w:rFonts w:hint="eastAsia" w:cs="Times New Roman"/>
                <w:color w:val="auto"/>
                <w:kern w:val="0"/>
                <w:sz w:val="24"/>
                <w:szCs w:val="24"/>
                <w:highlight w:val="none"/>
                <w:lang w:val="en-US" w:eastAsia="zh-CN" w:bidi="ar"/>
              </w:rPr>
              <w:t>小时</w:t>
            </w:r>
            <w:r>
              <w:rPr>
                <w:rFonts w:hint="default" w:ascii="Times New Roman" w:hAnsi="Times New Roman" w:eastAsia="宋体" w:cs="Times New Roman"/>
                <w:color w:val="auto"/>
                <w:kern w:val="0"/>
                <w:sz w:val="24"/>
                <w:szCs w:val="24"/>
                <w:highlight w:val="none"/>
                <w:lang w:val="en-US" w:eastAsia="zh-CN" w:bidi="ar"/>
              </w:rPr>
              <w:t>生产规模的</w:t>
            </w:r>
            <w:r>
              <w:rPr>
                <w:rFonts w:hint="eastAsia" w:cs="Times New Roman"/>
                <w:color w:val="auto"/>
                <w:kern w:val="0"/>
                <w:sz w:val="24"/>
                <w:szCs w:val="24"/>
                <w:highlight w:val="none"/>
                <w:lang w:val="en-US" w:eastAsia="zh-CN" w:bidi="ar"/>
              </w:rPr>
              <w:t>0.62</w:t>
            </w:r>
            <w:r>
              <w:rPr>
                <w:rFonts w:hint="default" w:ascii="Times New Roman" w:hAnsi="Times New Roman" w:eastAsia="宋体" w:cs="Times New Roman"/>
                <w:color w:val="auto"/>
                <w:kern w:val="0"/>
                <w:sz w:val="24"/>
                <w:szCs w:val="24"/>
                <w:highlight w:val="none"/>
                <w:lang w:val="en-US" w:eastAsia="zh-CN" w:bidi="ar"/>
              </w:rPr>
              <w:t xml:space="preserve"> 倍，则本项目DA001排放臭气浓度值为</w:t>
            </w:r>
            <w:r>
              <w:rPr>
                <w:rFonts w:hint="eastAsia" w:cs="Times New Roman"/>
                <w:color w:val="auto"/>
                <w:kern w:val="0"/>
                <w:sz w:val="24"/>
                <w:szCs w:val="24"/>
                <w:highlight w:val="none"/>
                <w:lang w:val="en-US" w:eastAsia="zh-CN" w:bidi="ar"/>
              </w:rPr>
              <w:t>933.1</w:t>
            </w:r>
            <w:r>
              <w:rPr>
                <w:rFonts w:hint="default" w:ascii="Times New Roman" w:hAnsi="Times New Roman" w:eastAsia="宋体" w:cs="Times New Roman"/>
                <w:color w:val="auto"/>
                <w:kern w:val="0"/>
                <w:sz w:val="24"/>
                <w:szCs w:val="24"/>
                <w:highlight w:val="none"/>
                <w:lang w:val="en-US" w:eastAsia="zh-CN" w:bidi="ar"/>
              </w:rPr>
              <w:t>（无量纲），去除效率按</w:t>
            </w:r>
            <w:r>
              <w:rPr>
                <w:rFonts w:hint="eastAsia" w:cs="Times New Roman"/>
                <w:color w:val="auto"/>
                <w:kern w:val="0"/>
                <w:sz w:val="24"/>
                <w:szCs w:val="24"/>
                <w:highlight w:val="none"/>
                <w:lang w:val="en-US" w:eastAsia="zh-CN" w:bidi="ar"/>
              </w:rPr>
              <w:t>51</w:t>
            </w:r>
            <w:r>
              <w:rPr>
                <w:rFonts w:hint="default" w:ascii="Times New Roman" w:hAnsi="Times New Roman" w:eastAsia="宋体" w:cs="Times New Roman"/>
                <w:color w:val="auto"/>
                <w:kern w:val="0"/>
                <w:sz w:val="24"/>
                <w:szCs w:val="24"/>
                <w:highlight w:val="none"/>
                <w:lang w:val="en-US" w:eastAsia="zh-CN" w:bidi="ar"/>
              </w:rPr>
              <w:t>%计，则有组织臭气产生浓度为</w:t>
            </w:r>
            <w:r>
              <w:rPr>
                <w:rFonts w:hint="eastAsia" w:cs="Times New Roman"/>
                <w:color w:val="auto"/>
                <w:kern w:val="0"/>
                <w:sz w:val="24"/>
                <w:szCs w:val="24"/>
                <w:highlight w:val="none"/>
                <w:lang w:val="en-US" w:eastAsia="zh-CN" w:bidi="ar"/>
              </w:rPr>
              <w:t>1904.2857</w:t>
            </w:r>
            <w:r>
              <w:rPr>
                <w:rFonts w:hint="default" w:ascii="Times New Roman" w:hAnsi="Times New Roman" w:eastAsia="宋体" w:cs="Times New Roman"/>
                <w:color w:val="auto"/>
                <w:kern w:val="0"/>
                <w:sz w:val="24"/>
                <w:szCs w:val="24"/>
                <w:highlight w:val="none"/>
                <w:lang w:val="en-US" w:eastAsia="zh-CN" w:bidi="ar"/>
              </w:rPr>
              <w:t>（无量纲），排放浓度可满足《恶臭污染物排放标准》（GB14554-93）表 2 中二级恶臭污染</w:t>
            </w:r>
            <w:r>
              <w:rPr>
                <w:rFonts w:hint="default" w:ascii="Times New Roman" w:hAnsi="Times New Roman" w:eastAsia="宋体" w:cs="Times New Roman"/>
                <w:color w:val="auto"/>
                <w:kern w:val="0"/>
                <w:sz w:val="24"/>
                <w:szCs w:val="24"/>
                <w:lang w:val="en-US" w:eastAsia="zh-CN" w:bidi="ar"/>
              </w:rPr>
              <w:t>物排放标准值要求（2000（无量纲）</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w:t>
            </w:r>
          </w:p>
          <w:p w14:paraId="03D262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lang w:val="en-US" w:eastAsia="zh-CN"/>
              </w:rPr>
              <w:t>②</w:t>
            </w:r>
            <w:r>
              <w:rPr>
                <w:rFonts w:hint="default" w:ascii="Times New Roman" w:hAnsi="Times New Roman" w:eastAsia="宋体" w:cs="Times New Roman"/>
                <w:b/>
                <w:bCs/>
                <w:color w:val="auto"/>
                <w:sz w:val="24"/>
                <w:szCs w:val="24"/>
              </w:rPr>
              <w:t>无组织臭气浓度</w:t>
            </w:r>
          </w:p>
          <w:p w14:paraId="1287E2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类比“</w:t>
            </w:r>
            <w:r>
              <w:rPr>
                <w:rFonts w:hint="default" w:ascii="Times New Roman" w:hAnsi="Times New Roman" w:eastAsia="宋体" w:cs="Times New Roman"/>
                <w:color w:val="auto"/>
                <w:sz w:val="24"/>
                <w:szCs w:val="24"/>
              </w:rPr>
              <w:t>寻甸县蜀滇塑料制品经营部蔬菜框</w:t>
            </w:r>
            <w:r>
              <w:rPr>
                <w:rFonts w:hint="default" w:ascii="Times New Roman" w:hAnsi="Times New Roman" w:eastAsia="宋体" w:cs="Times New Roman"/>
                <w:sz w:val="24"/>
                <w:szCs w:val="24"/>
              </w:rPr>
              <w:t>生产项目</w:t>
            </w:r>
            <w:r>
              <w:rPr>
                <w:rFonts w:hint="default" w:ascii="Times New Roman" w:hAnsi="Times New Roman" w:eastAsia="宋体" w:cs="Times New Roman"/>
                <w:color w:val="auto"/>
                <w:sz w:val="24"/>
                <w:szCs w:val="24"/>
              </w:rPr>
              <w:t>竣工环境保护验收监测报告表</w:t>
            </w:r>
            <w:r>
              <w:rPr>
                <w:rFonts w:hint="default" w:ascii="Times New Roman" w:hAnsi="Times New Roman" w:eastAsia="宋体" w:cs="Times New Roman"/>
                <w:sz w:val="24"/>
              </w:rPr>
              <w:t>”</w:t>
            </w:r>
            <w:r>
              <w:rPr>
                <w:rFonts w:hint="default" w:ascii="Times New Roman" w:hAnsi="Times New Roman" w:eastAsia="宋体" w:cs="Times New Roman"/>
                <w:sz w:val="24"/>
                <w:lang w:val="en-US" w:eastAsia="zh-CN"/>
              </w:rPr>
              <w:t>中实测数据</w:t>
            </w:r>
            <w:r>
              <w:rPr>
                <w:rFonts w:hint="default" w:ascii="Times New Roman" w:hAnsi="Times New Roman" w:eastAsia="宋体" w:cs="Times New Roman"/>
                <w:sz w:val="24"/>
              </w:rPr>
              <w:t>，</w:t>
            </w:r>
            <w:r>
              <w:rPr>
                <w:rFonts w:hint="eastAsia" w:ascii="Times New Roman" w:hAnsi="Times New Roman" w:eastAsia="宋体" w:cs="Times New Roman"/>
                <w:caps w:val="0"/>
                <w:smallCaps w:val="0"/>
                <w:color w:val="auto"/>
                <w:sz w:val="24"/>
                <w:szCs w:val="20"/>
                <w:lang w:val="en-US" w:eastAsia="zh-CN"/>
              </w:rPr>
              <w:t>厂界下</w:t>
            </w:r>
            <w:r>
              <w:rPr>
                <w:rFonts w:hint="eastAsia" w:ascii="Times New Roman" w:hAnsi="Times New Roman" w:eastAsia="宋体"/>
                <w:caps w:val="0"/>
                <w:smallCaps w:val="0"/>
                <w:color w:val="auto"/>
                <w:sz w:val="24"/>
                <w:szCs w:val="24"/>
              </w:rPr>
              <w:t>风向臭气浓度范围为</w:t>
            </w:r>
            <w:r>
              <w:rPr>
                <w:rFonts w:hint="default" w:ascii="Times New Roman" w:hAnsi="Times New Roman" w:eastAsia="宋体"/>
                <w:caps w:val="0"/>
                <w:smallCaps w:val="0"/>
                <w:color w:val="auto"/>
                <w:sz w:val="24"/>
                <w:szCs w:val="24"/>
              </w:rPr>
              <w:t>11~18</w:t>
            </w:r>
            <w:r>
              <w:rPr>
                <w:rFonts w:hint="eastAsia" w:ascii="Times New Roman" w:hAnsi="Times New Roman" w:eastAsia="宋体" w:cs="Times New Roman"/>
                <w:caps w:val="0"/>
                <w:smallCaps w:val="0"/>
                <w:color w:val="auto"/>
                <w:sz w:val="24"/>
                <w:szCs w:val="20"/>
                <w:lang w:val="en-US" w:eastAsia="zh-CN"/>
              </w:rPr>
              <w:t>（无量纲）。</w:t>
            </w:r>
            <w:r>
              <w:rPr>
                <w:rFonts w:hint="eastAsia" w:ascii="Times New Roman" w:hAnsi="Times New Roman" w:eastAsia="宋体" w:cs="Times New Roman"/>
                <w:caps w:val="0"/>
                <w:smallCaps w:val="0"/>
                <w:color w:val="auto"/>
                <w:sz w:val="24"/>
                <w:szCs w:val="20"/>
                <w:highlight w:val="none"/>
                <w:lang w:val="en-US" w:eastAsia="zh-CN"/>
              </w:rPr>
              <w:t>本项目按类比项目的最大臭气浓度进行类比，则本项目</w:t>
            </w:r>
            <w:r>
              <w:rPr>
                <w:rFonts w:hint="eastAsia" w:ascii="Times New Roman" w:hAnsi="Times New Roman" w:eastAsia="宋体" w:cs="Times New Roman"/>
                <w:caps w:val="0"/>
                <w:smallCaps w:val="0"/>
                <w:color w:val="auto"/>
                <w:sz w:val="24"/>
                <w:szCs w:val="20"/>
                <w:lang w:val="en-US" w:eastAsia="zh-CN"/>
              </w:rPr>
              <w:t>无组织排放臭气浓度值为</w:t>
            </w:r>
            <w:r>
              <w:rPr>
                <w:rFonts w:hint="eastAsia" w:ascii="Times New Roman" w:hAnsi="Times New Roman" w:cs="Times New Roman"/>
                <w:caps w:val="0"/>
                <w:smallCaps w:val="0"/>
                <w:color w:val="auto"/>
                <w:sz w:val="24"/>
                <w:szCs w:val="20"/>
                <w:lang w:val="en-US" w:eastAsia="zh-CN"/>
              </w:rPr>
              <w:t>18</w:t>
            </w:r>
            <w:r>
              <w:rPr>
                <w:rFonts w:hint="eastAsia" w:ascii="Times New Roman" w:hAnsi="Times New Roman" w:eastAsia="宋体" w:cs="Times New Roman"/>
                <w:caps w:val="0"/>
                <w:smallCaps w:val="0"/>
                <w:color w:val="auto"/>
                <w:sz w:val="24"/>
                <w:szCs w:val="20"/>
                <w:lang w:val="en-US" w:eastAsia="zh-CN"/>
              </w:rPr>
              <w:t>（无量纲），可</w:t>
            </w:r>
            <w:r>
              <w:rPr>
                <w:rFonts w:hint="eastAsia" w:ascii="Times New Roman" w:hAnsi="Times New Roman"/>
                <w:caps w:val="0"/>
                <w:smallCaps w:val="0"/>
                <w:color w:val="auto"/>
                <w:sz w:val="24"/>
                <w:szCs w:val="20"/>
              </w:rPr>
              <w:t>满足《恶臭污染物排放标准》（GB14554-93）表1新扩改建厂界标准限值二级标准（臭气浓度＜20无量纲）要求。</w:t>
            </w: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sz w:val="24"/>
                <w:lang w:val="en-US" w:eastAsia="zh-CN"/>
              </w:rPr>
              <w:t>异味</w:t>
            </w:r>
            <w:r>
              <w:rPr>
                <w:rFonts w:hint="eastAsia" w:cs="Times New Roman"/>
                <w:color w:val="auto"/>
                <w:sz w:val="24"/>
                <w:lang w:val="en-US" w:eastAsia="zh-CN"/>
              </w:rPr>
              <w:t>仅</w:t>
            </w:r>
            <w:r>
              <w:rPr>
                <w:rFonts w:hint="default" w:ascii="Times New Roman" w:hAnsi="Times New Roman" w:eastAsia="宋体" w:cs="Times New Roman"/>
                <w:color w:val="auto"/>
                <w:sz w:val="24"/>
                <w:lang w:val="en-US" w:eastAsia="zh-CN"/>
              </w:rPr>
              <w:t>在注塑</w:t>
            </w:r>
            <w:r>
              <w:rPr>
                <w:rFonts w:hint="default" w:ascii="Times New Roman" w:hAnsi="Times New Roman" w:eastAsia="宋体" w:cs="Times New Roman"/>
                <w:color w:val="auto"/>
                <w:sz w:val="24"/>
              </w:rPr>
              <w:t>工序</w:t>
            </w:r>
            <w:r>
              <w:rPr>
                <w:rFonts w:hint="default" w:ascii="Times New Roman" w:hAnsi="Times New Roman" w:eastAsia="宋体" w:cs="Times New Roman"/>
                <w:color w:val="auto"/>
                <w:sz w:val="24"/>
                <w:lang w:val="en-US" w:eastAsia="zh-CN"/>
              </w:rPr>
              <w:t>伴随</w:t>
            </w:r>
            <w:r>
              <w:rPr>
                <w:rFonts w:hint="default" w:ascii="Times New Roman" w:hAnsi="Times New Roman" w:eastAsia="宋体" w:cs="Times New Roman"/>
                <w:color w:val="auto"/>
                <w:sz w:val="24"/>
              </w:rPr>
              <w:t>有机废气产生，产生量较小，对周边环境影响较小。</w:t>
            </w:r>
          </w:p>
          <w:p w14:paraId="583400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拌料、上料粉尘产生量</w:t>
            </w:r>
          </w:p>
          <w:p w14:paraId="01DF5C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先根据母料和颗粒料按比例在拌料机内进行</w:t>
            </w:r>
            <w:r>
              <w:rPr>
                <w:rFonts w:hint="eastAsia" w:cs="Times New Roman"/>
                <w:color w:val="auto"/>
                <w:sz w:val="24"/>
                <w:szCs w:val="24"/>
                <w:lang w:val="en-US" w:eastAsia="zh-CN"/>
              </w:rPr>
              <w:t>拌和</w:t>
            </w:r>
            <w:r>
              <w:rPr>
                <w:rFonts w:hint="default" w:ascii="Times New Roman" w:hAnsi="Times New Roman" w:eastAsia="宋体" w:cs="Times New Roman"/>
                <w:color w:val="auto"/>
                <w:sz w:val="24"/>
                <w:szCs w:val="24"/>
                <w:lang w:val="en-US" w:eastAsia="zh-CN"/>
              </w:rPr>
              <w:t>，</w:t>
            </w:r>
            <w:r>
              <w:rPr>
                <w:rFonts w:hint="eastAsia" w:cs="Times New Roman"/>
                <w:caps w:val="0"/>
                <w:smallCaps w:val="0"/>
                <w:color w:val="auto"/>
                <w:sz w:val="24"/>
                <w:szCs w:val="20"/>
                <w:lang w:val="en-US" w:eastAsia="zh-CN"/>
              </w:rPr>
              <w:t>原料通过人工投料方式投入拌料机，拌料机整体密闭作业，</w:t>
            </w:r>
            <w:r>
              <w:rPr>
                <w:rFonts w:hint="default" w:ascii="Times New Roman" w:hAnsi="Times New Roman" w:eastAsia="宋体" w:cs="Times New Roman"/>
                <w:color w:val="auto"/>
                <w:kern w:val="0"/>
                <w:sz w:val="24"/>
                <w:szCs w:val="24"/>
                <w:lang w:val="en-US" w:eastAsia="zh-CN" w:bidi="ar"/>
              </w:rPr>
              <w:t>搅拌好的物料</w:t>
            </w:r>
            <w:r>
              <w:rPr>
                <w:rFonts w:hint="eastAsia" w:ascii="宋体" w:hAnsi="宋体" w:eastAsia="宋体" w:cs="宋体"/>
                <w:color w:val="auto"/>
                <w:kern w:val="0"/>
                <w:sz w:val="24"/>
                <w:szCs w:val="24"/>
                <w:lang w:val="en-US" w:eastAsia="zh-CN" w:bidi="ar"/>
              </w:rPr>
              <w:t>通过拌料机放料管道进入原料包装袋内</w:t>
            </w:r>
            <w:r>
              <w:rPr>
                <w:rFonts w:hint="eastAsia"/>
                <w:color w:val="auto"/>
                <w:sz w:val="24"/>
                <w:szCs w:val="24"/>
                <w:lang w:val="en-US" w:eastAsia="zh-CN"/>
              </w:rPr>
              <w:t>进行袋装密闭后</w:t>
            </w:r>
            <w:r>
              <w:rPr>
                <w:rFonts w:hint="default" w:ascii="Times New Roman" w:hAnsi="Times New Roman" w:eastAsia="宋体" w:cs="Times New Roman"/>
                <w:color w:val="auto"/>
                <w:kern w:val="0"/>
                <w:sz w:val="24"/>
                <w:szCs w:val="24"/>
                <w:lang w:val="en-US" w:eastAsia="zh-CN" w:bidi="ar"/>
              </w:rPr>
              <w:t>由叉车转移至上料机，</w:t>
            </w:r>
            <w:r>
              <w:rPr>
                <w:rFonts w:hint="eastAsia" w:cs="Times New Roman"/>
                <w:color w:val="auto"/>
                <w:kern w:val="0"/>
                <w:sz w:val="24"/>
                <w:szCs w:val="24"/>
                <w:lang w:val="en-US" w:eastAsia="zh-CN" w:bidi="ar"/>
              </w:rPr>
              <w:t>然后</w:t>
            </w:r>
            <w:r>
              <w:rPr>
                <w:rFonts w:hint="eastAsia" w:cs="Times New Roman"/>
                <w:caps w:val="0"/>
                <w:smallCaps w:val="0"/>
                <w:color w:val="auto"/>
                <w:sz w:val="24"/>
                <w:szCs w:val="24"/>
                <w:lang w:val="en-US" w:eastAsia="zh-CN"/>
              </w:rPr>
              <w:t>通过</w:t>
            </w:r>
            <w:r>
              <w:rPr>
                <w:rFonts w:hint="eastAsia"/>
                <w:color w:val="auto"/>
                <w:sz w:val="24"/>
                <w:szCs w:val="24"/>
                <w:lang w:val="en-US" w:eastAsia="zh-CN"/>
              </w:rPr>
              <w:t>提升机提升至</w:t>
            </w:r>
            <w:r>
              <w:rPr>
                <w:rFonts w:hint="default" w:ascii="Times New Roman" w:hAnsi="Times New Roman" w:eastAsia="宋体" w:cs="Times New Roman"/>
                <w:caps w:val="0"/>
                <w:smallCaps w:val="0"/>
                <w:color w:val="auto"/>
                <w:sz w:val="24"/>
                <w:szCs w:val="24"/>
              </w:rPr>
              <w:t>注塑机料仓内</w:t>
            </w:r>
            <w:r>
              <w:rPr>
                <w:rFonts w:hint="eastAsia" w:ascii="Times New Roman" w:hAnsi="Times New Roman" w:eastAsia="宋体" w:cs="Times New Roman"/>
                <w:caps w:val="0"/>
                <w:smallCaps w:val="0"/>
                <w:color w:val="auto"/>
                <w:sz w:val="24"/>
                <w:szCs w:val="24"/>
                <w:lang w:eastAsia="zh-CN"/>
              </w:rPr>
              <w:t>，</w:t>
            </w:r>
            <w:r>
              <w:rPr>
                <w:rFonts w:hint="default" w:ascii="Times New Roman" w:hAnsi="Times New Roman" w:eastAsia="宋体" w:cs="Times New Roman"/>
                <w:caps w:val="0"/>
                <w:smallCaps w:val="0"/>
                <w:color w:val="auto"/>
                <w:sz w:val="24"/>
                <w:szCs w:val="24"/>
              </w:rPr>
              <w:t>上料系统为全</w:t>
            </w:r>
            <w:r>
              <w:rPr>
                <w:rFonts w:hint="default" w:ascii="Times New Roman" w:hAnsi="Times New Roman" w:eastAsia="宋体" w:cs="Times New Roman"/>
                <w:caps w:val="0"/>
                <w:smallCaps w:val="0"/>
                <w:color w:val="auto"/>
                <w:sz w:val="24"/>
                <w:szCs w:val="24"/>
                <w:lang w:val="en-US" w:eastAsia="zh-CN"/>
              </w:rPr>
              <w:t>密闭</w:t>
            </w:r>
            <w:r>
              <w:rPr>
                <w:rFonts w:hint="eastAsia" w:cs="Times New Roman"/>
                <w:caps w:val="0"/>
                <w:smallCaps w:val="0"/>
                <w:color w:val="auto"/>
                <w:sz w:val="24"/>
                <w:szCs w:val="24"/>
                <w:lang w:val="en-US" w:eastAsia="zh-CN"/>
              </w:rPr>
              <w:t>状态</w:t>
            </w:r>
            <w:r>
              <w:rPr>
                <w:rFonts w:hint="eastAsia" w:ascii="Times New Roman" w:hAnsi="Times New Roman" w:eastAsia="宋体" w:cs="Times New Roman"/>
                <w:caps w:val="0"/>
                <w:smallCaps w:val="0"/>
                <w:color w:val="auto"/>
                <w:sz w:val="24"/>
                <w:szCs w:val="24"/>
                <w:lang w:val="en-US" w:eastAsia="zh-CN"/>
              </w:rPr>
              <w:t>。项目拌料、上料工序均为</w:t>
            </w:r>
            <w:r>
              <w:rPr>
                <w:rFonts w:hint="default" w:ascii="Times New Roman" w:hAnsi="Times New Roman" w:eastAsia="宋体" w:cs="Times New Roman"/>
                <w:caps w:val="0"/>
                <w:smallCaps w:val="0"/>
                <w:color w:val="auto"/>
                <w:sz w:val="24"/>
                <w:szCs w:val="24"/>
              </w:rPr>
              <w:t>全</w:t>
            </w:r>
            <w:r>
              <w:rPr>
                <w:rFonts w:hint="default" w:ascii="Times New Roman" w:hAnsi="Times New Roman" w:eastAsia="宋体" w:cs="Times New Roman"/>
                <w:caps w:val="0"/>
                <w:smallCaps w:val="0"/>
                <w:color w:val="auto"/>
                <w:sz w:val="24"/>
                <w:szCs w:val="24"/>
                <w:lang w:val="en-US" w:eastAsia="zh-CN"/>
              </w:rPr>
              <w:t>密闭</w:t>
            </w:r>
            <w:r>
              <w:rPr>
                <w:rFonts w:hint="default" w:ascii="Times New Roman" w:hAnsi="Times New Roman" w:eastAsia="宋体" w:cs="Times New Roman"/>
                <w:caps w:val="0"/>
                <w:smallCaps w:val="0"/>
                <w:color w:val="auto"/>
                <w:sz w:val="24"/>
                <w:szCs w:val="24"/>
              </w:rPr>
              <w:t>，</w:t>
            </w:r>
            <w:r>
              <w:rPr>
                <w:rFonts w:hint="default" w:ascii="Times New Roman" w:hAnsi="Times New Roman" w:eastAsia="宋体" w:cs="Times New Roman"/>
                <w:caps w:val="0"/>
                <w:smallCaps w:val="0"/>
                <w:color w:val="auto"/>
                <w:sz w:val="24"/>
                <w:szCs w:val="24"/>
                <w:lang w:val="en-US" w:eastAsia="zh-CN"/>
              </w:rPr>
              <w:t>故项目拌料、上料工序溢出的</w:t>
            </w:r>
            <w:r>
              <w:rPr>
                <w:rFonts w:hint="default" w:ascii="Times New Roman" w:hAnsi="Times New Roman" w:eastAsia="宋体" w:cs="Times New Roman"/>
                <w:b w:val="0"/>
                <w:bCs w:val="0"/>
                <w:color w:val="auto"/>
                <w:sz w:val="24"/>
                <w:szCs w:val="24"/>
                <w:lang w:val="en-US" w:eastAsia="zh-CN"/>
              </w:rPr>
              <w:t>粉尘量较小，呈无组织排放。</w:t>
            </w:r>
            <w:r>
              <w:rPr>
                <w:rFonts w:hint="default" w:ascii="Times New Roman" w:hAnsi="Times New Roman" w:eastAsia="宋体" w:cs="Times New Roman"/>
                <w:color w:val="auto"/>
                <w:kern w:val="2"/>
                <w:sz w:val="24"/>
                <w:szCs w:val="24"/>
                <w:lang w:val="en-US" w:eastAsia="zh-CN" w:bidi="ar-SA"/>
              </w:rPr>
              <w:t>本次评价核算参考《工业污染源产排污系数手册》（生态环境部，2010年版）中“塑料制品业—颗粒物料装卸”工艺单元，该类工艺粉尘产生系数取0.05kg/t-物料</w:t>
            </w:r>
            <w:r>
              <w:rPr>
                <w:rFonts w:hint="default" w:ascii="Times New Roman" w:hAnsi="Times New Roman" w:eastAsia="宋体" w:cs="Times New Roman"/>
                <w:color w:val="auto"/>
                <w:sz w:val="24"/>
                <w:szCs w:val="24"/>
                <w:lang w:val="en-US" w:eastAsia="zh-CN"/>
              </w:rPr>
              <w:t>，项目原料</w:t>
            </w:r>
            <w:r>
              <w:rPr>
                <w:rFonts w:hint="default" w:ascii="Times New Roman" w:hAnsi="Times New Roman" w:eastAsia="宋体" w:cs="Times New Roman"/>
                <w:color w:val="auto"/>
                <w:sz w:val="24"/>
                <w:szCs w:val="24"/>
                <w:highlight w:val="none"/>
                <w:lang w:val="en-US" w:eastAsia="zh-CN"/>
              </w:rPr>
              <w:t>用量为</w:t>
            </w:r>
            <w:r>
              <w:rPr>
                <w:rFonts w:hint="eastAsia" w:cs="Times New Roman"/>
                <w:color w:val="auto"/>
                <w:sz w:val="24"/>
                <w:szCs w:val="24"/>
                <w:highlight w:val="none"/>
                <w:lang w:val="en-US" w:eastAsia="zh-CN"/>
              </w:rPr>
              <w:t>2606</w:t>
            </w:r>
            <w:r>
              <w:rPr>
                <w:rFonts w:hint="default" w:ascii="Times New Roman" w:hAnsi="Times New Roman" w:eastAsia="宋体" w:cs="Times New Roman"/>
                <w:color w:val="auto"/>
                <w:sz w:val="24"/>
                <w:szCs w:val="24"/>
                <w:highlight w:val="none"/>
                <w:lang w:val="en-US" w:eastAsia="zh-CN"/>
              </w:rPr>
              <w:t>t/a，则投料、混料粉尘产生量为0.1</w:t>
            </w:r>
            <w:r>
              <w:rPr>
                <w:rFonts w:hint="eastAsia" w:cs="Times New Roman"/>
                <w:color w:val="auto"/>
                <w:sz w:val="24"/>
                <w:szCs w:val="24"/>
                <w:highlight w:val="none"/>
                <w:lang w:val="en-US" w:eastAsia="zh-CN"/>
              </w:rPr>
              <w:t>303</w:t>
            </w:r>
            <w:r>
              <w:rPr>
                <w:rFonts w:hint="default" w:ascii="Times New Roman" w:hAnsi="Times New Roman" w:eastAsia="宋体" w:cs="Times New Roman"/>
                <w:color w:val="auto"/>
                <w:sz w:val="24"/>
                <w:szCs w:val="24"/>
                <w:highlight w:val="none"/>
                <w:lang w:val="en-US" w:eastAsia="zh-CN"/>
              </w:rPr>
              <w:t>t/a、0.0</w:t>
            </w:r>
            <w:r>
              <w:rPr>
                <w:rFonts w:hint="eastAsia" w:cs="Times New Roman"/>
                <w:color w:val="auto"/>
                <w:sz w:val="24"/>
                <w:szCs w:val="24"/>
                <w:highlight w:val="none"/>
                <w:lang w:val="en-US" w:eastAsia="zh-CN"/>
              </w:rPr>
              <w:t>181</w:t>
            </w:r>
            <w:r>
              <w:rPr>
                <w:rFonts w:hint="default" w:ascii="Times New Roman" w:hAnsi="Times New Roman" w:eastAsia="宋体" w:cs="Times New Roman"/>
                <w:color w:val="auto"/>
                <w:sz w:val="24"/>
                <w:szCs w:val="24"/>
                <w:highlight w:val="none"/>
                <w:lang w:val="en-US" w:eastAsia="zh-CN"/>
              </w:rPr>
              <w:t>kg/h。</w:t>
            </w:r>
            <w:r>
              <w:rPr>
                <w:rFonts w:hint="default" w:ascii="Times New Roman" w:hAnsi="Times New Roman" w:eastAsia="宋体" w:cs="Times New Roman"/>
                <w:color w:val="auto"/>
                <w:kern w:val="0"/>
                <w:sz w:val="24"/>
                <w:szCs w:val="24"/>
                <w:highlight w:val="none"/>
                <w:lang w:val="en-US" w:eastAsia="zh-CN" w:bidi="ar"/>
              </w:rPr>
              <w:t>根据《工业源固体物料堆场颗粒物核算系数》中附录5：半敞开式堆场粉尘控制效率为60%。本项目厂房为封闭式厂房（</w:t>
            </w:r>
            <w:r>
              <w:rPr>
                <w:rFonts w:hint="eastAsia" w:cs="Times New Roman"/>
                <w:color w:val="auto"/>
                <w:kern w:val="0"/>
                <w:sz w:val="24"/>
                <w:szCs w:val="24"/>
                <w:highlight w:val="none"/>
                <w:lang w:val="en-US" w:eastAsia="zh-CN" w:bidi="ar"/>
              </w:rPr>
              <w:t>生产时</w:t>
            </w:r>
            <w:r>
              <w:rPr>
                <w:rFonts w:hint="default" w:ascii="Times New Roman" w:hAnsi="Times New Roman" w:eastAsia="宋体" w:cs="Times New Roman"/>
                <w:color w:val="auto"/>
                <w:kern w:val="0"/>
                <w:sz w:val="24"/>
                <w:szCs w:val="24"/>
                <w:highlight w:val="none"/>
                <w:lang w:val="en-US" w:eastAsia="zh-CN" w:bidi="ar"/>
              </w:rPr>
              <w:t>仅预留出入口），项目生产厂房对粉尘的控制效率按60%计，则项目拌料、上料粉尘无组织排放量为0.0</w:t>
            </w:r>
            <w:r>
              <w:rPr>
                <w:rFonts w:hint="eastAsia" w:cs="Times New Roman"/>
                <w:color w:val="auto"/>
                <w:kern w:val="0"/>
                <w:sz w:val="24"/>
                <w:szCs w:val="24"/>
                <w:highlight w:val="none"/>
                <w:lang w:val="en-US" w:eastAsia="zh-CN" w:bidi="ar"/>
              </w:rPr>
              <w:t>521</w:t>
            </w:r>
            <w:r>
              <w:rPr>
                <w:rFonts w:hint="default" w:ascii="Times New Roman" w:hAnsi="Times New Roman" w:eastAsia="宋体" w:cs="Times New Roman"/>
                <w:color w:val="auto"/>
                <w:kern w:val="0"/>
                <w:sz w:val="24"/>
                <w:szCs w:val="24"/>
                <w:highlight w:val="none"/>
                <w:lang w:val="en-US" w:eastAsia="zh-CN" w:bidi="ar"/>
              </w:rPr>
              <w:t>t/a，</w:t>
            </w:r>
            <w:r>
              <w:rPr>
                <w:rFonts w:hint="default" w:ascii="Times New Roman" w:hAnsi="Times New Roman" w:eastAsia="宋体" w:cs="Times New Roman"/>
                <w:color w:val="auto"/>
                <w:kern w:val="0"/>
                <w:sz w:val="24"/>
                <w:szCs w:val="24"/>
                <w:lang w:val="en-US" w:eastAsia="zh-CN" w:bidi="ar"/>
              </w:rPr>
              <w:t>排放速率为0.0</w:t>
            </w:r>
            <w:r>
              <w:rPr>
                <w:rFonts w:hint="eastAsia" w:cs="Times New Roman"/>
                <w:color w:val="auto"/>
                <w:kern w:val="0"/>
                <w:sz w:val="24"/>
                <w:szCs w:val="24"/>
                <w:lang w:val="en-US" w:eastAsia="zh-CN" w:bidi="ar"/>
              </w:rPr>
              <w:t>072</w:t>
            </w:r>
            <w:r>
              <w:rPr>
                <w:rFonts w:hint="default" w:ascii="Times New Roman" w:hAnsi="Times New Roman" w:eastAsia="宋体" w:cs="Times New Roman"/>
                <w:color w:val="auto"/>
                <w:kern w:val="0"/>
                <w:sz w:val="24"/>
                <w:szCs w:val="24"/>
                <w:lang w:val="en-US" w:eastAsia="zh-CN" w:bidi="ar"/>
              </w:rPr>
              <w:t>kg/h，经厂房隔挡、自然沉降后对环境影响较小。</w:t>
            </w:r>
          </w:p>
          <w:p w14:paraId="2FC39C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（4）破碎粉尘产生及排放量</w:t>
            </w:r>
          </w:p>
          <w:p w14:paraId="799E18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aps w:val="0"/>
                <w:smallCaps w:val="0"/>
                <w:color w:val="auto"/>
                <w:sz w:val="24"/>
                <w:szCs w:val="24"/>
                <w:lang w:val="en-US" w:eastAsia="zh-CN"/>
              </w:rPr>
              <w:t>本项目</w:t>
            </w:r>
            <w:r>
              <w:rPr>
                <w:rFonts w:hint="eastAsia" w:cs="Times New Roman"/>
                <w:caps w:val="0"/>
                <w:smallCaps w:val="0"/>
                <w:color w:val="auto"/>
                <w:sz w:val="24"/>
                <w:szCs w:val="24"/>
                <w:lang w:val="en-US" w:eastAsia="zh-CN"/>
              </w:rPr>
              <w:t>购置有一台破碎机对生产过程产生的废料及不合格品进行破碎</w:t>
            </w:r>
            <w:r>
              <w:rPr>
                <w:rFonts w:hint="default" w:ascii="Times New Roman" w:hAnsi="Times New Roman" w:eastAsia="宋体" w:cs="Times New Roman"/>
                <w:caps w:val="0"/>
                <w:smallCaps w:val="0"/>
                <w:color w:val="auto"/>
                <w:sz w:val="24"/>
                <w:szCs w:val="20"/>
              </w:rPr>
              <w:t>将</w:t>
            </w:r>
            <w:r>
              <w:rPr>
                <w:rFonts w:hint="eastAsia" w:cs="Times New Roman"/>
                <w:caps w:val="0"/>
                <w:smallCaps w:val="0"/>
                <w:color w:val="auto"/>
                <w:sz w:val="24"/>
                <w:szCs w:val="20"/>
                <w:lang w:val="en-US" w:eastAsia="zh-CN"/>
              </w:rPr>
              <w:t>其</w:t>
            </w:r>
            <w:r>
              <w:rPr>
                <w:rFonts w:hint="default" w:ascii="Times New Roman" w:hAnsi="Times New Roman" w:eastAsia="宋体" w:cs="Times New Roman"/>
                <w:caps w:val="0"/>
                <w:smallCaps w:val="0"/>
                <w:color w:val="auto"/>
                <w:sz w:val="24"/>
                <w:szCs w:val="20"/>
              </w:rPr>
              <w:t>重新作为原料使用</w:t>
            </w:r>
            <w:r>
              <w:rPr>
                <w:rFonts w:hint="eastAsia" w:ascii="Times New Roman" w:hAnsi="Times New Roman" w:eastAsia="宋体" w:cs="Times New Roman"/>
                <w:caps w:val="0"/>
                <w:smallCaps w:val="0"/>
                <w:color w:val="auto"/>
                <w:sz w:val="24"/>
                <w:szCs w:val="20"/>
                <w:lang w:eastAsia="zh-CN"/>
              </w:rPr>
              <w:t>，</w:t>
            </w:r>
            <w:r>
              <w:rPr>
                <w:rFonts w:hint="default" w:ascii="Times New Roman" w:hAnsi="Times New Roman" w:eastAsia="宋体" w:cs="Times New Roman"/>
                <w:color w:val="auto"/>
                <w:kern w:val="0"/>
                <w:sz w:val="24"/>
                <w:szCs w:val="24"/>
                <w:lang w:val="en-US" w:eastAsia="zh-CN" w:bidi="ar"/>
              </w:rPr>
              <w:t>根据建设单位提供资料，</w:t>
            </w:r>
            <w:r>
              <w:rPr>
                <w:rFonts w:hint="eastAsia" w:ascii="Times New Roman" w:hAnsi="Times New Roman" w:eastAsia="宋体" w:cs="Times New Roman"/>
                <w:caps w:val="0"/>
                <w:smallCaps w:val="0"/>
                <w:color w:val="auto"/>
                <w:sz w:val="24"/>
                <w:szCs w:val="20"/>
                <w:lang w:val="en-US" w:eastAsia="zh-CN"/>
              </w:rPr>
              <w:t>本项目</w:t>
            </w:r>
            <w:r>
              <w:rPr>
                <w:rFonts w:hint="default" w:ascii="Times New Roman" w:hAnsi="Times New Roman" w:eastAsia="宋体" w:cs="Times New Roman"/>
                <w:caps w:val="0"/>
                <w:smallCaps w:val="0"/>
                <w:color w:val="auto"/>
                <w:sz w:val="24"/>
                <w:szCs w:val="24"/>
                <w:lang w:val="en-US" w:eastAsia="zh-CN"/>
              </w:rPr>
              <w:t>破碎</w:t>
            </w:r>
            <w:r>
              <w:rPr>
                <w:rFonts w:hint="eastAsia" w:cs="Times New Roman"/>
                <w:caps w:val="0"/>
                <w:smallCaps w:val="0"/>
                <w:color w:val="auto"/>
                <w:sz w:val="24"/>
                <w:szCs w:val="24"/>
                <w:lang w:val="en-US" w:eastAsia="zh-CN"/>
              </w:rPr>
              <w:t>机为间歇式运行，每年工作时间为</w:t>
            </w:r>
            <w:r>
              <w:rPr>
                <w:rFonts w:hint="default" w:ascii="Times New Roman" w:hAnsi="Times New Roman" w:eastAsia="宋体" w:cs="Times New Roman"/>
                <w:color w:val="auto"/>
                <w:kern w:val="0"/>
                <w:sz w:val="24"/>
                <w:szCs w:val="24"/>
                <w:lang w:val="en-US" w:eastAsia="zh-CN" w:bidi="ar"/>
              </w:rPr>
              <w:t>400h</w:t>
            </w:r>
            <w:r>
              <w:rPr>
                <w:rFonts w:hint="eastAsia" w:ascii="Times New Roman" w:hAnsi="Times New Roman" w:eastAsia="宋体" w:cs="Times New Roman"/>
                <w:color w:val="auto"/>
                <w:kern w:val="0"/>
                <w:sz w:val="24"/>
                <w:szCs w:val="24"/>
                <w:lang w:val="en-US" w:eastAsia="zh-CN" w:bidi="ar"/>
              </w:rPr>
              <w:t>，</w:t>
            </w:r>
            <w:r>
              <w:rPr>
                <w:rFonts w:hint="eastAsia" w:cs="Times New Roman"/>
                <w:caps w:val="0"/>
                <w:smallCaps w:val="0"/>
                <w:color w:val="auto"/>
                <w:sz w:val="24"/>
                <w:szCs w:val="24"/>
                <w:lang w:val="en-US" w:eastAsia="zh-CN"/>
              </w:rPr>
              <w:t>破碎时设备为全密闭状态</w:t>
            </w:r>
            <w:r>
              <w:rPr>
                <w:rFonts w:hint="default" w:ascii="Times New Roman" w:hAnsi="Times New Roman" w:eastAsia="宋体" w:cs="Times New Roman"/>
                <w:caps w:val="0"/>
                <w:smallCaps w:val="0"/>
                <w:color w:val="auto"/>
                <w:sz w:val="24"/>
                <w:szCs w:val="24"/>
              </w:rPr>
              <w:t>，</w:t>
            </w:r>
            <w:r>
              <w:rPr>
                <w:rFonts w:hint="eastAsia" w:cs="Times New Roman"/>
                <w:caps w:val="0"/>
                <w:smallCaps w:val="0"/>
                <w:color w:val="auto"/>
                <w:sz w:val="24"/>
                <w:szCs w:val="24"/>
                <w:lang w:val="en-US" w:eastAsia="zh-CN"/>
              </w:rPr>
              <w:t>破碎过程</w:t>
            </w:r>
            <w:r>
              <w:rPr>
                <w:rFonts w:hint="default" w:ascii="Times New Roman" w:hAnsi="Times New Roman" w:eastAsia="宋体" w:cs="Times New Roman"/>
                <w:caps w:val="0"/>
                <w:smallCaps w:val="0"/>
                <w:color w:val="auto"/>
                <w:sz w:val="24"/>
                <w:szCs w:val="24"/>
                <w:lang w:val="en-US" w:eastAsia="zh-CN"/>
              </w:rPr>
              <w:t>溢出的</w:t>
            </w:r>
            <w:r>
              <w:rPr>
                <w:rFonts w:hint="default" w:ascii="Times New Roman" w:hAnsi="Times New Roman" w:eastAsia="宋体" w:cs="Times New Roman"/>
                <w:b w:val="0"/>
                <w:bCs w:val="0"/>
                <w:color w:val="auto"/>
                <w:sz w:val="24"/>
                <w:szCs w:val="24"/>
                <w:lang w:val="en-US" w:eastAsia="zh-CN"/>
              </w:rPr>
              <w:t>粉尘量较小，呈无组织排放</w:t>
            </w:r>
            <w:r>
              <w:rPr>
                <w:rFonts w:hint="eastAsia" w:cs="Times New Roman"/>
                <w:b w:val="0"/>
                <w:bCs w:val="0"/>
                <w:color w:val="auto"/>
                <w:sz w:val="24"/>
                <w:szCs w:val="24"/>
                <w:lang w:val="en-US" w:eastAsia="zh-CN"/>
              </w:rPr>
              <w:t>，粉尘产生量核算</w:t>
            </w:r>
            <w:r>
              <w:rPr>
                <w:rFonts w:hint="default" w:ascii="Times New Roman" w:hAnsi="Times New Roman" w:eastAsia="宋体" w:cs="Times New Roman"/>
                <w:color w:val="auto"/>
                <w:kern w:val="0"/>
                <w:sz w:val="24"/>
                <w:szCs w:val="24"/>
                <w:lang w:val="en-US" w:eastAsia="zh-CN" w:bidi="ar"/>
              </w:rPr>
              <w:t>参考《排放源统计调查产排污核算方法和系数手册》中的“42 废弃资源综合利用行业系数手册”—“4220 非金属废料和碎屑加工处理行业系数表”，废pp再生树脂颗粒，采用干法破碎工艺时，颗粒物产污系数为375g/t·原料。项目</w:t>
            </w:r>
            <w:r>
              <w:rPr>
                <w:rFonts w:hint="eastAsia" w:cs="Times New Roman"/>
                <w:color w:val="auto"/>
                <w:kern w:val="0"/>
                <w:sz w:val="24"/>
                <w:szCs w:val="24"/>
                <w:lang w:val="en-US" w:eastAsia="zh-CN" w:bidi="ar"/>
              </w:rPr>
              <w:t>生产废料及</w:t>
            </w:r>
            <w:r>
              <w:rPr>
                <w:rFonts w:hint="default" w:ascii="Times New Roman" w:hAnsi="Times New Roman" w:eastAsia="宋体" w:cs="Times New Roman"/>
                <w:color w:val="auto"/>
                <w:kern w:val="0"/>
                <w:sz w:val="24"/>
                <w:szCs w:val="24"/>
                <w:lang w:val="en-US" w:eastAsia="zh-CN" w:bidi="ar"/>
              </w:rPr>
              <w:t>不合格产品核算量为</w:t>
            </w:r>
            <w:r>
              <w:rPr>
                <w:rFonts w:hint="eastAsia" w:cs="Times New Roman"/>
                <w:color w:val="auto"/>
                <w:kern w:val="0"/>
                <w:sz w:val="24"/>
                <w:szCs w:val="24"/>
                <w:highlight w:val="none"/>
                <w:lang w:val="en-US" w:eastAsia="zh-CN" w:bidi="ar"/>
              </w:rPr>
              <w:t>6.515</w:t>
            </w:r>
            <w:r>
              <w:rPr>
                <w:rFonts w:hint="default" w:ascii="Times New Roman" w:hAnsi="Times New Roman" w:eastAsia="宋体" w:cs="Times New Roman"/>
                <w:color w:val="auto"/>
                <w:kern w:val="0"/>
                <w:sz w:val="24"/>
                <w:szCs w:val="24"/>
                <w:highlight w:val="none"/>
                <w:lang w:val="en-US" w:eastAsia="zh-CN" w:bidi="ar"/>
              </w:rPr>
              <w:t>t/a</w:t>
            </w:r>
            <w:r>
              <w:rPr>
                <w:rFonts w:hint="default" w:ascii="Times New Roman" w:hAnsi="Times New Roman" w:eastAsia="宋体" w:cs="Times New Roman"/>
                <w:color w:val="auto"/>
                <w:kern w:val="0"/>
                <w:sz w:val="24"/>
                <w:szCs w:val="24"/>
                <w:lang w:val="en-US" w:eastAsia="zh-CN" w:bidi="ar"/>
              </w:rPr>
              <w:t>，则破碎工序粉尘产生量为0.00</w:t>
            </w:r>
            <w:r>
              <w:rPr>
                <w:rFonts w:hint="eastAsia" w:cs="Times New Roman"/>
                <w:color w:val="auto"/>
                <w:kern w:val="0"/>
                <w:sz w:val="24"/>
                <w:szCs w:val="24"/>
                <w:lang w:val="en-US" w:eastAsia="zh-CN" w:bidi="ar"/>
              </w:rPr>
              <w:t>244</w:t>
            </w:r>
            <w:r>
              <w:rPr>
                <w:rFonts w:hint="default" w:ascii="Times New Roman" w:hAnsi="Times New Roman" w:eastAsia="宋体" w:cs="Times New Roman"/>
                <w:color w:val="auto"/>
                <w:kern w:val="0"/>
                <w:sz w:val="24"/>
                <w:szCs w:val="24"/>
                <w:lang w:val="en-US" w:eastAsia="zh-CN" w:bidi="ar"/>
              </w:rPr>
              <w:t>t/a，产生速率为0.00</w:t>
            </w:r>
            <w:r>
              <w:rPr>
                <w:rFonts w:hint="eastAsia" w:cs="Times New Roman"/>
                <w:color w:val="auto"/>
                <w:kern w:val="0"/>
                <w:sz w:val="24"/>
                <w:szCs w:val="24"/>
                <w:lang w:val="en-US" w:eastAsia="zh-CN" w:bidi="ar"/>
              </w:rPr>
              <w:t>61</w:t>
            </w:r>
            <w:r>
              <w:rPr>
                <w:rFonts w:hint="default" w:ascii="Times New Roman" w:hAnsi="Times New Roman" w:eastAsia="宋体" w:cs="Times New Roman"/>
                <w:color w:val="auto"/>
                <w:kern w:val="0"/>
                <w:sz w:val="24"/>
                <w:szCs w:val="24"/>
                <w:lang w:val="en-US" w:eastAsia="zh-CN" w:bidi="ar"/>
              </w:rPr>
              <w:t>kg/h。根据《工业源固体物料堆场颗粒物核算系数》中附录5：半敞开式堆场粉尘控制效率为 60%。本项目厂房为封闭式厂房（</w:t>
            </w:r>
            <w:r>
              <w:rPr>
                <w:rFonts w:hint="eastAsia" w:cs="Times New Roman"/>
                <w:color w:val="auto"/>
                <w:kern w:val="0"/>
                <w:sz w:val="24"/>
                <w:szCs w:val="24"/>
                <w:lang w:val="en-US" w:eastAsia="zh-CN" w:bidi="ar"/>
              </w:rPr>
              <w:t>生产时</w:t>
            </w:r>
            <w:r>
              <w:rPr>
                <w:rFonts w:hint="default" w:ascii="Times New Roman" w:hAnsi="Times New Roman" w:eastAsia="宋体" w:cs="Times New Roman"/>
                <w:color w:val="auto"/>
                <w:kern w:val="0"/>
                <w:sz w:val="24"/>
                <w:szCs w:val="24"/>
                <w:lang w:val="en-US" w:eastAsia="zh-CN" w:bidi="ar"/>
              </w:rPr>
              <w:t>仅预留出入口），项目生产厂房对粉尘的控制效率按 60%计，则项目破碎粉尘无组织排放量为0.00</w:t>
            </w:r>
            <w:r>
              <w:rPr>
                <w:rFonts w:hint="eastAsia" w:cs="Times New Roman"/>
                <w:color w:val="auto"/>
                <w:kern w:val="0"/>
                <w:sz w:val="24"/>
                <w:szCs w:val="24"/>
                <w:lang w:val="en-US" w:eastAsia="zh-CN" w:bidi="ar"/>
              </w:rPr>
              <w:t>10</w:t>
            </w:r>
            <w:r>
              <w:rPr>
                <w:rFonts w:hint="default" w:ascii="Times New Roman" w:hAnsi="Times New Roman" w:eastAsia="宋体" w:cs="Times New Roman"/>
                <w:color w:val="auto"/>
                <w:kern w:val="0"/>
                <w:sz w:val="24"/>
                <w:szCs w:val="24"/>
                <w:lang w:val="en-US" w:eastAsia="zh-CN" w:bidi="ar"/>
              </w:rPr>
              <w:t>t/a，排放速率为0.00</w:t>
            </w:r>
            <w:r>
              <w:rPr>
                <w:rFonts w:hint="eastAsia" w:cs="Times New Roman"/>
                <w:color w:val="auto"/>
                <w:kern w:val="0"/>
                <w:sz w:val="24"/>
                <w:szCs w:val="24"/>
                <w:lang w:val="en-US" w:eastAsia="zh-CN" w:bidi="ar"/>
              </w:rPr>
              <w:t>25</w:t>
            </w:r>
            <w:r>
              <w:rPr>
                <w:rFonts w:hint="default" w:ascii="Times New Roman" w:hAnsi="Times New Roman" w:eastAsia="宋体" w:cs="Times New Roman"/>
                <w:color w:val="auto"/>
                <w:kern w:val="0"/>
                <w:sz w:val="24"/>
                <w:szCs w:val="24"/>
                <w:lang w:val="en-US" w:eastAsia="zh-CN" w:bidi="ar"/>
              </w:rPr>
              <w:t>kg/h，经厂房隔挡、自然沉降后对环境影响较小。</w:t>
            </w:r>
          </w:p>
          <w:p w14:paraId="1D53EE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（5）项目区粉尘</w:t>
            </w:r>
            <w:r>
              <w:rPr>
                <w:rFonts w:hint="eastAsia" w:ascii="Times New Roman" w:hAnsi="Times New Roman" w:eastAsia="宋体" w:cs="Times New Roman"/>
                <w:b/>
                <w:bCs/>
                <w:color w:val="auto"/>
                <w:sz w:val="24"/>
                <w:szCs w:val="24"/>
                <w:lang w:val="en-US" w:eastAsia="zh-CN"/>
              </w:rPr>
              <w:t>总</w:t>
            </w:r>
            <w:r>
              <w:rPr>
                <w:rFonts w:hint="default" w:ascii="Times New Roman" w:hAnsi="Times New Roman" w:eastAsia="宋体" w:cs="Times New Roman"/>
                <w:b/>
                <w:bCs/>
                <w:color w:val="000000"/>
                <w:kern w:val="0"/>
                <w:sz w:val="24"/>
                <w:szCs w:val="24"/>
                <w:lang w:val="en-US" w:eastAsia="zh-CN" w:bidi="ar"/>
              </w:rPr>
              <w:t>排放量</w:t>
            </w:r>
          </w:p>
          <w:p w14:paraId="2D083F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auto"/>
                <w:sz w:val="24"/>
                <w:szCs w:val="24"/>
                <w:lang w:val="en-US" w:eastAsia="zh-CN"/>
              </w:rPr>
              <w:t>本项目产尘工序主要包括拌料</w:t>
            </w:r>
            <w:r>
              <w:rPr>
                <w:rFonts w:hint="eastAsia" w:ascii="Times New Roman" w:hAnsi="Times New Roman" w:eastAsia="宋体" w:cs="Times New Roman"/>
                <w:color w:val="auto"/>
                <w:sz w:val="24"/>
                <w:szCs w:val="24"/>
                <w:lang w:val="en-US" w:eastAsia="zh-CN"/>
              </w:rPr>
              <w:t>、上料</w:t>
            </w:r>
            <w:r>
              <w:rPr>
                <w:rFonts w:hint="default" w:ascii="Times New Roman" w:hAnsi="Times New Roman" w:eastAsia="宋体" w:cs="Times New Roman"/>
                <w:color w:val="auto"/>
                <w:sz w:val="24"/>
                <w:szCs w:val="24"/>
                <w:lang w:val="en-US" w:eastAsia="zh-CN"/>
              </w:rPr>
              <w:t>和破碎过程，均在密闭装置内进行，均为无组织排放，项目生产车间为封闭式厂房（生产时仅有一扇车间门打开用于进出），参照生态环境部发布的《排放源统计调查产排污核算方法和系数手册》（公告2021年第24号）附表2固体物料堆存颗粒物产排污核算系数手册附录4、附录5粉尘控制措施控制效率，半密闭式控制效率为60%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项目生产厂房对粉尘的控制效率按60%计，则项目拌料、上料、破碎粉尘无组织</w:t>
            </w:r>
            <w:r>
              <w:rPr>
                <w:rFonts w:hint="eastAsia" w:cs="Times New Roman"/>
                <w:color w:val="000000" w:themeColor="text1"/>
                <w:kern w:val="0"/>
                <w:sz w:val="24"/>
                <w:szCs w:val="24"/>
                <w:lang w:val="en-US" w:eastAsia="zh-CN" w:bidi="ar"/>
                <w14:textFill>
                  <w14:solidFill>
                    <w14:schemeClr w14:val="tx1"/>
                  </w14:solidFill>
                </w14:textFill>
              </w:rPr>
              <w:t>总</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排放量为</w:t>
            </w:r>
            <w:r>
              <w:rPr>
                <w:rFonts w:hint="eastAsia" w:cs="Times New Roman"/>
                <w:color w:val="000000" w:themeColor="text1"/>
                <w:kern w:val="0"/>
                <w:sz w:val="24"/>
                <w:szCs w:val="24"/>
                <w:lang w:val="en-US" w:eastAsia="zh-CN" w:bidi="ar"/>
                <w14:textFill>
                  <w14:solidFill>
                    <w14:schemeClr w14:val="tx1"/>
                  </w14:solidFill>
                </w14:textFill>
              </w:rPr>
              <w:t>0.0531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cs="Times New Roman"/>
                <w:color w:val="000000" w:themeColor="text1"/>
                <w:kern w:val="0"/>
                <w:sz w:val="24"/>
                <w:szCs w:val="24"/>
                <w:lang w:val="en-US" w:eastAsia="zh-CN" w:bidi="ar"/>
                <w14:textFill>
                  <w14:solidFill>
                    <w14:schemeClr w14:val="tx1"/>
                  </w14:solidFill>
                </w14:textFill>
              </w:rPr>
              <w:t>0.007375kg/h，</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经自然沉降后对环境影响较小。</w:t>
            </w:r>
          </w:p>
          <w:p w14:paraId="52E1671B">
            <w:pPr>
              <w:pStyle w:val="125"/>
              <w:keepNext w:val="0"/>
              <w:keepLines w:val="0"/>
              <w:suppressLineNumbers w:val="0"/>
              <w:spacing w:before="0" w:beforeAutospacing="0" w:after="0" w:afterAutospacing="0"/>
              <w:ind w:left="0" w:right="0" w:firstLine="480"/>
              <w:rPr>
                <w:rFonts w:hint="default" w:ascii="Times New Roman" w:hAnsi="Times New Roman" w:eastAsia="宋体" w:cs="Times New Roman"/>
                <w:b/>
                <w:bCs/>
              </w:rPr>
            </w:pPr>
            <w:r>
              <w:rPr>
                <w:rFonts w:hint="default" w:ascii="Times New Roman" w:hAnsi="Times New Roman" w:eastAsia="宋体" w:cs="Times New Roman"/>
                <w:b/>
                <w:bCs/>
              </w:rPr>
              <w:t>（</w:t>
            </w:r>
            <w:r>
              <w:rPr>
                <w:rFonts w:hint="default" w:ascii="Times New Roman" w:hAnsi="Times New Roman" w:eastAsia="宋体" w:cs="Times New Roman"/>
                <w:b/>
                <w:bCs/>
                <w:lang w:val="en-US" w:eastAsia="zh-CN"/>
              </w:rPr>
              <w:t>6</w:t>
            </w:r>
            <w:r>
              <w:rPr>
                <w:rFonts w:hint="default" w:ascii="Times New Roman" w:hAnsi="Times New Roman" w:eastAsia="宋体" w:cs="Times New Roman"/>
                <w:b/>
                <w:bCs/>
              </w:rPr>
              <w:t>）食堂油烟</w:t>
            </w:r>
          </w:p>
          <w:p w14:paraId="33ED79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项目</w:t>
            </w:r>
            <w:r>
              <w:rPr>
                <w:rFonts w:hint="default" w:ascii="Times New Roman" w:hAnsi="Times New Roman" w:eastAsia="宋体" w:cs="Times New Roman"/>
                <w:color w:val="auto"/>
                <w:kern w:val="0"/>
                <w:sz w:val="24"/>
                <w:lang w:val="en-US" w:eastAsia="zh-CN" w:bidi="ar"/>
              </w:rPr>
              <w:t>依托</w:t>
            </w:r>
            <w:r>
              <w:rPr>
                <w:rFonts w:hint="default" w:ascii="Times New Roman" w:hAnsi="Times New Roman" w:eastAsia="宋体" w:cs="Times New Roman"/>
                <w:color w:val="auto"/>
                <w:sz w:val="24"/>
                <w:lang w:eastAsia="zh-CN"/>
              </w:rPr>
              <w:t>云南鹏达冠得有限公司</w:t>
            </w:r>
            <w:r>
              <w:rPr>
                <w:rFonts w:hint="default" w:ascii="Times New Roman" w:hAnsi="Times New Roman" w:eastAsia="宋体" w:cs="Times New Roman"/>
                <w:color w:val="auto"/>
                <w:kern w:val="0"/>
                <w:sz w:val="24"/>
                <w:lang w:val="en-US" w:eastAsia="zh-CN" w:bidi="ar"/>
              </w:rPr>
              <w:t>综合</w:t>
            </w:r>
            <w:r>
              <w:rPr>
                <w:rFonts w:hint="eastAsia" w:cs="Times New Roman"/>
                <w:color w:val="auto"/>
                <w:kern w:val="0"/>
                <w:sz w:val="24"/>
                <w:lang w:val="en-US" w:eastAsia="zh-CN" w:bidi="ar"/>
              </w:rPr>
              <w:t>楼</w:t>
            </w:r>
            <w:r>
              <w:rPr>
                <w:rFonts w:hint="default" w:ascii="Times New Roman" w:hAnsi="Times New Roman" w:eastAsia="宋体" w:cs="Times New Roman"/>
                <w:color w:val="auto"/>
                <w:kern w:val="0"/>
                <w:sz w:val="24"/>
                <w:lang w:val="en-US" w:eastAsia="zh-CN" w:bidi="ar"/>
              </w:rPr>
              <w:t>配套的</w:t>
            </w:r>
            <w:r>
              <w:rPr>
                <w:rFonts w:hint="default" w:ascii="Times New Roman" w:hAnsi="Times New Roman" w:eastAsia="宋体" w:cs="Times New Roman"/>
                <w:color w:val="auto"/>
                <w:kern w:val="0"/>
                <w:sz w:val="24"/>
                <w:lang w:bidi="ar"/>
              </w:rPr>
              <w:t>食堂</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共1个灶台</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为员工提供</w:t>
            </w:r>
            <w:r>
              <w:rPr>
                <w:rFonts w:hint="default" w:ascii="Times New Roman" w:hAnsi="Times New Roman" w:eastAsia="宋体" w:cs="Times New Roman"/>
                <w:color w:val="auto"/>
                <w:kern w:val="0"/>
                <w:sz w:val="24"/>
                <w:lang w:val="en-US" w:eastAsia="zh-CN" w:bidi="ar"/>
              </w:rPr>
              <w:t>午</w:t>
            </w:r>
            <w:r>
              <w:rPr>
                <w:rFonts w:hint="default" w:ascii="Times New Roman" w:hAnsi="Times New Roman" w:eastAsia="宋体" w:cs="Times New Roman"/>
                <w:color w:val="auto"/>
                <w:kern w:val="0"/>
                <w:sz w:val="24"/>
                <w:lang w:bidi="ar"/>
              </w:rPr>
              <w:t>餐</w:t>
            </w:r>
            <w:r>
              <w:rPr>
                <w:rFonts w:hint="eastAsia" w:cs="Times New Roman"/>
                <w:color w:val="auto"/>
                <w:kern w:val="0"/>
                <w:sz w:val="24"/>
                <w:lang w:eastAsia="zh-CN" w:bidi="ar"/>
              </w:rPr>
              <w:t>，</w:t>
            </w:r>
            <w:r>
              <w:rPr>
                <w:rFonts w:hint="default" w:ascii="Times New Roman" w:hAnsi="Times New Roman" w:eastAsia="宋体" w:cs="Times New Roman"/>
                <w:color w:val="auto"/>
                <w:sz w:val="24"/>
                <w:lang w:eastAsia="zh-CN"/>
              </w:rPr>
              <w:t>云南鹏达冠得有限公司</w:t>
            </w:r>
            <w:r>
              <w:rPr>
                <w:rFonts w:hint="default" w:ascii="Times New Roman" w:hAnsi="Times New Roman" w:eastAsia="宋体" w:cs="Times New Roman"/>
                <w:color w:val="auto"/>
                <w:kern w:val="0"/>
                <w:sz w:val="24"/>
                <w:lang w:val="en-US" w:eastAsia="zh-CN" w:bidi="ar"/>
              </w:rPr>
              <w:t>综合</w:t>
            </w:r>
            <w:r>
              <w:rPr>
                <w:rFonts w:hint="eastAsia" w:cs="Times New Roman"/>
                <w:color w:val="auto"/>
                <w:kern w:val="0"/>
                <w:sz w:val="24"/>
                <w:lang w:val="en-US" w:eastAsia="zh-CN" w:bidi="ar"/>
              </w:rPr>
              <w:t>楼</w:t>
            </w:r>
            <w:r>
              <w:rPr>
                <w:rFonts w:hint="default" w:ascii="Times New Roman" w:hAnsi="Times New Roman" w:eastAsia="宋体" w:cs="Times New Roman"/>
                <w:color w:val="auto"/>
                <w:kern w:val="0"/>
                <w:sz w:val="24"/>
                <w:lang w:val="en-US" w:eastAsia="zh-CN" w:bidi="ar"/>
              </w:rPr>
              <w:t>配套的</w:t>
            </w:r>
            <w:r>
              <w:rPr>
                <w:rFonts w:hint="default" w:ascii="Times New Roman" w:hAnsi="Times New Roman" w:eastAsia="宋体" w:cs="Times New Roman"/>
                <w:color w:val="auto"/>
                <w:kern w:val="0"/>
                <w:sz w:val="24"/>
                <w:lang w:bidi="ar"/>
              </w:rPr>
              <w:t>食堂</w:t>
            </w:r>
            <w:r>
              <w:rPr>
                <w:rFonts w:hint="eastAsia" w:ascii="Times New Roman" w:hAnsi="Times New Roman" w:eastAsia="宋体" w:cs="Times New Roman"/>
                <w:color w:val="auto"/>
                <w:kern w:val="0"/>
                <w:sz w:val="24"/>
                <w:lang w:val="en-US" w:eastAsia="zh-CN" w:bidi="ar"/>
              </w:rPr>
              <w:t>现状就餐人数为15人，年运行时间为300d，</w:t>
            </w:r>
            <w:r>
              <w:rPr>
                <w:rFonts w:hint="default" w:ascii="Times New Roman" w:hAnsi="Times New Roman" w:eastAsia="宋体" w:cs="Times New Roman"/>
                <w:color w:val="auto"/>
                <w:kern w:val="0"/>
                <w:sz w:val="24"/>
                <w:lang w:bidi="ar"/>
              </w:rPr>
              <w:t>每天厨房运作高峰期</w:t>
            </w:r>
            <w:r>
              <w:rPr>
                <w:rFonts w:hint="eastAsia" w:ascii="Times New Roman" w:hAnsi="Times New Roman" w:eastAsia="宋体" w:cs="Times New Roman"/>
                <w:color w:val="auto"/>
                <w:kern w:val="0"/>
                <w:sz w:val="24"/>
                <w:lang w:val="en-US" w:eastAsia="zh-CN" w:bidi="ar"/>
              </w:rPr>
              <w:t>为</w:t>
            </w:r>
            <w:r>
              <w:rPr>
                <w:rFonts w:hint="default" w:ascii="Times New Roman" w:hAnsi="Times New Roman" w:eastAsia="宋体" w:cs="Times New Roman"/>
                <w:color w:val="auto"/>
                <w:kern w:val="0"/>
                <w:sz w:val="24"/>
                <w:lang w:val="en-US" w:eastAsia="zh-CN" w:bidi="ar"/>
              </w:rPr>
              <w:t>3</w:t>
            </w:r>
            <w:r>
              <w:rPr>
                <w:rFonts w:hint="default" w:ascii="Times New Roman" w:hAnsi="Times New Roman" w:eastAsia="宋体" w:cs="Times New Roman"/>
                <w:color w:val="auto"/>
                <w:kern w:val="0"/>
                <w:sz w:val="24"/>
                <w:lang w:bidi="ar"/>
              </w:rPr>
              <w:t>小时</w:t>
            </w:r>
            <w:r>
              <w:rPr>
                <w:rFonts w:hint="eastAsia"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食堂配套</w:t>
            </w:r>
            <w:r>
              <w:rPr>
                <w:rFonts w:hint="default" w:ascii="Times New Roman" w:hAnsi="Times New Roman" w:eastAsia="宋体" w:cs="Times New Roman"/>
                <w:color w:val="auto"/>
                <w:kern w:val="0"/>
                <w:sz w:val="24"/>
                <w:lang w:bidi="ar"/>
              </w:rPr>
              <w:t>抽油烟机排风量为1000m</w:t>
            </w:r>
            <w:r>
              <w:rPr>
                <w:rFonts w:hint="default" w:ascii="Times New Roman" w:hAnsi="Times New Roman" w:eastAsia="宋体" w:cs="Times New Roman"/>
                <w:color w:val="auto"/>
                <w:kern w:val="0"/>
                <w:sz w:val="24"/>
                <w:vertAlign w:val="superscript"/>
                <w:lang w:bidi="ar"/>
              </w:rPr>
              <w:t>3</w:t>
            </w:r>
            <w:r>
              <w:rPr>
                <w:rFonts w:hint="default" w:ascii="Times New Roman" w:hAnsi="Times New Roman" w:eastAsia="宋体" w:cs="Times New Roman"/>
                <w:color w:val="auto"/>
                <w:kern w:val="0"/>
                <w:sz w:val="24"/>
                <w:lang w:bidi="ar"/>
              </w:rPr>
              <w:t>/h，</w:t>
            </w:r>
            <w:r>
              <w:rPr>
                <w:rFonts w:hint="eastAsia" w:ascii="Times New Roman" w:hAnsi="Times New Roman" w:eastAsia="宋体" w:cs="Times New Roman"/>
                <w:color w:val="auto"/>
                <w:kern w:val="0"/>
                <w:sz w:val="24"/>
                <w:lang w:val="en-US" w:eastAsia="zh-CN" w:bidi="ar"/>
              </w:rPr>
              <w:t>依托厨房现状油烟排放量约0.7641kg/a</w:t>
            </w:r>
            <w:r>
              <w:rPr>
                <w:rFonts w:hint="default" w:ascii="Times New Roman" w:hAnsi="Times New Roman" w:eastAsia="宋体" w:cs="Times New Roman"/>
                <w:color w:val="auto"/>
                <w:kern w:val="0"/>
                <w:sz w:val="24"/>
                <w:lang w:bidi="ar"/>
              </w:rPr>
              <w:t>。</w:t>
            </w:r>
          </w:p>
          <w:p w14:paraId="4F568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kern w:val="0"/>
                <w:sz w:val="24"/>
                <w:lang w:bidi="ar"/>
              </w:rPr>
            </w:pPr>
            <w:r>
              <w:rPr>
                <w:rFonts w:hint="eastAsia" w:cs="Times New Roman"/>
                <w:color w:val="auto"/>
                <w:kern w:val="0"/>
                <w:sz w:val="24"/>
                <w:lang w:val="en-US" w:eastAsia="zh-CN" w:bidi="ar"/>
              </w:rPr>
              <w:t>本</w:t>
            </w:r>
            <w:r>
              <w:rPr>
                <w:rFonts w:hint="default" w:ascii="Times New Roman" w:hAnsi="Times New Roman" w:eastAsia="宋体" w:cs="Times New Roman"/>
                <w:color w:val="auto"/>
                <w:kern w:val="0"/>
                <w:sz w:val="24"/>
                <w:lang w:val="en-US" w:eastAsia="zh-CN" w:bidi="ar"/>
              </w:rPr>
              <w:t>项目运营期</w:t>
            </w:r>
            <w:r>
              <w:rPr>
                <w:rFonts w:hint="eastAsia" w:cs="Times New Roman"/>
                <w:color w:val="auto"/>
                <w:kern w:val="0"/>
                <w:sz w:val="24"/>
                <w:lang w:val="en-US" w:eastAsia="zh-CN" w:bidi="ar"/>
              </w:rPr>
              <w:t>在食堂</w:t>
            </w:r>
            <w:r>
              <w:rPr>
                <w:rFonts w:hint="default" w:ascii="Times New Roman" w:hAnsi="Times New Roman" w:eastAsia="宋体" w:cs="Times New Roman"/>
                <w:color w:val="auto"/>
                <w:kern w:val="0"/>
                <w:sz w:val="24"/>
                <w:lang w:bidi="ar"/>
              </w:rPr>
              <w:t>就餐人数</w:t>
            </w:r>
            <w:r>
              <w:rPr>
                <w:rFonts w:hint="eastAsia" w:cs="Times New Roman"/>
                <w:color w:val="auto"/>
                <w:kern w:val="0"/>
                <w:sz w:val="24"/>
                <w:lang w:val="en-US" w:eastAsia="zh-CN" w:bidi="ar"/>
              </w:rPr>
              <w:t>约为</w:t>
            </w:r>
            <w:r>
              <w:rPr>
                <w:rFonts w:hint="default" w:ascii="Times New Roman" w:hAnsi="Times New Roman" w:eastAsia="宋体" w:cs="Times New Roman"/>
                <w:color w:val="auto"/>
                <w:kern w:val="0"/>
                <w:sz w:val="24"/>
                <w:lang w:val="en-US" w:eastAsia="zh-CN" w:bidi="ar"/>
              </w:rPr>
              <w:t>20</w:t>
            </w:r>
            <w:r>
              <w:rPr>
                <w:rFonts w:hint="default" w:ascii="Times New Roman" w:hAnsi="Times New Roman" w:eastAsia="宋体" w:cs="Times New Roman"/>
                <w:color w:val="auto"/>
                <w:kern w:val="0"/>
                <w:sz w:val="24"/>
                <w:lang w:bidi="ar"/>
              </w:rPr>
              <w:t>人，</w:t>
            </w:r>
            <w:r>
              <w:rPr>
                <w:rFonts w:hint="eastAsia" w:cs="Times New Roman"/>
                <w:color w:val="auto"/>
                <w:kern w:val="0"/>
                <w:sz w:val="24"/>
                <w:lang w:val="en-US" w:eastAsia="zh-CN" w:bidi="ar"/>
              </w:rPr>
              <w:t>年就餐时间为300d，</w:t>
            </w:r>
            <w:r>
              <w:rPr>
                <w:rFonts w:hint="default" w:ascii="Times New Roman" w:hAnsi="Times New Roman" w:eastAsia="宋体" w:cs="Times New Roman"/>
                <w:color w:val="auto"/>
                <w:kern w:val="0"/>
                <w:sz w:val="24"/>
                <w:lang w:bidi="ar"/>
              </w:rPr>
              <w:t>按每人每天用油</w:t>
            </w:r>
            <w:r>
              <w:rPr>
                <w:rFonts w:hint="default" w:ascii="Times New Roman" w:hAnsi="Times New Roman" w:eastAsia="宋体" w:cs="Times New Roman"/>
                <w:color w:val="auto"/>
                <w:kern w:val="0"/>
                <w:sz w:val="24"/>
                <w:lang w:val="en-US" w:eastAsia="zh-CN" w:bidi="ar"/>
              </w:rPr>
              <w:t>15</w:t>
            </w:r>
            <w:r>
              <w:rPr>
                <w:rFonts w:hint="default" w:ascii="Times New Roman" w:hAnsi="Times New Roman" w:eastAsia="宋体" w:cs="Times New Roman"/>
                <w:color w:val="auto"/>
                <w:kern w:val="0"/>
                <w:sz w:val="24"/>
                <w:lang w:bidi="ar"/>
              </w:rPr>
              <w:t>g计，则厨房用油量约为0.</w:t>
            </w:r>
            <w:r>
              <w:rPr>
                <w:rFonts w:hint="default" w:ascii="Times New Roman" w:hAnsi="Times New Roman" w:eastAsia="宋体" w:cs="Times New Roman"/>
                <w:color w:val="auto"/>
                <w:kern w:val="0"/>
                <w:sz w:val="24"/>
                <w:lang w:val="en-US" w:eastAsia="zh-CN" w:bidi="ar"/>
              </w:rPr>
              <w:t>3</w:t>
            </w:r>
            <w:r>
              <w:rPr>
                <w:rFonts w:hint="default" w:ascii="Times New Roman" w:hAnsi="Times New Roman" w:eastAsia="宋体" w:cs="Times New Roman"/>
                <w:color w:val="auto"/>
                <w:kern w:val="0"/>
                <w:sz w:val="24"/>
                <w:lang w:bidi="ar"/>
              </w:rPr>
              <w:t>kg/d，</w:t>
            </w:r>
            <w:r>
              <w:rPr>
                <w:rFonts w:hint="default" w:ascii="Times New Roman" w:hAnsi="Times New Roman" w:eastAsia="宋体" w:cs="Times New Roman"/>
                <w:color w:val="auto"/>
                <w:kern w:val="0"/>
                <w:sz w:val="24"/>
                <w:lang w:val="en-US" w:eastAsia="zh-CN" w:bidi="ar"/>
              </w:rPr>
              <w:t>90</w:t>
            </w:r>
            <w:r>
              <w:rPr>
                <w:rFonts w:hint="default" w:ascii="Times New Roman" w:hAnsi="Times New Roman" w:eastAsia="宋体" w:cs="Times New Roman"/>
                <w:color w:val="auto"/>
                <w:kern w:val="0"/>
                <w:sz w:val="24"/>
                <w:lang w:bidi="ar"/>
              </w:rPr>
              <w:t>kg/a。油的平均挥发量为总耗油量的2.83%，则项目厨房油烟产生量约为</w:t>
            </w:r>
            <w:r>
              <w:rPr>
                <w:rFonts w:hint="default" w:ascii="Times New Roman" w:hAnsi="Times New Roman" w:eastAsia="宋体" w:cs="Times New Roman"/>
                <w:color w:val="auto"/>
                <w:kern w:val="0"/>
                <w:sz w:val="24"/>
                <w:lang w:val="en-US" w:eastAsia="zh-CN" w:bidi="ar"/>
              </w:rPr>
              <w:t>8.49</w:t>
            </w:r>
            <w:r>
              <w:rPr>
                <w:rFonts w:hint="default" w:ascii="Times New Roman" w:hAnsi="Times New Roman" w:eastAsia="宋体" w:cs="Times New Roman"/>
                <w:color w:val="auto"/>
                <w:kern w:val="0"/>
                <w:sz w:val="24"/>
                <w:lang w:bidi="ar"/>
              </w:rPr>
              <w:t>g/d，</w:t>
            </w:r>
            <w:r>
              <w:rPr>
                <w:rFonts w:hint="default" w:ascii="Times New Roman" w:hAnsi="Times New Roman" w:eastAsia="宋体" w:cs="Times New Roman"/>
                <w:color w:val="auto"/>
                <w:kern w:val="0"/>
                <w:sz w:val="24"/>
                <w:lang w:val="en-US" w:eastAsia="zh-CN" w:bidi="ar"/>
              </w:rPr>
              <w:t>2.547</w:t>
            </w:r>
            <w:r>
              <w:rPr>
                <w:rFonts w:hint="default" w:ascii="Times New Roman" w:hAnsi="Times New Roman" w:eastAsia="宋体" w:cs="Times New Roman"/>
                <w:color w:val="auto"/>
                <w:kern w:val="0"/>
                <w:sz w:val="24"/>
                <w:lang w:bidi="ar"/>
              </w:rPr>
              <w:t>kg/a。则高峰期油烟产生量为</w:t>
            </w:r>
            <w:r>
              <w:rPr>
                <w:rFonts w:hint="default" w:ascii="Times New Roman" w:hAnsi="Times New Roman" w:eastAsia="宋体" w:cs="Times New Roman"/>
                <w:color w:val="auto"/>
                <w:kern w:val="0"/>
                <w:sz w:val="24"/>
                <w:lang w:val="en-US" w:eastAsia="zh-CN" w:bidi="ar"/>
              </w:rPr>
              <w:t>2.83</w:t>
            </w:r>
            <w:r>
              <w:rPr>
                <w:rFonts w:hint="default" w:ascii="Times New Roman" w:hAnsi="Times New Roman" w:eastAsia="宋体" w:cs="Times New Roman"/>
                <w:color w:val="auto"/>
                <w:kern w:val="0"/>
                <w:sz w:val="24"/>
                <w:lang w:bidi="ar"/>
              </w:rPr>
              <w:t>g/h，处理前的油烟浓度为</w:t>
            </w:r>
            <w:r>
              <w:rPr>
                <w:rFonts w:hint="default" w:ascii="Times New Roman" w:hAnsi="Times New Roman" w:eastAsia="宋体" w:cs="Times New Roman"/>
                <w:color w:val="auto"/>
                <w:kern w:val="0"/>
                <w:sz w:val="24"/>
                <w:lang w:val="en-US" w:eastAsia="zh-CN" w:bidi="ar"/>
              </w:rPr>
              <w:t>2.83</w:t>
            </w:r>
            <w:r>
              <w:rPr>
                <w:rFonts w:hint="default" w:ascii="Times New Roman" w:hAnsi="Times New Roman" w:eastAsia="宋体" w:cs="Times New Roman"/>
                <w:color w:val="auto"/>
                <w:kern w:val="0"/>
                <w:sz w:val="24"/>
                <w:lang w:bidi="ar"/>
              </w:rPr>
              <w:t>mg/m³。</w:t>
            </w:r>
            <w:r>
              <w:rPr>
                <w:rFonts w:hint="default" w:ascii="Times New Roman" w:hAnsi="Times New Roman" w:eastAsia="宋体" w:cs="Times New Roman"/>
                <w:color w:val="auto"/>
                <w:kern w:val="0"/>
                <w:sz w:val="24"/>
                <w:lang w:val="en-US" w:eastAsia="zh-CN" w:bidi="ar"/>
              </w:rPr>
              <w:t>根据</w:t>
            </w:r>
            <w:r>
              <w:rPr>
                <w:rFonts w:hint="eastAsia" w:cs="Times New Roman"/>
                <w:color w:val="auto"/>
                <w:kern w:val="0"/>
                <w:sz w:val="24"/>
                <w:lang w:val="en-US" w:eastAsia="zh-CN" w:bidi="ar"/>
              </w:rPr>
              <w:t>《云南鹏达冠得家具竣工验收监测报告表》</w:t>
            </w:r>
            <w:r>
              <w:rPr>
                <w:rFonts w:hint="default" w:ascii="Times New Roman" w:hAnsi="Times New Roman" w:eastAsia="宋体" w:cs="Times New Roman"/>
                <w:color w:val="auto"/>
                <w:kern w:val="0"/>
                <w:sz w:val="24"/>
                <w:lang w:val="en-US" w:eastAsia="zh-CN" w:bidi="ar"/>
              </w:rPr>
              <w:t>，</w:t>
            </w:r>
            <w:r>
              <w:rPr>
                <w:rFonts w:hint="default" w:ascii="Times New Roman" w:hAnsi="Times New Roman" w:eastAsia="宋体" w:cs="Times New Roman"/>
                <w:color w:val="auto"/>
                <w:kern w:val="0"/>
                <w:sz w:val="24"/>
                <w:lang w:bidi="ar"/>
              </w:rPr>
              <w:t>厨房安装油烟处理效率</w:t>
            </w:r>
            <w:r>
              <w:rPr>
                <w:rFonts w:hint="default" w:ascii="Times New Roman" w:hAnsi="Times New Roman" w:eastAsia="宋体" w:cs="Times New Roman"/>
                <w:color w:val="auto"/>
                <w:kern w:val="0"/>
                <w:sz w:val="24"/>
                <w:lang w:val="en-US" w:eastAsia="zh-CN" w:bidi="ar"/>
              </w:rPr>
              <w:t>6</w:t>
            </w:r>
            <w:r>
              <w:rPr>
                <w:rFonts w:hint="default" w:ascii="Times New Roman" w:hAnsi="Times New Roman" w:eastAsia="宋体" w:cs="Times New Roman"/>
                <w:color w:val="auto"/>
                <w:kern w:val="0"/>
                <w:sz w:val="24"/>
                <w:lang w:bidi="ar"/>
              </w:rPr>
              <w:t>0%的油烟净化器，经净化处理后项目油烟排放</w:t>
            </w:r>
            <w:r>
              <w:rPr>
                <w:rFonts w:hint="eastAsia" w:cs="Times New Roman"/>
                <w:color w:val="auto"/>
                <w:kern w:val="0"/>
                <w:sz w:val="24"/>
                <w:lang w:val="en-US" w:eastAsia="zh-CN" w:bidi="ar"/>
              </w:rPr>
              <w:t>量</w:t>
            </w:r>
            <w:r>
              <w:rPr>
                <w:rFonts w:hint="default" w:ascii="Times New Roman" w:hAnsi="Times New Roman" w:eastAsia="宋体" w:cs="Times New Roman"/>
                <w:color w:val="auto"/>
                <w:kern w:val="0"/>
                <w:sz w:val="24"/>
                <w:lang w:bidi="ar"/>
              </w:rPr>
              <w:t>约为</w:t>
            </w:r>
            <w:r>
              <w:rPr>
                <w:rFonts w:hint="default" w:ascii="Times New Roman" w:hAnsi="Times New Roman" w:eastAsia="宋体" w:cs="Times New Roman"/>
                <w:color w:val="auto"/>
                <w:kern w:val="0"/>
                <w:sz w:val="24"/>
                <w:lang w:val="en-US" w:eastAsia="zh-CN" w:bidi="ar"/>
              </w:rPr>
              <w:t>1.0188</w:t>
            </w:r>
            <w:r>
              <w:rPr>
                <w:rFonts w:hint="default" w:ascii="Times New Roman" w:hAnsi="Times New Roman" w:eastAsia="宋体" w:cs="Times New Roman"/>
                <w:color w:val="auto"/>
                <w:kern w:val="0"/>
                <w:sz w:val="24"/>
                <w:lang w:bidi="ar"/>
              </w:rPr>
              <w:t>kg/a</w:t>
            </w:r>
            <w:r>
              <w:rPr>
                <w:rFonts w:hint="default" w:ascii="Times New Roman" w:hAnsi="Times New Roman" w:eastAsia="宋体" w:cs="Times New Roman"/>
                <w:color w:val="auto"/>
                <w:kern w:val="0"/>
                <w:sz w:val="24"/>
                <w:lang w:eastAsia="zh-CN" w:bidi="ar"/>
              </w:rPr>
              <w:t>，</w:t>
            </w:r>
            <w:r>
              <w:rPr>
                <w:rFonts w:hint="eastAsia" w:cs="Times New Roman"/>
                <w:color w:val="auto"/>
                <w:kern w:val="0"/>
                <w:sz w:val="24"/>
                <w:lang w:val="en-US" w:eastAsia="zh-CN" w:bidi="ar"/>
              </w:rPr>
              <w:t>排放速率为</w:t>
            </w:r>
            <w:r>
              <w:rPr>
                <w:rFonts w:hint="default" w:ascii="Times New Roman" w:hAnsi="Times New Roman" w:eastAsia="宋体" w:cs="Times New Roman"/>
                <w:color w:val="auto"/>
                <w:kern w:val="0"/>
                <w:sz w:val="24"/>
                <w:lang w:val="en-US" w:eastAsia="zh-CN" w:bidi="ar"/>
              </w:rPr>
              <w:t>1.132</w:t>
            </w:r>
            <w:r>
              <w:rPr>
                <w:rFonts w:hint="default" w:ascii="Times New Roman" w:hAnsi="Times New Roman" w:eastAsia="宋体" w:cs="Times New Roman"/>
                <w:bCs/>
                <w:color w:val="auto"/>
                <w:sz w:val="24"/>
                <w:szCs w:val="24"/>
              </w:rPr>
              <w:t>×10</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color w:val="auto"/>
                <w:kern w:val="0"/>
                <w:sz w:val="24"/>
                <w:lang w:val="en-US" w:eastAsia="zh-CN" w:bidi="ar"/>
              </w:rPr>
              <w:t>kg/h，</w:t>
            </w:r>
            <w:r>
              <w:rPr>
                <w:rFonts w:hint="default" w:ascii="Times New Roman" w:hAnsi="Times New Roman" w:eastAsia="宋体" w:cs="Times New Roman"/>
                <w:color w:val="auto"/>
                <w:kern w:val="0"/>
                <w:sz w:val="24"/>
                <w:lang w:bidi="ar"/>
              </w:rPr>
              <w:t>排放浓度为</w:t>
            </w:r>
            <w:r>
              <w:rPr>
                <w:rFonts w:hint="default" w:ascii="Times New Roman" w:hAnsi="Times New Roman" w:eastAsia="宋体" w:cs="Times New Roman"/>
                <w:kern w:val="0"/>
                <w:sz w:val="24"/>
                <w:lang w:val="en-US" w:eastAsia="zh-CN" w:bidi="ar"/>
              </w:rPr>
              <w:t>1.132</w:t>
            </w:r>
            <w:r>
              <w:rPr>
                <w:rFonts w:hint="default" w:ascii="Times New Roman" w:hAnsi="Times New Roman" w:eastAsia="宋体" w:cs="Times New Roman"/>
                <w:kern w:val="0"/>
                <w:sz w:val="24"/>
                <w:lang w:bidi="ar"/>
              </w:rPr>
              <w:t>mg/m³。</w:t>
            </w:r>
          </w:p>
          <w:p w14:paraId="5B3B55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kern w:val="0"/>
                <w:sz w:val="24"/>
                <w:lang w:val="en-US" w:eastAsia="zh-CN" w:bidi="ar"/>
              </w:rPr>
            </w:pPr>
            <w:r>
              <w:rPr>
                <w:rFonts w:hint="eastAsia" w:cs="Times New Roman"/>
                <w:kern w:val="0"/>
                <w:sz w:val="24"/>
                <w:lang w:val="en-US" w:eastAsia="zh-CN" w:bidi="ar"/>
              </w:rPr>
              <w:t>本项目运行后</w:t>
            </w:r>
            <w:r>
              <w:rPr>
                <w:rFonts w:hint="eastAsia" w:cs="Times New Roman"/>
                <w:color w:val="auto"/>
                <w:kern w:val="0"/>
                <w:sz w:val="24"/>
                <w:lang w:val="en-US" w:eastAsia="zh-CN" w:bidi="ar"/>
              </w:rPr>
              <w:t>，依托</w:t>
            </w:r>
            <w:r>
              <w:rPr>
                <w:rFonts w:hint="default" w:ascii="Times New Roman" w:hAnsi="Times New Roman" w:eastAsia="宋体" w:cs="Times New Roman"/>
                <w:color w:val="auto"/>
                <w:sz w:val="24"/>
                <w:lang w:eastAsia="zh-CN"/>
              </w:rPr>
              <w:t>云南鹏达冠得有限公司</w:t>
            </w:r>
            <w:r>
              <w:rPr>
                <w:rFonts w:hint="default" w:ascii="Times New Roman" w:hAnsi="Times New Roman" w:eastAsia="宋体" w:cs="Times New Roman"/>
                <w:color w:val="auto"/>
                <w:kern w:val="0"/>
                <w:sz w:val="24"/>
                <w:lang w:val="en-US" w:eastAsia="zh-CN" w:bidi="ar"/>
              </w:rPr>
              <w:t>综合</w:t>
            </w:r>
            <w:r>
              <w:rPr>
                <w:rFonts w:hint="eastAsia" w:cs="Times New Roman"/>
                <w:color w:val="auto"/>
                <w:kern w:val="0"/>
                <w:sz w:val="24"/>
                <w:lang w:val="en-US" w:eastAsia="zh-CN" w:bidi="ar"/>
              </w:rPr>
              <w:t>楼</w:t>
            </w:r>
            <w:r>
              <w:rPr>
                <w:rFonts w:hint="default" w:ascii="Times New Roman" w:hAnsi="Times New Roman" w:eastAsia="宋体" w:cs="Times New Roman"/>
                <w:color w:val="auto"/>
                <w:kern w:val="0"/>
                <w:sz w:val="24"/>
                <w:lang w:val="en-US" w:eastAsia="zh-CN" w:bidi="ar"/>
              </w:rPr>
              <w:t>配套</w:t>
            </w:r>
            <w:r>
              <w:rPr>
                <w:rFonts w:hint="default" w:ascii="Times New Roman" w:hAnsi="Times New Roman" w:eastAsia="宋体" w:cs="Times New Roman"/>
                <w:color w:val="auto"/>
                <w:kern w:val="0"/>
                <w:sz w:val="24"/>
                <w:lang w:bidi="ar"/>
              </w:rPr>
              <w:t>食堂</w:t>
            </w:r>
            <w:r>
              <w:rPr>
                <w:rFonts w:hint="eastAsia" w:ascii="Times New Roman" w:hAnsi="Times New Roman" w:eastAsia="宋体" w:cs="Times New Roman"/>
                <w:color w:val="auto"/>
                <w:kern w:val="0"/>
                <w:sz w:val="24"/>
                <w:lang w:val="en-US" w:eastAsia="zh-CN" w:bidi="ar"/>
              </w:rPr>
              <w:t>就餐总人数为35人，油烟排放总量为1.7829</w:t>
            </w:r>
            <w:r>
              <w:rPr>
                <w:rFonts w:hint="eastAsia" w:cs="Times New Roman"/>
                <w:color w:val="auto"/>
                <w:kern w:val="0"/>
                <w:sz w:val="24"/>
                <w:lang w:val="en-US" w:eastAsia="zh-CN" w:bidi="ar"/>
              </w:rPr>
              <w:t>kg</w:t>
            </w:r>
            <w:r>
              <w:rPr>
                <w:rFonts w:hint="eastAsia" w:ascii="Times New Roman" w:hAnsi="Times New Roman" w:eastAsia="宋体" w:cs="Times New Roman"/>
                <w:color w:val="auto"/>
                <w:kern w:val="0"/>
                <w:sz w:val="24"/>
                <w:lang w:val="en-US" w:eastAsia="zh-CN" w:bidi="ar"/>
              </w:rPr>
              <w:t>/a，排放速率为1.981</w:t>
            </w:r>
            <w:r>
              <w:rPr>
                <w:rFonts w:hint="default" w:ascii="Times New Roman" w:hAnsi="Times New Roman" w:eastAsia="宋体" w:cs="Times New Roman"/>
                <w:bCs/>
                <w:color w:val="auto"/>
                <w:sz w:val="24"/>
                <w:szCs w:val="24"/>
              </w:rPr>
              <w:t>×10</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color w:val="auto"/>
                <w:kern w:val="0"/>
                <w:sz w:val="24"/>
                <w:lang w:val="en-US" w:eastAsia="zh-CN" w:bidi="ar"/>
              </w:rPr>
              <w:t>kg/h，</w:t>
            </w:r>
            <w:r>
              <w:rPr>
                <w:rFonts w:hint="default" w:ascii="Times New Roman" w:hAnsi="Times New Roman" w:eastAsia="宋体" w:cs="Times New Roman"/>
                <w:color w:val="auto"/>
                <w:kern w:val="0"/>
                <w:sz w:val="24"/>
                <w:lang w:bidi="ar"/>
              </w:rPr>
              <w:t>排放浓度为</w:t>
            </w:r>
            <w:r>
              <w:rPr>
                <w:rFonts w:hint="eastAsia" w:ascii="Times New Roman" w:hAnsi="Times New Roman" w:eastAsia="宋体" w:cs="Times New Roman"/>
                <w:color w:val="auto"/>
                <w:kern w:val="0"/>
                <w:sz w:val="24"/>
                <w:lang w:val="en-US" w:eastAsia="zh-CN" w:bidi="ar"/>
              </w:rPr>
              <w:t>1.981</w:t>
            </w:r>
            <w:r>
              <w:rPr>
                <w:rFonts w:hint="default" w:ascii="Times New Roman" w:hAnsi="Times New Roman" w:eastAsia="宋体" w:cs="Times New Roman"/>
                <w:color w:val="auto"/>
                <w:kern w:val="0"/>
                <w:sz w:val="24"/>
                <w:lang w:bidi="ar"/>
              </w:rPr>
              <w:t>mg/m³。经排烟管道引至</w:t>
            </w:r>
            <w:r>
              <w:rPr>
                <w:rFonts w:hint="default" w:ascii="Times New Roman" w:hAnsi="Times New Roman" w:eastAsia="宋体" w:cs="Times New Roman"/>
                <w:kern w:val="0"/>
                <w:sz w:val="24"/>
                <w:lang w:bidi="ar"/>
              </w:rPr>
              <w:t>屋顶排放。油烟经净化达到《饮食业油烟排放标准（试行）》（GB18483-2001）中的有关规定即排放浓度≤2mg/m³。</w:t>
            </w:r>
          </w:p>
        </w:tc>
      </w:tr>
    </w:tbl>
    <w:p w14:paraId="6DC8D2E6">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tbl>
      <w:tblPr>
        <w:tblStyle w:val="36"/>
        <w:tblW w:w="502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13195"/>
      </w:tblGrid>
      <w:tr w14:paraId="36963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6" w:hRule="atLeast"/>
          <w:jc w:val="center"/>
        </w:trPr>
        <w:tc>
          <w:tcPr>
            <w:tcW w:w="166" w:type="pct"/>
            <w:noWrap w:val="0"/>
            <w:tcMar>
              <w:left w:w="28" w:type="dxa"/>
              <w:right w:w="28" w:type="dxa"/>
            </w:tcMar>
            <w:vAlign w:val="center"/>
          </w:tcPr>
          <w:p w14:paraId="0F2F167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rPr>
            </w:pPr>
            <w:r>
              <w:rPr>
                <w:rFonts w:hint="default" w:ascii="Times New Roman" w:hAnsi="Times New Roman" w:eastAsia="宋体" w:cs="Times New Roman"/>
                <w:bCs/>
                <w:color w:val="auto"/>
                <w:sz w:val="24"/>
              </w:rPr>
              <w:t>运营期环境影响和保护措施</w:t>
            </w:r>
          </w:p>
        </w:tc>
        <w:tc>
          <w:tcPr>
            <w:tcW w:w="4833" w:type="pct"/>
            <w:noWrap w:val="0"/>
            <w:vAlign w:val="center"/>
          </w:tcPr>
          <w:p w14:paraId="1ADDEC45">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rPr>
            </w:pPr>
            <w:r>
              <w:rPr>
                <w:rFonts w:hint="default" w:ascii="Times New Roman" w:hAnsi="Times New Roman" w:eastAsia="宋体" w:cs="Times New Roman"/>
                <w:b/>
                <w:bCs/>
                <w:color w:val="auto"/>
                <w:kern w:val="0"/>
                <w:sz w:val="24"/>
                <w:lang w:eastAsia="zh-CN" w:bidi="ar"/>
              </w:rPr>
              <w:t>（</w:t>
            </w:r>
            <w:r>
              <w:rPr>
                <w:rFonts w:hint="default" w:ascii="Times New Roman" w:hAnsi="Times New Roman" w:eastAsia="宋体" w:cs="Times New Roman"/>
                <w:b/>
                <w:bCs/>
                <w:color w:val="auto"/>
                <w:kern w:val="0"/>
                <w:sz w:val="24"/>
                <w:lang w:val="en-US" w:eastAsia="zh-CN" w:bidi="ar"/>
              </w:rPr>
              <w:t>7</w:t>
            </w:r>
            <w:r>
              <w:rPr>
                <w:rFonts w:hint="default" w:ascii="Times New Roman" w:hAnsi="Times New Roman" w:eastAsia="宋体" w:cs="Times New Roman"/>
                <w:b/>
                <w:bCs/>
                <w:color w:val="auto"/>
                <w:kern w:val="0"/>
                <w:sz w:val="24"/>
                <w:lang w:eastAsia="zh-CN" w:bidi="ar"/>
              </w:rPr>
              <w:t>）</w:t>
            </w:r>
            <w:r>
              <w:rPr>
                <w:rFonts w:hint="default" w:ascii="Times New Roman" w:hAnsi="Times New Roman" w:eastAsia="宋体" w:cs="Times New Roman"/>
                <w:b/>
                <w:bCs/>
                <w:color w:val="auto"/>
                <w:kern w:val="24"/>
                <w:sz w:val="24"/>
              </w:rPr>
              <w:t>大气污染物源强核算</w:t>
            </w:r>
            <w:r>
              <w:rPr>
                <w:rFonts w:hint="default" w:ascii="Times New Roman" w:hAnsi="Times New Roman" w:eastAsia="宋体" w:cs="Times New Roman"/>
                <w:b/>
                <w:bCs/>
                <w:color w:val="auto"/>
                <w:kern w:val="24"/>
                <w:sz w:val="24"/>
                <w:lang w:val="en-US" w:eastAsia="zh-CN"/>
              </w:rPr>
              <w:t>情况</w:t>
            </w:r>
          </w:p>
          <w:p w14:paraId="567D9A7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color w:val="auto"/>
                <w:sz w:val="24"/>
              </w:rPr>
            </w:pPr>
            <w:r>
              <w:rPr>
                <w:rFonts w:hint="default" w:ascii="Times New Roman" w:hAnsi="Times New Roman" w:eastAsia="宋体" w:cs="Times New Roman"/>
                <w:color w:val="auto"/>
                <w:sz w:val="24"/>
                <w:lang w:val="en-US" w:eastAsia="zh-CN"/>
              </w:rPr>
              <w:t>项目</w:t>
            </w:r>
            <w:r>
              <w:rPr>
                <w:rFonts w:hint="default" w:ascii="Times New Roman" w:hAnsi="Times New Roman" w:eastAsia="宋体" w:cs="Times New Roman"/>
                <w:color w:val="auto"/>
                <w:sz w:val="24"/>
              </w:rPr>
              <w:t>源强核算</w:t>
            </w:r>
            <w:r>
              <w:rPr>
                <w:rFonts w:hint="default" w:ascii="Times New Roman" w:hAnsi="Times New Roman" w:eastAsia="宋体" w:cs="Times New Roman"/>
                <w:color w:val="auto"/>
                <w:sz w:val="24"/>
                <w:lang w:val="en-US" w:eastAsia="zh-CN"/>
              </w:rPr>
              <w:t>一览表见表4-4</w:t>
            </w:r>
            <w:r>
              <w:rPr>
                <w:rFonts w:hint="default" w:ascii="Times New Roman" w:hAnsi="Times New Roman" w:eastAsia="宋体" w:cs="Times New Roman"/>
                <w:color w:val="auto"/>
                <w:sz w:val="24"/>
              </w:rPr>
              <w:t>，项目有组织排放核算见表4-</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，有组织排放口基本情况见表4-</w:t>
            </w:r>
            <w:r>
              <w:rPr>
                <w:rFonts w:hint="default"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，无组织排放核算见表4-</w:t>
            </w:r>
            <w:r>
              <w:rPr>
                <w:rFonts w:hint="default"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w:t>
            </w:r>
          </w:p>
          <w:p w14:paraId="20BE74AE">
            <w:pPr>
              <w:pStyle w:val="126"/>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rPr>
            </w:pPr>
            <w:r>
              <w:rPr>
                <w:rFonts w:hint="default" w:ascii="Times New Roman" w:hAnsi="Times New Roman" w:eastAsia="宋体" w:cs="Times New Roman"/>
                <w:color w:val="auto"/>
                <w:szCs w:val="21"/>
              </w:rPr>
              <w:t>表4-</w:t>
            </w:r>
            <w:r>
              <w:rPr>
                <w:rFonts w:hint="default" w:ascii="Times New Roman" w:hAnsi="Times New Roman" w:eastAsia="宋体" w:cs="Times New Roman"/>
                <w:color w:val="auto"/>
                <w:szCs w:val="21"/>
                <w:lang w:val="en-US" w:eastAsia="zh-CN"/>
              </w:rPr>
              <w:t>4</w:t>
            </w:r>
            <w:r>
              <w:rPr>
                <w:rFonts w:hint="default" w:ascii="Times New Roman" w:hAnsi="Times New Roman" w:eastAsia="宋体" w:cs="Times New Roman"/>
                <w:color w:val="auto"/>
                <w:szCs w:val="21"/>
              </w:rPr>
              <w:t xml:space="preserve">  废气污染源源强核算结果及相关参数一览表</w:t>
            </w:r>
            <w:r>
              <w:rPr>
                <w:rFonts w:hint="default" w:ascii="Times New Roman" w:hAnsi="Times New Roman" w:eastAsia="宋体" w:cs="Times New Roman"/>
                <w:color w:val="auto"/>
                <w:sz w:val="24"/>
              </w:rPr>
              <w:t xml:space="preserve"> </w:t>
            </w:r>
          </w:p>
          <w:tbl>
            <w:tblPr>
              <w:tblStyle w:val="3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30"/>
              <w:gridCol w:w="578"/>
              <w:gridCol w:w="934"/>
              <w:gridCol w:w="1087"/>
              <w:gridCol w:w="975"/>
              <w:gridCol w:w="654"/>
              <w:gridCol w:w="579"/>
              <w:gridCol w:w="472"/>
              <w:gridCol w:w="558"/>
              <w:gridCol w:w="475"/>
              <w:gridCol w:w="413"/>
              <w:gridCol w:w="1040"/>
              <w:gridCol w:w="1020"/>
              <w:gridCol w:w="1022"/>
              <w:gridCol w:w="597"/>
              <w:gridCol w:w="485"/>
              <w:gridCol w:w="579"/>
              <w:gridCol w:w="612"/>
              <w:gridCol w:w="454"/>
            </w:tblGrid>
            <w:tr w14:paraId="7C9C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vMerge w:val="restart"/>
                  <w:tcBorders>
                    <w:tl2br w:val="nil"/>
                    <w:tr2bl w:val="nil"/>
                  </w:tcBorders>
                  <w:noWrap w:val="0"/>
                  <w:vAlign w:val="center"/>
                </w:tcPr>
                <w:p w14:paraId="48997467">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pacing w:val="-11"/>
                      <w:sz w:val="21"/>
                      <w:szCs w:val="21"/>
                    </w:rPr>
                  </w:pPr>
                  <w:r>
                    <w:rPr>
                      <w:rFonts w:hint="default" w:ascii="Times New Roman" w:hAnsi="Times New Roman" w:eastAsia="宋体" w:cs="Times New Roman"/>
                      <w:b/>
                      <w:bCs/>
                      <w:color w:val="auto"/>
                      <w:spacing w:val="-11"/>
                      <w:sz w:val="21"/>
                      <w:szCs w:val="21"/>
                    </w:rPr>
                    <w:t>产排污环节</w:t>
                  </w:r>
                </w:p>
              </w:tc>
              <w:tc>
                <w:tcPr>
                  <w:tcW w:w="223" w:type="pct"/>
                  <w:vMerge w:val="restart"/>
                  <w:tcBorders>
                    <w:tl2br w:val="nil"/>
                    <w:tr2bl w:val="nil"/>
                  </w:tcBorders>
                  <w:noWrap w:val="0"/>
                  <w:vAlign w:val="center"/>
                </w:tcPr>
                <w:p w14:paraId="4B8E2844">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pacing w:val="-17"/>
                      <w:sz w:val="21"/>
                      <w:szCs w:val="21"/>
                    </w:rPr>
                  </w:pPr>
                  <w:r>
                    <w:rPr>
                      <w:rFonts w:hint="default" w:ascii="Times New Roman" w:hAnsi="Times New Roman" w:eastAsia="宋体" w:cs="Times New Roman"/>
                      <w:b/>
                      <w:bCs/>
                      <w:color w:val="auto"/>
                      <w:spacing w:val="-17"/>
                      <w:sz w:val="21"/>
                      <w:szCs w:val="21"/>
                    </w:rPr>
                    <w:t>污染物种类</w:t>
                  </w:r>
                </w:p>
              </w:tc>
              <w:tc>
                <w:tcPr>
                  <w:tcW w:w="1155" w:type="pct"/>
                  <w:gridSpan w:val="3"/>
                  <w:tcBorders>
                    <w:tl2br w:val="nil"/>
                    <w:tr2bl w:val="nil"/>
                  </w:tcBorders>
                  <w:noWrap w:val="0"/>
                  <w:vAlign w:val="center"/>
                </w:tcPr>
                <w:p w14:paraId="20358EF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产生情况</w:t>
                  </w:r>
                </w:p>
              </w:tc>
              <w:tc>
                <w:tcPr>
                  <w:tcW w:w="252" w:type="pct"/>
                  <w:vMerge w:val="restart"/>
                  <w:tcBorders>
                    <w:tl2br w:val="nil"/>
                    <w:tr2bl w:val="nil"/>
                  </w:tcBorders>
                  <w:noWrap w:val="0"/>
                  <w:vAlign w:val="center"/>
                </w:tcPr>
                <w:p w14:paraId="27385E6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排放形式</w:t>
                  </w:r>
                </w:p>
              </w:tc>
              <w:tc>
                <w:tcPr>
                  <w:tcW w:w="2150" w:type="pct"/>
                  <w:gridSpan w:val="8"/>
                  <w:tcBorders>
                    <w:tl2br w:val="nil"/>
                    <w:tr2bl w:val="nil"/>
                  </w:tcBorders>
                  <w:noWrap w:val="0"/>
                  <w:vAlign w:val="center"/>
                </w:tcPr>
                <w:p w14:paraId="09DCC99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排放情况</w:t>
                  </w:r>
                </w:p>
              </w:tc>
              <w:tc>
                <w:tcPr>
                  <w:tcW w:w="417" w:type="pct"/>
                  <w:gridSpan w:val="2"/>
                  <w:tcBorders>
                    <w:tl2br w:val="nil"/>
                    <w:tr2bl w:val="nil"/>
                  </w:tcBorders>
                  <w:noWrap w:val="0"/>
                  <w:vAlign w:val="center"/>
                </w:tcPr>
                <w:p w14:paraId="76F08B9A">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标准限值</w:t>
                  </w:r>
                </w:p>
              </w:tc>
              <w:tc>
                <w:tcPr>
                  <w:tcW w:w="634" w:type="pct"/>
                  <w:gridSpan w:val="3"/>
                  <w:tcBorders>
                    <w:tl2br w:val="nil"/>
                    <w:tr2bl w:val="nil"/>
                  </w:tcBorders>
                  <w:noWrap w:val="0"/>
                  <w:vAlign w:val="center"/>
                </w:tcPr>
                <w:p w14:paraId="3DAEC507">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监测要求</w:t>
                  </w:r>
                </w:p>
              </w:tc>
            </w:tr>
            <w:tr w14:paraId="3561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vMerge w:val="continue"/>
                  <w:tcBorders>
                    <w:tl2br w:val="nil"/>
                    <w:tr2bl w:val="nil"/>
                  </w:tcBorders>
                  <w:noWrap w:val="0"/>
                  <w:vAlign w:val="center"/>
                </w:tcPr>
                <w:p w14:paraId="631738DA">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pacing w:val="-11"/>
                      <w:sz w:val="21"/>
                      <w:szCs w:val="21"/>
                    </w:rPr>
                  </w:pPr>
                </w:p>
              </w:tc>
              <w:tc>
                <w:tcPr>
                  <w:tcW w:w="223" w:type="pct"/>
                  <w:vMerge w:val="continue"/>
                  <w:tcBorders>
                    <w:tl2br w:val="nil"/>
                    <w:tr2bl w:val="nil"/>
                  </w:tcBorders>
                  <w:noWrap w:val="0"/>
                  <w:vAlign w:val="center"/>
                </w:tcPr>
                <w:p w14:paraId="0927264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pacing w:val="-17"/>
                      <w:sz w:val="21"/>
                      <w:szCs w:val="21"/>
                    </w:rPr>
                  </w:pPr>
                </w:p>
              </w:tc>
              <w:tc>
                <w:tcPr>
                  <w:tcW w:w="360" w:type="pct"/>
                  <w:tcBorders>
                    <w:tl2br w:val="nil"/>
                    <w:tr2bl w:val="nil"/>
                  </w:tcBorders>
                  <w:noWrap w:val="0"/>
                  <w:vAlign w:val="center"/>
                </w:tcPr>
                <w:p w14:paraId="4AAE366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产生量t/a</w:t>
                  </w:r>
                </w:p>
              </w:tc>
              <w:tc>
                <w:tcPr>
                  <w:tcW w:w="419" w:type="pct"/>
                  <w:tcBorders>
                    <w:tl2br w:val="nil"/>
                    <w:tr2bl w:val="nil"/>
                  </w:tcBorders>
                  <w:noWrap w:val="0"/>
                  <w:vAlign w:val="center"/>
                </w:tcPr>
                <w:p w14:paraId="14DAB9E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产生速率kg/h</w:t>
                  </w:r>
                </w:p>
              </w:tc>
              <w:tc>
                <w:tcPr>
                  <w:tcW w:w="376" w:type="pct"/>
                  <w:tcBorders>
                    <w:tl2br w:val="nil"/>
                    <w:tr2bl w:val="nil"/>
                  </w:tcBorders>
                  <w:noWrap w:val="0"/>
                  <w:vAlign w:val="center"/>
                </w:tcPr>
                <w:p w14:paraId="2B4F4B8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pacing w:val="-6"/>
                      <w:sz w:val="21"/>
                      <w:szCs w:val="21"/>
                    </w:rPr>
                  </w:pPr>
                  <w:r>
                    <w:rPr>
                      <w:rFonts w:hint="default" w:ascii="Times New Roman" w:hAnsi="Times New Roman" w:eastAsia="宋体" w:cs="Times New Roman"/>
                      <w:b/>
                      <w:bCs/>
                      <w:color w:val="auto"/>
                      <w:spacing w:val="-6"/>
                      <w:sz w:val="21"/>
                      <w:szCs w:val="21"/>
                    </w:rPr>
                    <w:t>产生</w:t>
                  </w:r>
                </w:p>
                <w:p w14:paraId="2D5A4476">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pacing w:val="-6"/>
                      <w:sz w:val="21"/>
                      <w:szCs w:val="21"/>
                    </w:rPr>
                  </w:pPr>
                  <w:r>
                    <w:rPr>
                      <w:rFonts w:hint="default" w:ascii="Times New Roman" w:hAnsi="Times New Roman" w:eastAsia="宋体" w:cs="Times New Roman"/>
                      <w:b/>
                      <w:bCs/>
                      <w:color w:val="auto"/>
                      <w:spacing w:val="-6"/>
                      <w:sz w:val="21"/>
                      <w:szCs w:val="21"/>
                    </w:rPr>
                    <w:t>浓度</w:t>
                  </w:r>
                </w:p>
                <w:p w14:paraId="5084672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mg/m</w:t>
                  </w:r>
                  <w:r>
                    <w:rPr>
                      <w:rFonts w:hint="default" w:ascii="Times New Roman" w:hAnsi="Times New Roman" w:eastAsia="宋体" w:cs="Times New Roman"/>
                      <w:b/>
                      <w:bCs/>
                      <w:color w:val="auto"/>
                      <w:spacing w:val="-6"/>
                      <w:sz w:val="21"/>
                      <w:szCs w:val="21"/>
                      <w:vertAlign w:val="superscript"/>
                    </w:rPr>
                    <w:t>3</w:t>
                  </w:r>
                </w:p>
              </w:tc>
              <w:tc>
                <w:tcPr>
                  <w:tcW w:w="252" w:type="pct"/>
                  <w:vMerge w:val="continue"/>
                  <w:tcBorders>
                    <w:tl2br w:val="nil"/>
                    <w:tr2bl w:val="nil"/>
                  </w:tcBorders>
                  <w:noWrap w:val="0"/>
                  <w:vAlign w:val="center"/>
                </w:tcPr>
                <w:p w14:paraId="1B53371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p>
              </w:tc>
              <w:tc>
                <w:tcPr>
                  <w:tcW w:w="223" w:type="pct"/>
                  <w:tcBorders>
                    <w:tl2br w:val="nil"/>
                    <w:tr2bl w:val="nil"/>
                  </w:tcBorders>
                  <w:noWrap w:val="0"/>
                  <w:vAlign w:val="center"/>
                </w:tcPr>
                <w:p w14:paraId="5E084D24">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风量m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/h</w:t>
                  </w:r>
                </w:p>
              </w:tc>
              <w:tc>
                <w:tcPr>
                  <w:tcW w:w="182" w:type="pct"/>
                  <w:tcBorders>
                    <w:tl2br w:val="nil"/>
                    <w:tr2bl w:val="nil"/>
                  </w:tcBorders>
                  <w:noWrap w:val="0"/>
                  <w:vAlign w:val="center"/>
                </w:tcPr>
                <w:p w14:paraId="0FB1532B">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收集效率%</w:t>
                  </w:r>
                </w:p>
              </w:tc>
              <w:tc>
                <w:tcPr>
                  <w:tcW w:w="215" w:type="pct"/>
                  <w:tcBorders>
                    <w:tl2br w:val="nil"/>
                    <w:tr2bl w:val="nil"/>
                  </w:tcBorders>
                  <w:noWrap w:val="0"/>
                  <w:vAlign w:val="center"/>
                </w:tcPr>
                <w:p w14:paraId="2E4BFEB0">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废气治理工艺</w:t>
                  </w:r>
                </w:p>
              </w:tc>
              <w:tc>
                <w:tcPr>
                  <w:tcW w:w="183" w:type="pct"/>
                  <w:tcBorders>
                    <w:tl2br w:val="nil"/>
                    <w:tr2bl w:val="nil"/>
                  </w:tcBorders>
                  <w:noWrap w:val="0"/>
                  <w:vAlign w:val="center"/>
                </w:tcPr>
                <w:p w14:paraId="72B6F4B1">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处理效率%</w:t>
                  </w:r>
                </w:p>
              </w:tc>
              <w:tc>
                <w:tcPr>
                  <w:tcW w:w="159" w:type="pct"/>
                  <w:tcBorders>
                    <w:tl2br w:val="nil"/>
                    <w:tr2bl w:val="nil"/>
                  </w:tcBorders>
                  <w:noWrap w:val="0"/>
                  <w:vAlign w:val="center"/>
                </w:tcPr>
                <w:p w14:paraId="4074DA5E">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是否可行技术</w:t>
                  </w:r>
                </w:p>
              </w:tc>
              <w:tc>
                <w:tcPr>
                  <w:tcW w:w="401" w:type="pct"/>
                  <w:tcBorders>
                    <w:tl2br w:val="nil"/>
                    <w:tr2bl w:val="nil"/>
                  </w:tcBorders>
                  <w:noWrap w:val="0"/>
                  <w:vAlign w:val="center"/>
                </w:tcPr>
                <w:p w14:paraId="2213BE46">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排放量t/a</w:t>
                  </w:r>
                </w:p>
              </w:tc>
              <w:tc>
                <w:tcPr>
                  <w:tcW w:w="393" w:type="pct"/>
                  <w:tcBorders>
                    <w:tl2br w:val="nil"/>
                    <w:tr2bl w:val="nil"/>
                  </w:tcBorders>
                  <w:noWrap w:val="0"/>
                  <w:vAlign w:val="center"/>
                </w:tcPr>
                <w:p w14:paraId="2C842256">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排放速率kg/h</w:t>
                  </w:r>
                </w:p>
              </w:tc>
              <w:tc>
                <w:tcPr>
                  <w:tcW w:w="392" w:type="pct"/>
                  <w:tcBorders>
                    <w:tl2br w:val="nil"/>
                    <w:tr2bl w:val="nil"/>
                  </w:tcBorders>
                  <w:noWrap w:val="0"/>
                  <w:vAlign w:val="center"/>
                </w:tcPr>
                <w:p w14:paraId="0D3C34A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排放浓度</w:t>
                  </w:r>
                  <w:r>
                    <w:rPr>
                      <w:rFonts w:hint="default" w:ascii="Times New Roman" w:hAnsi="Times New Roman" w:eastAsia="宋体" w:cs="Times New Roman"/>
                      <w:b/>
                      <w:bCs/>
                      <w:color w:val="auto"/>
                      <w:spacing w:val="-11"/>
                      <w:sz w:val="21"/>
                      <w:szCs w:val="21"/>
                    </w:rPr>
                    <w:t>mg/m</w:t>
                  </w:r>
                  <w:r>
                    <w:rPr>
                      <w:rFonts w:hint="default" w:ascii="Times New Roman" w:hAnsi="Times New Roman" w:eastAsia="宋体" w:cs="Times New Roman"/>
                      <w:b/>
                      <w:bCs/>
                      <w:color w:val="auto"/>
                      <w:spacing w:val="-11"/>
                      <w:sz w:val="21"/>
                      <w:szCs w:val="21"/>
                      <w:vertAlign w:val="superscript"/>
                    </w:rPr>
                    <w:t>3</w:t>
                  </w:r>
                </w:p>
              </w:tc>
              <w:tc>
                <w:tcPr>
                  <w:tcW w:w="230" w:type="pct"/>
                  <w:tcBorders>
                    <w:tl2br w:val="nil"/>
                    <w:tr2bl w:val="nil"/>
                  </w:tcBorders>
                  <w:noWrap w:val="0"/>
                  <w:vAlign w:val="center"/>
                </w:tcPr>
                <w:p w14:paraId="175FD7FE">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浓度mg/m</w:t>
                  </w:r>
                  <w:r>
                    <w:rPr>
                      <w:rFonts w:hint="default" w:ascii="Times New Roman" w:hAnsi="Times New Roman" w:eastAsia="宋体" w:cs="Times New Roman"/>
                      <w:b/>
                      <w:bCs/>
                      <w:color w:val="auto"/>
                      <w:sz w:val="21"/>
                      <w:szCs w:val="21"/>
                      <w:vertAlign w:val="superscript"/>
                    </w:rPr>
                    <w:t>3</w:t>
                  </w:r>
                </w:p>
              </w:tc>
              <w:tc>
                <w:tcPr>
                  <w:tcW w:w="187" w:type="pct"/>
                  <w:tcBorders>
                    <w:tl2br w:val="nil"/>
                    <w:tr2bl w:val="nil"/>
                  </w:tcBorders>
                  <w:noWrap w:val="0"/>
                  <w:vAlign w:val="center"/>
                </w:tcPr>
                <w:p w14:paraId="3E8CB1F8">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速率kg/h</w:t>
                  </w:r>
                </w:p>
              </w:tc>
              <w:tc>
                <w:tcPr>
                  <w:tcW w:w="223" w:type="pct"/>
                  <w:tcBorders>
                    <w:tl2br w:val="nil"/>
                    <w:tr2bl w:val="nil"/>
                  </w:tcBorders>
                  <w:noWrap w:val="0"/>
                  <w:vAlign w:val="center"/>
                </w:tcPr>
                <w:p w14:paraId="14ADD39A">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监测点位</w:t>
                  </w:r>
                </w:p>
              </w:tc>
              <w:tc>
                <w:tcPr>
                  <w:tcW w:w="236" w:type="pct"/>
                  <w:tcBorders>
                    <w:tl2br w:val="nil"/>
                    <w:tr2bl w:val="nil"/>
                  </w:tcBorders>
                  <w:noWrap w:val="0"/>
                  <w:vAlign w:val="center"/>
                </w:tcPr>
                <w:p w14:paraId="643D4EB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c>
                <w:tcPr>
                  <w:tcW w:w="175" w:type="pct"/>
                  <w:tcBorders>
                    <w:tl2br w:val="nil"/>
                    <w:tr2bl w:val="nil"/>
                  </w:tcBorders>
                  <w:noWrap w:val="0"/>
                  <w:vAlign w:val="center"/>
                </w:tcPr>
                <w:p w14:paraId="0B06D29E">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w:t>
                  </w:r>
                </w:p>
              </w:tc>
            </w:tr>
            <w:tr w14:paraId="5695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vMerge w:val="restart"/>
                  <w:tcBorders>
                    <w:tl2br w:val="nil"/>
                    <w:tr2bl w:val="nil"/>
                  </w:tcBorders>
                  <w:noWrap w:val="0"/>
                  <w:vAlign w:val="center"/>
                </w:tcPr>
                <w:p w14:paraId="62C255D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color w:val="auto"/>
                      <w:spacing w:val="-11"/>
                      <w:sz w:val="21"/>
                      <w:szCs w:val="21"/>
                      <w:lang w:val="en-US" w:eastAsia="zh-CN"/>
                    </w:rPr>
                  </w:pPr>
                  <w:r>
                    <w:rPr>
                      <w:rFonts w:hint="default" w:ascii="Times New Roman" w:hAnsi="Times New Roman" w:eastAsia="宋体" w:cs="Times New Roman"/>
                      <w:color w:val="auto"/>
                      <w:spacing w:val="-11"/>
                      <w:sz w:val="21"/>
                      <w:szCs w:val="21"/>
                      <w:lang w:val="en-US" w:eastAsia="zh-CN"/>
                    </w:rPr>
                    <w:t>熔融注塑</w:t>
                  </w:r>
                </w:p>
              </w:tc>
              <w:tc>
                <w:tcPr>
                  <w:tcW w:w="223" w:type="pct"/>
                  <w:vMerge w:val="restart"/>
                  <w:tcBorders>
                    <w:tl2br w:val="nil"/>
                    <w:tr2bl w:val="nil"/>
                  </w:tcBorders>
                  <w:noWrap w:val="0"/>
                  <w:vAlign w:val="center"/>
                </w:tcPr>
                <w:p w14:paraId="03DCB441">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kern w:val="0"/>
                      <w:sz w:val="21"/>
                      <w:szCs w:val="21"/>
                    </w:rPr>
                  </w:pPr>
                  <w:r>
                    <w:rPr>
                      <w:rFonts w:hint="default" w:ascii="Times New Roman" w:hAnsi="Times New Roman" w:eastAsia="宋体" w:cs="Times New Roman"/>
                      <w:b w:val="0"/>
                      <w:color w:val="auto"/>
                      <w:sz w:val="21"/>
                      <w:szCs w:val="21"/>
                    </w:rPr>
                    <w:t>非甲烷总烃</w:t>
                  </w:r>
                </w:p>
              </w:tc>
              <w:tc>
                <w:tcPr>
                  <w:tcW w:w="360" w:type="pct"/>
                  <w:vMerge w:val="restart"/>
                  <w:tcBorders>
                    <w:tl2br w:val="nil"/>
                    <w:tr2bl w:val="nil"/>
                  </w:tcBorders>
                  <w:noWrap w:val="0"/>
                  <w:vAlign w:val="center"/>
                </w:tcPr>
                <w:p w14:paraId="01D431EF">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b w:val="0"/>
                      <w:bCs/>
                      <w:color w:val="auto"/>
                      <w:sz w:val="21"/>
                      <w:szCs w:val="21"/>
                      <w:lang w:val="en-US"/>
                    </w:rPr>
                  </w:pPr>
                  <w:r>
                    <w:rPr>
                      <w:rFonts w:hint="eastAsia" w:cs="Times New Roman"/>
                      <w:b w:val="0"/>
                      <w:bCs w:val="0"/>
                      <w:caps w:val="0"/>
                      <w:smallCaps w:val="0"/>
                      <w:color w:val="auto"/>
                      <w:sz w:val="21"/>
                      <w:szCs w:val="21"/>
                      <w:lang w:val="en-US" w:eastAsia="zh-CN"/>
                    </w:rPr>
                    <w:t>7.0362</w:t>
                  </w:r>
                </w:p>
              </w:tc>
              <w:tc>
                <w:tcPr>
                  <w:tcW w:w="419" w:type="pct"/>
                  <w:vMerge w:val="restart"/>
                  <w:tcBorders>
                    <w:tl2br w:val="nil"/>
                    <w:tr2bl w:val="nil"/>
                  </w:tcBorders>
                  <w:noWrap w:val="0"/>
                  <w:vAlign w:val="center"/>
                </w:tcPr>
                <w:p w14:paraId="54D28E8F">
                  <w:pPr>
                    <w:keepNext w:val="0"/>
                    <w:keepLines w:val="0"/>
                    <w:pageBreakBefore w:val="0"/>
                    <w:suppressLineNumbers w:val="0"/>
                    <w:kinsoku/>
                    <w:wordWrap/>
                    <w:topLinePunct w:val="0"/>
                    <w:autoSpaceDE/>
                    <w:autoSpaceDN/>
                    <w:bidi w:val="0"/>
                    <w:spacing w:before="0" w:beforeAutospacing="0" w:after="0" w:afterAutospacing="0"/>
                    <w:ind w:left="0" w:leftChars="0" w:right="0" w:rightChars="0" w:firstLine="0" w:firstLineChars="0"/>
                    <w:jc w:val="center"/>
                    <w:rPr>
                      <w:rFonts w:hint="default" w:ascii="Times New Roman" w:hAnsi="Times New Roman" w:eastAsia="宋体" w:cs="Times New Roman"/>
                      <w:bCs/>
                      <w:color w:val="auto"/>
                      <w:sz w:val="21"/>
                      <w:szCs w:val="21"/>
                    </w:rPr>
                  </w:pPr>
                  <w:r>
                    <w:rPr>
                      <w:rFonts w:hint="eastAsia" w:cs="Times New Roman"/>
                      <w:color w:val="auto"/>
                      <w:kern w:val="0"/>
                      <w:sz w:val="21"/>
                      <w:szCs w:val="21"/>
                      <w:lang w:val="en-US" w:eastAsia="zh-CN" w:bidi="ar"/>
                    </w:rPr>
                    <w:t>0.9773</w:t>
                  </w:r>
                </w:p>
              </w:tc>
              <w:tc>
                <w:tcPr>
                  <w:tcW w:w="376" w:type="pct"/>
                  <w:vMerge w:val="restart"/>
                  <w:tcBorders>
                    <w:tl2br w:val="nil"/>
                    <w:tr2bl w:val="nil"/>
                  </w:tcBorders>
                  <w:noWrap w:val="0"/>
                  <w:vAlign w:val="center"/>
                </w:tcPr>
                <w:p w14:paraId="55FC44CF">
                  <w:pPr>
                    <w:keepNext w:val="0"/>
                    <w:keepLines w:val="0"/>
                    <w:pageBreakBefore w:val="0"/>
                    <w:suppressLineNumbers w:val="0"/>
                    <w:kinsoku/>
                    <w:wordWrap/>
                    <w:topLinePunct w:val="0"/>
                    <w:autoSpaceDE/>
                    <w:autoSpaceDN/>
                    <w:bidi w:val="0"/>
                    <w:spacing w:before="0" w:beforeAutospacing="0" w:after="0" w:afterAutospacing="0"/>
                    <w:ind w:left="0" w:leftChars="0" w:right="0" w:rightChars="0" w:firstLine="0" w:firstLineChars="0"/>
                    <w:jc w:val="center"/>
                    <w:rPr>
                      <w:rFonts w:hint="default" w:ascii="Times New Roman" w:hAnsi="Times New Roman" w:eastAsia="宋体" w:cs="Times New Roman"/>
                      <w:bCs/>
                      <w:color w:val="auto"/>
                      <w:sz w:val="21"/>
                      <w:szCs w:val="21"/>
                      <w:lang w:val="en-US"/>
                    </w:rPr>
                  </w:pPr>
                  <w:r>
                    <w:rPr>
                      <w:rFonts w:hint="eastAsia" w:cs="Times New Roman"/>
                      <w:bCs/>
                      <w:color w:val="auto"/>
                      <w:sz w:val="21"/>
                      <w:szCs w:val="21"/>
                      <w:lang w:val="en-US" w:eastAsia="zh-CN"/>
                    </w:rPr>
                    <w:t>40.7208</w:t>
                  </w:r>
                </w:p>
              </w:tc>
              <w:tc>
                <w:tcPr>
                  <w:tcW w:w="252" w:type="pct"/>
                  <w:tcBorders>
                    <w:tl2br w:val="nil"/>
                    <w:tr2bl w:val="nil"/>
                  </w:tcBorders>
                  <w:noWrap w:val="0"/>
                  <w:vAlign w:val="center"/>
                </w:tcPr>
                <w:p w14:paraId="1AAA562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有组织</w:t>
                  </w:r>
                </w:p>
              </w:tc>
              <w:tc>
                <w:tcPr>
                  <w:tcW w:w="223" w:type="pct"/>
                  <w:tcBorders>
                    <w:tl2br w:val="nil"/>
                    <w:tr2bl w:val="nil"/>
                  </w:tcBorders>
                  <w:noWrap w:val="0"/>
                  <w:vAlign w:val="center"/>
                </w:tcPr>
                <w:p w14:paraId="05183564">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lang w:val="en-US" w:eastAsia="zh-CN"/>
                    </w:rPr>
                  </w:pPr>
                  <w:r>
                    <w:rPr>
                      <w:rFonts w:hint="eastAsia" w:cs="Times New Roman"/>
                      <w:bCs/>
                      <w:color w:val="auto"/>
                      <w:spacing w:val="-11"/>
                      <w:sz w:val="21"/>
                      <w:szCs w:val="21"/>
                      <w:lang w:val="en-US" w:eastAsia="zh-CN"/>
                    </w:rPr>
                    <w:t>24000</w:t>
                  </w:r>
                </w:p>
              </w:tc>
              <w:tc>
                <w:tcPr>
                  <w:tcW w:w="182" w:type="pct"/>
                  <w:tcBorders>
                    <w:tl2br w:val="nil"/>
                    <w:tr2bl w:val="nil"/>
                  </w:tcBorders>
                  <w:noWrap w:val="0"/>
                  <w:vAlign w:val="center"/>
                </w:tcPr>
                <w:p w14:paraId="64B3969C">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75</w:t>
                  </w:r>
                </w:p>
              </w:tc>
              <w:tc>
                <w:tcPr>
                  <w:tcW w:w="215" w:type="pct"/>
                  <w:tcBorders>
                    <w:tl2br w:val="nil"/>
                    <w:tr2bl w:val="nil"/>
                  </w:tcBorders>
                  <w:noWrap w:val="0"/>
                  <w:vAlign w:val="center"/>
                </w:tcPr>
                <w:p w14:paraId="3C2731C3">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活性炭吸附</w:t>
                  </w:r>
                </w:p>
              </w:tc>
              <w:tc>
                <w:tcPr>
                  <w:tcW w:w="183" w:type="pct"/>
                  <w:tcBorders>
                    <w:tl2br w:val="nil"/>
                    <w:tr2bl w:val="nil"/>
                  </w:tcBorders>
                  <w:noWrap w:val="0"/>
                  <w:vAlign w:val="center"/>
                </w:tcPr>
                <w:p w14:paraId="20C6A32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51</w:t>
                  </w:r>
                </w:p>
              </w:tc>
              <w:tc>
                <w:tcPr>
                  <w:tcW w:w="159" w:type="pct"/>
                  <w:tcBorders>
                    <w:tl2br w:val="nil"/>
                    <w:tr2bl w:val="nil"/>
                  </w:tcBorders>
                  <w:noWrap w:val="0"/>
                  <w:vAlign w:val="center"/>
                </w:tcPr>
                <w:p w14:paraId="4783224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是</w:t>
                  </w:r>
                </w:p>
              </w:tc>
              <w:tc>
                <w:tcPr>
                  <w:tcW w:w="401" w:type="pct"/>
                  <w:tcBorders>
                    <w:tl2br w:val="nil"/>
                    <w:tr2bl w:val="nil"/>
                  </w:tcBorders>
                  <w:noWrap w:val="0"/>
                  <w:vAlign w:val="center"/>
                </w:tcPr>
                <w:p w14:paraId="407C759E">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lang w:val="en-US"/>
                    </w:rPr>
                  </w:pPr>
                  <w:r>
                    <w:rPr>
                      <w:rFonts w:hint="eastAsia" w:cs="Times New Roman"/>
                      <w:color w:val="auto"/>
                      <w:kern w:val="0"/>
                      <w:sz w:val="21"/>
                      <w:szCs w:val="21"/>
                      <w:lang w:val="en-US" w:eastAsia="zh-CN" w:bidi="ar"/>
                    </w:rPr>
                    <w:t>2.5858</w:t>
                  </w:r>
                </w:p>
              </w:tc>
              <w:tc>
                <w:tcPr>
                  <w:tcW w:w="393" w:type="pct"/>
                  <w:tcBorders>
                    <w:tl2br w:val="nil"/>
                    <w:tr2bl w:val="nil"/>
                  </w:tcBorders>
                  <w:noWrap w:val="0"/>
                  <w:vAlign w:val="center"/>
                </w:tcPr>
                <w:p w14:paraId="2E2B6453">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lang w:val="en-US"/>
                    </w:rPr>
                  </w:pPr>
                  <w:r>
                    <w:rPr>
                      <w:rFonts w:hint="eastAsia" w:cs="Times New Roman"/>
                      <w:color w:val="auto"/>
                      <w:kern w:val="0"/>
                      <w:sz w:val="21"/>
                      <w:szCs w:val="21"/>
                      <w:lang w:val="en-US" w:eastAsia="zh-CN" w:bidi="ar"/>
                    </w:rPr>
                    <w:t>0.3591</w:t>
                  </w:r>
                </w:p>
              </w:tc>
              <w:tc>
                <w:tcPr>
                  <w:tcW w:w="392" w:type="pct"/>
                  <w:tcBorders>
                    <w:tl2br w:val="nil"/>
                    <w:tr2bl w:val="nil"/>
                  </w:tcBorders>
                  <w:noWrap w:val="0"/>
                  <w:vAlign w:val="center"/>
                </w:tcPr>
                <w:p w14:paraId="4143BFBE">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lang w:val="en-US"/>
                    </w:rPr>
                  </w:pPr>
                  <w:r>
                    <w:rPr>
                      <w:rFonts w:hint="eastAsia" w:cs="Times New Roman"/>
                      <w:color w:val="auto"/>
                      <w:kern w:val="0"/>
                      <w:sz w:val="21"/>
                      <w:szCs w:val="21"/>
                      <w:highlight w:val="none"/>
                      <w:lang w:val="en-US" w:eastAsia="zh-CN" w:bidi="ar"/>
                    </w:rPr>
                    <w:t>14.9625</w:t>
                  </w:r>
                </w:p>
              </w:tc>
              <w:tc>
                <w:tcPr>
                  <w:tcW w:w="230" w:type="pct"/>
                  <w:tcBorders>
                    <w:tl2br w:val="nil"/>
                    <w:tr2bl w:val="nil"/>
                  </w:tcBorders>
                  <w:noWrap w:val="0"/>
                  <w:vAlign w:val="center"/>
                </w:tcPr>
                <w:p w14:paraId="25791D48">
                  <w:pPr>
                    <w:pStyle w:val="2"/>
                    <w:keepLines w:val="0"/>
                    <w:pageBreakBefore w:val="0"/>
                    <w:suppressLineNumbers w:val="0"/>
                    <w:kinsoku/>
                    <w:wordWrap/>
                    <w:topLinePunct w:val="0"/>
                    <w:autoSpaceDE/>
                    <w:autoSpaceDN/>
                    <w:bidi w:val="0"/>
                    <w:spacing w:before="0" w:beforeAutospacing="0" w:after="0" w:afterAutospacing="0" w:line="240" w:lineRule="auto"/>
                    <w:ind w:left="0" w:right="0" w:firstLine="0"/>
                    <w:jc w:val="center"/>
                    <w:rPr>
                      <w:rFonts w:hint="default" w:ascii="Times New Roman" w:hAnsi="Times New Roman" w:eastAsia="宋体" w:cs="Times New Roman"/>
                      <w:b w:val="0"/>
                      <w:color w:val="auto"/>
                      <w:kern w:val="2"/>
                      <w:sz w:val="21"/>
                      <w:szCs w:val="21"/>
                    </w:rPr>
                  </w:pPr>
                  <w:bookmarkStart w:id="11" w:name="_Toc23331"/>
                  <w:r>
                    <w:rPr>
                      <w:rFonts w:hint="default" w:ascii="Times New Roman" w:hAnsi="Times New Roman" w:eastAsia="宋体" w:cs="Times New Roman"/>
                      <w:b w:val="0"/>
                      <w:color w:val="auto"/>
                      <w:kern w:val="2"/>
                      <w:sz w:val="21"/>
                      <w:szCs w:val="21"/>
                    </w:rPr>
                    <w:t>1</w:t>
                  </w:r>
                  <w:r>
                    <w:rPr>
                      <w:rFonts w:hint="default" w:ascii="Times New Roman" w:hAnsi="Times New Roman" w:eastAsia="宋体" w:cs="Times New Roman"/>
                      <w:b w:val="0"/>
                      <w:color w:val="auto"/>
                      <w:kern w:val="2"/>
                      <w:sz w:val="21"/>
                      <w:szCs w:val="21"/>
                      <w:lang w:val="en-US" w:eastAsia="zh-CN"/>
                    </w:rPr>
                    <w:t>0</w:t>
                  </w:r>
                  <w:r>
                    <w:rPr>
                      <w:rFonts w:hint="default" w:ascii="Times New Roman" w:hAnsi="Times New Roman" w:eastAsia="宋体" w:cs="Times New Roman"/>
                      <w:b w:val="0"/>
                      <w:color w:val="auto"/>
                      <w:kern w:val="2"/>
                      <w:sz w:val="21"/>
                      <w:szCs w:val="21"/>
                    </w:rPr>
                    <w:t>0</w:t>
                  </w:r>
                  <w:bookmarkEnd w:id="11"/>
                </w:p>
              </w:tc>
              <w:tc>
                <w:tcPr>
                  <w:tcW w:w="187" w:type="pct"/>
                  <w:tcBorders>
                    <w:tl2br w:val="nil"/>
                    <w:tr2bl w:val="nil"/>
                  </w:tcBorders>
                  <w:noWrap w:val="0"/>
                  <w:vAlign w:val="center"/>
                </w:tcPr>
                <w:p w14:paraId="3C6E3EEB">
                  <w:pPr>
                    <w:pStyle w:val="2"/>
                    <w:keepLines w:val="0"/>
                    <w:pageBreakBefore w:val="0"/>
                    <w:suppressLineNumbers w:val="0"/>
                    <w:kinsoku/>
                    <w:wordWrap/>
                    <w:topLinePunct w:val="0"/>
                    <w:autoSpaceDE/>
                    <w:autoSpaceDN/>
                    <w:bidi w:val="0"/>
                    <w:spacing w:before="0" w:beforeAutospacing="0" w:after="0" w:afterAutospacing="0" w:line="240" w:lineRule="auto"/>
                    <w:ind w:left="0" w:right="0" w:firstLine="0"/>
                    <w:jc w:val="center"/>
                    <w:rPr>
                      <w:rFonts w:hint="eastAsia" w:ascii="Times New Roman" w:hAnsi="Times New Roman" w:eastAsia="宋体" w:cs="Times New Roman"/>
                      <w:b w:val="0"/>
                      <w:color w:val="auto"/>
                      <w:kern w:val="2"/>
                      <w:sz w:val="21"/>
                      <w:szCs w:val="21"/>
                      <w:lang w:eastAsia="zh-CN"/>
                    </w:rPr>
                  </w:pPr>
                  <w:r>
                    <w:rPr>
                      <w:rFonts w:hint="eastAsia" w:ascii="Times New Roman" w:hAnsi="Times New Roman" w:eastAsia="宋体" w:cs="Times New Roman"/>
                      <w:b w:val="0"/>
                      <w:color w:val="auto"/>
                      <w:kern w:val="2"/>
                      <w:sz w:val="21"/>
                      <w:szCs w:val="21"/>
                      <w:lang w:val="en-US" w:eastAsia="zh-CN"/>
                    </w:rPr>
                    <w:t>/</w:t>
                  </w:r>
                </w:p>
              </w:tc>
              <w:tc>
                <w:tcPr>
                  <w:tcW w:w="223" w:type="pct"/>
                  <w:tcBorders>
                    <w:tl2br w:val="nil"/>
                    <w:tr2bl w:val="nil"/>
                  </w:tcBorders>
                  <w:noWrap w:val="0"/>
                  <w:vAlign w:val="center"/>
                </w:tcPr>
                <w:p w14:paraId="1C72667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排气筒出口</w:t>
                  </w:r>
                </w:p>
              </w:tc>
              <w:tc>
                <w:tcPr>
                  <w:tcW w:w="236" w:type="pct"/>
                  <w:vMerge w:val="restart"/>
                  <w:tcBorders>
                    <w:tl2br w:val="nil"/>
                    <w:tr2bl w:val="nil"/>
                  </w:tcBorders>
                  <w:noWrap w:val="0"/>
                  <w:tcMar>
                    <w:top w:w="0" w:type="dxa"/>
                    <w:left w:w="0" w:type="dxa"/>
                    <w:bottom w:w="0" w:type="dxa"/>
                    <w:right w:w="0" w:type="dxa"/>
                  </w:tcMar>
                  <w:vAlign w:val="center"/>
                </w:tcPr>
                <w:p w14:paraId="1425D699">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pacing w:val="-17"/>
                      <w:sz w:val="21"/>
                      <w:szCs w:val="21"/>
                    </w:rPr>
                  </w:pPr>
                  <w:r>
                    <w:rPr>
                      <w:rFonts w:hint="default" w:ascii="Times New Roman" w:hAnsi="Times New Roman" w:eastAsia="宋体" w:cs="Times New Roman"/>
                      <w:b w:val="0"/>
                      <w:bCs/>
                      <w:color w:val="auto"/>
                      <w:sz w:val="21"/>
                      <w:szCs w:val="21"/>
                    </w:rPr>
                    <w:t>非甲烷总烃</w:t>
                  </w:r>
                </w:p>
              </w:tc>
              <w:tc>
                <w:tcPr>
                  <w:tcW w:w="175" w:type="pct"/>
                  <w:tcBorders>
                    <w:tl2br w:val="nil"/>
                    <w:tr2bl w:val="nil"/>
                  </w:tcBorders>
                  <w:noWrap w:val="0"/>
                  <w:vAlign w:val="center"/>
                </w:tcPr>
                <w:p w14:paraId="0FEF526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r>
                    <w:rPr>
                      <w:rFonts w:hint="default" w:ascii="Times New Roman" w:hAnsi="Times New Roman" w:eastAsia="宋体" w:cs="Times New Roman"/>
                      <w:bCs/>
                      <w:color w:val="auto"/>
                      <w:spacing w:val="-20"/>
                      <w:sz w:val="21"/>
                      <w:szCs w:val="21"/>
                    </w:rPr>
                    <w:t>1次/</w:t>
                  </w:r>
                  <w:r>
                    <w:rPr>
                      <w:rFonts w:hint="default" w:ascii="Times New Roman" w:hAnsi="Times New Roman" w:eastAsia="宋体" w:cs="Times New Roman"/>
                      <w:bCs/>
                      <w:color w:val="auto"/>
                      <w:spacing w:val="-20"/>
                      <w:sz w:val="21"/>
                      <w:szCs w:val="21"/>
                      <w:lang w:val="en-US" w:eastAsia="zh-CN"/>
                    </w:rPr>
                    <w:t>半</w:t>
                  </w:r>
                  <w:r>
                    <w:rPr>
                      <w:rFonts w:hint="default" w:ascii="Times New Roman" w:hAnsi="Times New Roman" w:eastAsia="宋体" w:cs="Times New Roman"/>
                      <w:bCs/>
                      <w:color w:val="auto"/>
                      <w:spacing w:val="-20"/>
                      <w:sz w:val="21"/>
                      <w:szCs w:val="21"/>
                    </w:rPr>
                    <w:t>年</w:t>
                  </w:r>
                </w:p>
              </w:tc>
            </w:tr>
            <w:tr w14:paraId="3473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vMerge w:val="continue"/>
                  <w:tcBorders>
                    <w:tl2br w:val="nil"/>
                    <w:tr2bl w:val="nil"/>
                  </w:tcBorders>
                  <w:noWrap w:val="0"/>
                  <w:vAlign w:val="center"/>
                </w:tcPr>
                <w:p w14:paraId="09C725AC">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color w:val="auto"/>
                      <w:spacing w:val="-11"/>
                      <w:sz w:val="21"/>
                      <w:szCs w:val="21"/>
                    </w:rPr>
                  </w:pPr>
                </w:p>
              </w:tc>
              <w:tc>
                <w:tcPr>
                  <w:tcW w:w="223" w:type="pct"/>
                  <w:vMerge w:val="continue"/>
                  <w:tcBorders>
                    <w:tl2br w:val="nil"/>
                    <w:tr2bl w:val="nil"/>
                  </w:tcBorders>
                  <w:noWrap w:val="0"/>
                  <w:vAlign w:val="center"/>
                </w:tcPr>
                <w:p w14:paraId="6D40550E">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p>
              </w:tc>
              <w:tc>
                <w:tcPr>
                  <w:tcW w:w="360" w:type="pct"/>
                  <w:vMerge w:val="continue"/>
                  <w:tcBorders>
                    <w:tl2br w:val="nil"/>
                    <w:tr2bl w:val="nil"/>
                  </w:tcBorders>
                  <w:noWrap w:val="0"/>
                  <w:vAlign w:val="center"/>
                </w:tcPr>
                <w:p w14:paraId="33211656">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p>
              </w:tc>
              <w:tc>
                <w:tcPr>
                  <w:tcW w:w="419" w:type="pct"/>
                  <w:vMerge w:val="continue"/>
                  <w:tcBorders>
                    <w:tl2br w:val="nil"/>
                    <w:tr2bl w:val="nil"/>
                  </w:tcBorders>
                  <w:noWrap w:val="0"/>
                  <w:vAlign w:val="center"/>
                </w:tcPr>
                <w:p w14:paraId="01F42C67">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kern w:val="0"/>
                      <w:sz w:val="21"/>
                      <w:szCs w:val="21"/>
                    </w:rPr>
                  </w:pPr>
                </w:p>
              </w:tc>
              <w:tc>
                <w:tcPr>
                  <w:tcW w:w="376" w:type="pct"/>
                  <w:vMerge w:val="continue"/>
                  <w:tcBorders>
                    <w:tl2br w:val="nil"/>
                    <w:tr2bl w:val="nil"/>
                  </w:tcBorders>
                  <w:noWrap w:val="0"/>
                  <w:vAlign w:val="center"/>
                </w:tcPr>
                <w:p w14:paraId="7A83D8A9">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p>
              </w:tc>
              <w:tc>
                <w:tcPr>
                  <w:tcW w:w="252" w:type="pct"/>
                  <w:tcBorders>
                    <w:tl2br w:val="nil"/>
                    <w:tr2bl w:val="nil"/>
                  </w:tcBorders>
                  <w:noWrap w:val="0"/>
                  <w:vAlign w:val="center"/>
                </w:tcPr>
                <w:p w14:paraId="1ED3DF6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无组织</w:t>
                  </w:r>
                </w:p>
              </w:tc>
              <w:tc>
                <w:tcPr>
                  <w:tcW w:w="223" w:type="pct"/>
                  <w:tcBorders>
                    <w:tl2br w:val="nil"/>
                    <w:tr2bl w:val="nil"/>
                  </w:tcBorders>
                  <w:noWrap w:val="0"/>
                  <w:vAlign w:val="center"/>
                </w:tcPr>
                <w:p w14:paraId="6116B77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bCs/>
                      <w:color w:val="auto"/>
                      <w:spacing w:val="-11"/>
                      <w:sz w:val="21"/>
                      <w:szCs w:val="21"/>
                    </w:rPr>
                    <w:t>/</w:t>
                  </w:r>
                </w:p>
              </w:tc>
              <w:tc>
                <w:tcPr>
                  <w:tcW w:w="182" w:type="pct"/>
                  <w:tcBorders>
                    <w:tl2br w:val="nil"/>
                    <w:tr2bl w:val="nil"/>
                  </w:tcBorders>
                  <w:noWrap w:val="0"/>
                  <w:vAlign w:val="center"/>
                </w:tcPr>
                <w:p w14:paraId="4CFEF5EA">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15" w:type="pct"/>
                  <w:tcBorders>
                    <w:tl2br w:val="nil"/>
                    <w:tr2bl w:val="nil"/>
                  </w:tcBorders>
                  <w:noWrap w:val="0"/>
                  <w:vAlign w:val="center"/>
                </w:tcPr>
                <w:p w14:paraId="249E2023">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183" w:type="pct"/>
                  <w:tcBorders>
                    <w:tl2br w:val="nil"/>
                    <w:tr2bl w:val="nil"/>
                  </w:tcBorders>
                  <w:noWrap w:val="0"/>
                  <w:vAlign w:val="center"/>
                </w:tcPr>
                <w:p w14:paraId="4D505174">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159" w:type="pct"/>
                  <w:tcBorders>
                    <w:tl2br w:val="nil"/>
                    <w:tr2bl w:val="nil"/>
                  </w:tcBorders>
                  <w:noWrap w:val="0"/>
                  <w:vAlign w:val="center"/>
                </w:tcPr>
                <w:p w14:paraId="151053F8">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401" w:type="pct"/>
                  <w:tcBorders>
                    <w:tl2br w:val="nil"/>
                    <w:tr2bl w:val="nil"/>
                  </w:tcBorders>
                  <w:noWrap w:val="0"/>
                  <w:vAlign w:val="center"/>
                </w:tcPr>
                <w:p w14:paraId="68AFF1DF">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lang w:val="en-US"/>
                    </w:rPr>
                  </w:pPr>
                  <w:r>
                    <w:rPr>
                      <w:rFonts w:hint="default" w:ascii="Times New Roman" w:hAnsi="Times New Roman" w:eastAsia="宋体" w:cs="Times New Roman"/>
                      <w:color w:val="auto"/>
                      <w:kern w:val="0"/>
                      <w:sz w:val="21"/>
                      <w:szCs w:val="21"/>
                      <w:lang w:val="en-US" w:eastAsia="zh-CN" w:bidi="ar"/>
                    </w:rPr>
                    <w:t>1</w:t>
                  </w:r>
                  <w:r>
                    <w:rPr>
                      <w:rFonts w:hint="eastAsia" w:cs="Times New Roman"/>
                      <w:color w:val="auto"/>
                      <w:kern w:val="0"/>
                      <w:sz w:val="21"/>
                      <w:szCs w:val="21"/>
                      <w:lang w:val="en-US" w:eastAsia="zh-CN" w:bidi="ar"/>
                    </w:rPr>
                    <w:t>.7591</w:t>
                  </w:r>
                </w:p>
              </w:tc>
              <w:tc>
                <w:tcPr>
                  <w:tcW w:w="393" w:type="pct"/>
                  <w:tcBorders>
                    <w:tl2br w:val="nil"/>
                    <w:tr2bl w:val="nil"/>
                  </w:tcBorders>
                  <w:noWrap w:val="0"/>
                  <w:vAlign w:val="center"/>
                </w:tcPr>
                <w:p w14:paraId="761AD855">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lang w:val="en-US"/>
                    </w:rPr>
                  </w:pPr>
                  <w:r>
                    <w:rPr>
                      <w:rFonts w:hint="eastAsia" w:cs="Times New Roman"/>
                      <w:color w:val="auto"/>
                      <w:kern w:val="0"/>
                      <w:sz w:val="21"/>
                      <w:szCs w:val="21"/>
                      <w:lang w:val="en-US" w:eastAsia="zh-CN" w:bidi="ar"/>
                    </w:rPr>
                    <w:t>0.2443</w:t>
                  </w:r>
                </w:p>
              </w:tc>
              <w:tc>
                <w:tcPr>
                  <w:tcW w:w="392" w:type="pct"/>
                  <w:tcBorders>
                    <w:tl2br w:val="nil"/>
                    <w:tr2bl w:val="nil"/>
                  </w:tcBorders>
                  <w:noWrap w:val="0"/>
                  <w:vAlign w:val="center"/>
                </w:tcPr>
                <w:p w14:paraId="045A0837">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30" w:type="pct"/>
                  <w:tcBorders>
                    <w:tl2br w:val="nil"/>
                    <w:tr2bl w:val="nil"/>
                  </w:tcBorders>
                  <w:noWrap w:val="0"/>
                  <w:vAlign w:val="center"/>
                </w:tcPr>
                <w:p w14:paraId="1F3A6043">
                  <w:pPr>
                    <w:pStyle w:val="2"/>
                    <w:keepLines w:val="0"/>
                    <w:pageBreakBefore w:val="0"/>
                    <w:suppressLineNumbers w:val="0"/>
                    <w:kinsoku/>
                    <w:wordWrap/>
                    <w:topLinePunct w:val="0"/>
                    <w:autoSpaceDE/>
                    <w:autoSpaceDN/>
                    <w:bidi w:val="0"/>
                    <w:spacing w:before="0" w:beforeAutospacing="0" w:after="0" w:afterAutospacing="0" w:line="240" w:lineRule="auto"/>
                    <w:ind w:left="0" w:right="0" w:firstLine="0"/>
                    <w:jc w:val="center"/>
                    <w:rPr>
                      <w:rFonts w:hint="default" w:ascii="Times New Roman" w:hAnsi="Times New Roman" w:eastAsia="宋体" w:cs="Times New Roman"/>
                      <w:b w:val="0"/>
                      <w:color w:val="auto"/>
                      <w:kern w:val="2"/>
                      <w:sz w:val="21"/>
                      <w:szCs w:val="21"/>
                    </w:rPr>
                  </w:pPr>
                  <w:bookmarkStart w:id="12" w:name="_Toc4208"/>
                  <w:r>
                    <w:rPr>
                      <w:rFonts w:hint="default" w:ascii="Times New Roman" w:hAnsi="Times New Roman" w:eastAsia="宋体" w:cs="Times New Roman"/>
                      <w:b w:val="0"/>
                      <w:color w:val="auto"/>
                      <w:kern w:val="2"/>
                      <w:sz w:val="21"/>
                      <w:szCs w:val="21"/>
                      <w:lang w:val="en-US" w:eastAsia="zh-CN"/>
                    </w:rPr>
                    <w:t>4</w:t>
                  </w:r>
                  <w:r>
                    <w:rPr>
                      <w:rFonts w:hint="default" w:ascii="Times New Roman" w:hAnsi="Times New Roman" w:eastAsia="宋体" w:cs="Times New Roman"/>
                      <w:b w:val="0"/>
                      <w:color w:val="auto"/>
                      <w:kern w:val="2"/>
                      <w:sz w:val="21"/>
                      <w:szCs w:val="21"/>
                    </w:rPr>
                    <w:t>.0</w:t>
                  </w:r>
                  <w:bookmarkEnd w:id="12"/>
                </w:p>
              </w:tc>
              <w:tc>
                <w:tcPr>
                  <w:tcW w:w="187" w:type="pct"/>
                  <w:tcBorders>
                    <w:tl2br w:val="nil"/>
                    <w:tr2bl w:val="nil"/>
                  </w:tcBorders>
                  <w:noWrap w:val="0"/>
                  <w:vAlign w:val="center"/>
                </w:tcPr>
                <w:p w14:paraId="569D3112">
                  <w:pPr>
                    <w:pStyle w:val="2"/>
                    <w:keepLines w:val="0"/>
                    <w:pageBreakBefore w:val="0"/>
                    <w:suppressLineNumbers w:val="0"/>
                    <w:kinsoku/>
                    <w:wordWrap/>
                    <w:topLinePunct w:val="0"/>
                    <w:autoSpaceDE/>
                    <w:autoSpaceDN/>
                    <w:bidi w:val="0"/>
                    <w:spacing w:before="0" w:beforeAutospacing="0" w:after="0" w:afterAutospacing="0" w:line="240" w:lineRule="auto"/>
                    <w:ind w:left="0" w:right="0" w:firstLine="0"/>
                    <w:jc w:val="center"/>
                    <w:rPr>
                      <w:rFonts w:hint="default" w:ascii="Times New Roman" w:hAnsi="Times New Roman" w:eastAsia="宋体" w:cs="Times New Roman"/>
                      <w:b w:val="0"/>
                      <w:color w:val="auto"/>
                      <w:kern w:val="2"/>
                      <w:sz w:val="21"/>
                      <w:szCs w:val="21"/>
                    </w:rPr>
                  </w:pPr>
                  <w:bookmarkStart w:id="13" w:name="_Toc3142"/>
                  <w:r>
                    <w:rPr>
                      <w:rFonts w:hint="default" w:ascii="Times New Roman" w:hAnsi="Times New Roman" w:eastAsia="宋体" w:cs="Times New Roman"/>
                      <w:b w:val="0"/>
                      <w:color w:val="auto"/>
                      <w:kern w:val="2"/>
                      <w:sz w:val="21"/>
                      <w:szCs w:val="21"/>
                    </w:rPr>
                    <w:t>/</w:t>
                  </w:r>
                  <w:bookmarkEnd w:id="13"/>
                </w:p>
              </w:tc>
              <w:tc>
                <w:tcPr>
                  <w:tcW w:w="223" w:type="pct"/>
                  <w:tcBorders>
                    <w:tl2br w:val="nil"/>
                    <w:tr2bl w:val="nil"/>
                  </w:tcBorders>
                  <w:noWrap w:val="0"/>
                  <w:vAlign w:val="center"/>
                </w:tcPr>
                <w:p w14:paraId="769C575C">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厂界</w:t>
                  </w:r>
                </w:p>
              </w:tc>
              <w:tc>
                <w:tcPr>
                  <w:tcW w:w="236" w:type="pct"/>
                  <w:vMerge w:val="continue"/>
                  <w:tcBorders>
                    <w:tl2br w:val="nil"/>
                    <w:tr2bl w:val="nil"/>
                  </w:tcBorders>
                  <w:noWrap w:val="0"/>
                  <w:tcMar>
                    <w:top w:w="0" w:type="dxa"/>
                    <w:left w:w="0" w:type="dxa"/>
                    <w:bottom w:w="0" w:type="dxa"/>
                    <w:right w:w="0" w:type="dxa"/>
                  </w:tcMar>
                  <w:vAlign w:val="center"/>
                </w:tcPr>
                <w:p w14:paraId="712805C7">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p>
              </w:tc>
              <w:tc>
                <w:tcPr>
                  <w:tcW w:w="175" w:type="pct"/>
                  <w:tcBorders>
                    <w:tl2br w:val="nil"/>
                    <w:tr2bl w:val="nil"/>
                  </w:tcBorders>
                  <w:noWrap w:val="0"/>
                  <w:vAlign w:val="center"/>
                </w:tcPr>
                <w:p w14:paraId="4808409A">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r>
                    <w:rPr>
                      <w:rFonts w:hint="default" w:ascii="Times New Roman" w:hAnsi="Times New Roman" w:eastAsia="宋体" w:cs="Times New Roman"/>
                      <w:bCs/>
                      <w:color w:val="auto"/>
                      <w:spacing w:val="-20"/>
                      <w:sz w:val="21"/>
                      <w:szCs w:val="21"/>
                    </w:rPr>
                    <w:t>1次/年</w:t>
                  </w:r>
                </w:p>
              </w:tc>
            </w:tr>
            <w:tr w14:paraId="002E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vMerge w:val="continue"/>
                  <w:tcBorders>
                    <w:tl2br w:val="nil"/>
                    <w:tr2bl w:val="nil"/>
                  </w:tcBorders>
                  <w:noWrap w:val="0"/>
                  <w:vAlign w:val="center"/>
                </w:tcPr>
                <w:p w14:paraId="3A1CADC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color w:val="auto"/>
                      <w:spacing w:val="-11"/>
                      <w:sz w:val="21"/>
                      <w:szCs w:val="21"/>
                    </w:rPr>
                  </w:pPr>
                </w:p>
              </w:tc>
              <w:tc>
                <w:tcPr>
                  <w:tcW w:w="223" w:type="pct"/>
                  <w:vMerge w:val="restart"/>
                  <w:tcBorders>
                    <w:tl2br w:val="nil"/>
                    <w:tr2bl w:val="nil"/>
                  </w:tcBorders>
                  <w:noWrap w:val="0"/>
                  <w:vAlign w:val="center"/>
                </w:tcPr>
                <w:p w14:paraId="1506B8D6">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臭气浓度</w:t>
                  </w:r>
                </w:p>
              </w:tc>
              <w:tc>
                <w:tcPr>
                  <w:tcW w:w="1155" w:type="pct"/>
                  <w:gridSpan w:val="3"/>
                  <w:tcBorders>
                    <w:tl2br w:val="nil"/>
                    <w:tr2bl w:val="nil"/>
                  </w:tcBorders>
                  <w:noWrap w:val="0"/>
                  <w:vAlign w:val="center"/>
                </w:tcPr>
                <w:p w14:paraId="30FFFEDF">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1904.2857</w:t>
                  </w:r>
                  <w:r>
                    <w:rPr>
                      <w:rFonts w:hint="default" w:ascii="Times New Roman" w:hAnsi="Times New Roman" w:eastAsia="宋体" w:cs="Times New Roman"/>
                      <w:b w:val="0"/>
                      <w:bCs w:val="0"/>
                      <w:color w:val="auto"/>
                      <w:kern w:val="0"/>
                      <w:sz w:val="21"/>
                      <w:szCs w:val="21"/>
                      <w:highlight w:val="none"/>
                      <w:lang w:val="en-US" w:eastAsia="zh-CN" w:bidi="ar"/>
                    </w:rPr>
                    <w:t>（无量纲）</w:t>
                  </w:r>
                </w:p>
                <w:p w14:paraId="48BF99BD">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注：该值为臭气浓度有组织产生量</w:t>
                  </w:r>
                </w:p>
              </w:tc>
              <w:tc>
                <w:tcPr>
                  <w:tcW w:w="252" w:type="pct"/>
                  <w:tcBorders>
                    <w:tl2br w:val="nil"/>
                    <w:tr2bl w:val="nil"/>
                  </w:tcBorders>
                  <w:noWrap w:val="0"/>
                  <w:vAlign w:val="center"/>
                </w:tcPr>
                <w:p w14:paraId="695AFB4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有组织</w:t>
                  </w:r>
                </w:p>
              </w:tc>
              <w:tc>
                <w:tcPr>
                  <w:tcW w:w="223" w:type="pct"/>
                  <w:tcBorders>
                    <w:tl2br w:val="nil"/>
                    <w:tr2bl w:val="nil"/>
                  </w:tcBorders>
                  <w:noWrap w:val="0"/>
                  <w:vAlign w:val="center"/>
                </w:tcPr>
                <w:p w14:paraId="0089243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eastAsia" w:cs="Times New Roman"/>
                      <w:bCs/>
                      <w:color w:val="auto"/>
                      <w:spacing w:val="-11"/>
                      <w:sz w:val="21"/>
                      <w:szCs w:val="21"/>
                      <w:lang w:val="en-US" w:eastAsia="zh-CN"/>
                    </w:rPr>
                    <w:t>24000</w:t>
                  </w:r>
                </w:p>
              </w:tc>
              <w:tc>
                <w:tcPr>
                  <w:tcW w:w="182" w:type="pct"/>
                  <w:tcBorders>
                    <w:tl2br w:val="nil"/>
                    <w:tr2bl w:val="nil"/>
                  </w:tcBorders>
                  <w:noWrap w:val="0"/>
                  <w:vAlign w:val="center"/>
                </w:tcPr>
                <w:p w14:paraId="3C16F50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w:t>
                  </w:r>
                </w:p>
              </w:tc>
              <w:tc>
                <w:tcPr>
                  <w:tcW w:w="215" w:type="pct"/>
                  <w:tcBorders>
                    <w:tl2br w:val="nil"/>
                    <w:tr2bl w:val="nil"/>
                  </w:tcBorders>
                  <w:noWrap w:val="0"/>
                  <w:vAlign w:val="center"/>
                </w:tcPr>
                <w:p w14:paraId="7F6B89CE">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活性炭吸附</w:t>
                  </w:r>
                </w:p>
              </w:tc>
              <w:tc>
                <w:tcPr>
                  <w:tcW w:w="183" w:type="pct"/>
                  <w:tcBorders>
                    <w:tl2br w:val="nil"/>
                    <w:tr2bl w:val="nil"/>
                  </w:tcBorders>
                  <w:noWrap w:val="0"/>
                  <w:vAlign w:val="center"/>
                </w:tcPr>
                <w:p w14:paraId="3E0D143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51</w:t>
                  </w:r>
                </w:p>
              </w:tc>
              <w:tc>
                <w:tcPr>
                  <w:tcW w:w="159" w:type="pct"/>
                  <w:tcBorders>
                    <w:tl2br w:val="nil"/>
                    <w:tr2bl w:val="nil"/>
                  </w:tcBorders>
                  <w:noWrap w:val="0"/>
                  <w:vAlign w:val="center"/>
                </w:tcPr>
                <w:p w14:paraId="6897F87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是</w:t>
                  </w:r>
                </w:p>
              </w:tc>
              <w:tc>
                <w:tcPr>
                  <w:tcW w:w="1186" w:type="pct"/>
                  <w:gridSpan w:val="3"/>
                  <w:tcBorders>
                    <w:tl2br w:val="nil"/>
                    <w:tr2bl w:val="nil"/>
                  </w:tcBorders>
                  <w:noWrap w:val="0"/>
                  <w:vAlign w:val="center"/>
                </w:tcPr>
                <w:p w14:paraId="4F5494F2">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eastAsia" w:cs="Times New Roman"/>
                      <w:color w:val="auto"/>
                      <w:kern w:val="0"/>
                      <w:sz w:val="21"/>
                      <w:szCs w:val="21"/>
                      <w:highlight w:val="none"/>
                      <w:lang w:val="en-US" w:eastAsia="zh-CN" w:bidi="ar"/>
                    </w:rPr>
                    <w:t>933.1</w:t>
                  </w:r>
                  <w:r>
                    <w:rPr>
                      <w:rFonts w:hint="default" w:ascii="Times New Roman" w:hAnsi="Times New Roman" w:eastAsia="宋体" w:cs="Times New Roman"/>
                      <w:color w:val="auto"/>
                      <w:kern w:val="0"/>
                      <w:sz w:val="21"/>
                      <w:szCs w:val="21"/>
                      <w:highlight w:val="none"/>
                      <w:lang w:val="en-US" w:eastAsia="zh-CN" w:bidi="ar"/>
                    </w:rPr>
                    <w:t>（无量纲）</w:t>
                  </w:r>
                </w:p>
              </w:tc>
              <w:tc>
                <w:tcPr>
                  <w:tcW w:w="417" w:type="pct"/>
                  <w:gridSpan w:val="2"/>
                  <w:tcBorders>
                    <w:tl2br w:val="nil"/>
                    <w:tr2bl w:val="nil"/>
                  </w:tcBorders>
                  <w:noWrap w:val="0"/>
                  <w:vAlign w:val="center"/>
                </w:tcPr>
                <w:p w14:paraId="6F587FBA">
                  <w:pPr>
                    <w:pStyle w:val="2"/>
                    <w:keepLines w:val="0"/>
                    <w:pageBreakBefore w:val="0"/>
                    <w:suppressLineNumbers w:val="0"/>
                    <w:kinsoku/>
                    <w:wordWrap/>
                    <w:topLinePunct w:val="0"/>
                    <w:autoSpaceDE/>
                    <w:autoSpaceDN/>
                    <w:bidi w:val="0"/>
                    <w:spacing w:before="0" w:beforeAutospacing="0" w:after="0" w:afterAutospacing="0" w:line="240" w:lineRule="auto"/>
                    <w:ind w:left="0" w:right="0" w:firstLine="0"/>
                    <w:jc w:val="center"/>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2000（无量纲）</w:t>
                  </w:r>
                </w:p>
              </w:tc>
              <w:tc>
                <w:tcPr>
                  <w:tcW w:w="223" w:type="pct"/>
                  <w:tcBorders>
                    <w:tl2br w:val="nil"/>
                    <w:tr2bl w:val="nil"/>
                  </w:tcBorders>
                  <w:noWrap w:val="0"/>
                  <w:vAlign w:val="center"/>
                </w:tcPr>
                <w:p w14:paraId="291738FC">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排气筒出口</w:t>
                  </w:r>
                </w:p>
              </w:tc>
              <w:tc>
                <w:tcPr>
                  <w:tcW w:w="236" w:type="pct"/>
                  <w:vMerge w:val="restart"/>
                  <w:tcBorders>
                    <w:tl2br w:val="nil"/>
                    <w:tr2bl w:val="nil"/>
                  </w:tcBorders>
                  <w:noWrap w:val="0"/>
                  <w:tcMar>
                    <w:top w:w="0" w:type="dxa"/>
                    <w:left w:w="0" w:type="dxa"/>
                    <w:bottom w:w="0" w:type="dxa"/>
                    <w:right w:w="0" w:type="dxa"/>
                  </w:tcMar>
                  <w:vAlign w:val="center"/>
                </w:tcPr>
                <w:p w14:paraId="74FEC94D">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臭气浓度</w:t>
                  </w:r>
                </w:p>
              </w:tc>
              <w:tc>
                <w:tcPr>
                  <w:tcW w:w="175" w:type="pct"/>
                  <w:vMerge w:val="restart"/>
                  <w:tcBorders>
                    <w:tl2br w:val="nil"/>
                    <w:tr2bl w:val="nil"/>
                  </w:tcBorders>
                  <w:noWrap w:val="0"/>
                  <w:vAlign w:val="center"/>
                </w:tcPr>
                <w:p w14:paraId="36EEED48">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r>
                    <w:rPr>
                      <w:rFonts w:hint="default" w:ascii="Times New Roman" w:hAnsi="Times New Roman" w:eastAsia="宋体" w:cs="Times New Roman"/>
                      <w:bCs/>
                      <w:color w:val="auto"/>
                      <w:spacing w:val="-20"/>
                      <w:sz w:val="21"/>
                      <w:szCs w:val="21"/>
                    </w:rPr>
                    <w:t>1次/年</w:t>
                  </w:r>
                </w:p>
              </w:tc>
            </w:tr>
            <w:tr w14:paraId="2171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vMerge w:val="continue"/>
                  <w:tcBorders>
                    <w:tl2br w:val="nil"/>
                    <w:tr2bl w:val="nil"/>
                  </w:tcBorders>
                  <w:noWrap w:val="0"/>
                  <w:vAlign w:val="center"/>
                </w:tcPr>
                <w:p w14:paraId="496A6BF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color w:val="auto"/>
                      <w:spacing w:val="-11"/>
                      <w:sz w:val="21"/>
                      <w:szCs w:val="21"/>
                    </w:rPr>
                  </w:pPr>
                </w:p>
              </w:tc>
              <w:tc>
                <w:tcPr>
                  <w:tcW w:w="223" w:type="pct"/>
                  <w:vMerge w:val="continue"/>
                  <w:tcBorders>
                    <w:tl2br w:val="nil"/>
                    <w:tr2bl w:val="nil"/>
                  </w:tcBorders>
                  <w:noWrap w:val="0"/>
                  <w:vAlign w:val="center"/>
                </w:tcPr>
                <w:p w14:paraId="7323EEC2">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p>
              </w:tc>
              <w:tc>
                <w:tcPr>
                  <w:tcW w:w="1155" w:type="pct"/>
                  <w:gridSpan w:val="3"/>
                  <w:tcBorders>
                    <w:tl2br w:val="nil"/>
                    <w:tr2bl w:val="nil"/>
                  </w:tcBorders>
                  <w:noWrap w:val="0"/>
                  <w:vAlign w:val="center"/>
                </w:tcPr>
                <w:p w14:paraId="1F205F92">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val="en-US" w:eastAsia="zh-CN"/>
                    </w:rPr>
                    <w:t>/</w:t>
                  </w:r>
                </w:p>
              </w:tc>
              <w:tc>
                <w:tcPr>
                  <w:tcW w:w="252" w:type="pct"/>
                  <w:tcBorders>
                    <w:tl2br w:val="nil"/>
                    <w:tr2bl w:val="nil"/>
                  </w:tcBorders>
                  <w:noWrap w:val="0"/>
                  <w:vAlign w:val="center"/>
                </w:tcPr>
                <w:p w14:paraId="10EC3BD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无组织</w:t>
                  </w:r>
                </w:p>
              </w:tc>
              <w:tc>
                <w:tcPr>
                  <w:tcW w:w="223" w:type="pct"/>
                  <w:tcBorders>
                    <w:tl2br w:val="nil"/>
                    <w:tr2bl w:val="nil"/>
                  </w:tcBorders>
                  <w:noWrap w:val="0"/>
                  <w:vAlign w:val="center"/>
                </w:tcPr>
                <w:p w14:paraId="5BFD1D8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bCs/>
                      <w:color w:val="auto"/>
                      <w:spacing w:val="-11"/>
                      <w:sz w:val="21"/>
                      <w:szCs w:val="21"/>
                    </w:rPr>
                    <w:t>/</w:t>
                  </w:r>
                </w:p>
              </w:tc>
              <w:tc>
                <w:tcPr>
                  <w:tcW w:w="182" w:type="pct"/>
                  <w:tcBorders>
                    <w:tl2br w:val="nil"/>
                    <w:tr2bl w:val="nil"/>
                  </w:tcBorders>
                  <w:noWrap w:val="0"/>
                  <w:vAlign w:val="center"/>
                </w:tcPr>
                <w:p w14:paraId="36C5A6B6">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15" w:type="pct"/>
                  <w:tcBorders>
                    <w:tl2br w:val="nil"/>
                    <w:tr2bl w:val="nil"/>
                  </w:tcBorders>
                  <w:noWrap w:val="0"/>
                  <w:vAlign w:val="center"/>
                </w:tcPr>
                <w:p w14:paraId="537FD74B">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183" w:type="pct"/>
                  <w:tcBorders>
                    <w:tl2br w:val="nil"/>
                    <w:tr2bl w:val="nil"/>
                  </w:tcBorders>
                  <w:noWrap w:val="0"/>
                  <w:vAlign w:val="center"/>
                </w:tcPr>
                <w:p w14:paraId="2B8D8FD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159" w:type="pct"/>
                  <w:tcBorders>
                    <w:tl2br w:val="nil"/>
                    <w:tr2bl w:val="nil"/>
                  </w:tcBorders>
                  <w:noWrap w:val="0"/>
                  <w:vAlign w:val="center"/>
                </w:tcPr>
                <w:p w14:paraId="0CF16336">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1186" w:type="pct"/>
                  <w:gridSpan w:val="3"/>
                  <w:tcBorders>
                    <w:tl2br w:val="nil"/>
                    <w:tr2bl w:val="nil"/>
                  </w:tcBorders>
                  <w:noWrap w:val="0"/>
                  <w:vAlign w:val="center"/>
                </w:tcPr>
                <w:p w14:paraId="73060067">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right="0" w:firstLine="0"/>
                    <w:jc w:val="center"/>
                    <w:rPr>
                      <w:rFonts w:hint="default" w:ascii="Times New Roman" w:hAnsi="Times New Roman" w:eastAsia="宋体" w:cs="Times New Roman"/>
                      <w:bCs/>
                      <w:color w:val="auto"/>
                      <w:sz w:val="21"/>
                      <w:szCs w:val="21"/>
                      <w:lang w:eastAsia="zh-CN"/>
                    </w:rPr>
                  </w:pPr>
                  <w:r>
                    <w:rPr>
                      <w:rFonts w:hint="eastAsia" w:ascii="Times New Roman" w:hAnsi="Times New Roman" w:cs="Times New Roman"/>
                      <w:caps w:val="0"/>
                      <w:smallCaps w:val="0"/>
                      <w:color w:val="auto"/>
                      <w:sz w:val="21"/>
                      <w:szCs w:val="21"/>
                      <w:lang w:val="en-US" w:eastAsia="zh-CN"/>
                    </w:rPr>
                    <w:t>18</w:t>
                  </w:r>
                  <w:r>
                    <w:rPr>
                      <w:rFonts w:hint="eastAsia" w:ascii="Times New Roman" w:hAnsi="Times New Roman" w:eastAsia="宋体" w:cs="Times New Roman"/>
                      <w:caps w:val="0"/>
                      <w:smallCaps w:val="0"/>
                      <w:color w:val="auto"/>
                      <w:sz w:val="21"/>
                      <w:szCs w:val="21"/>
                      <w:lang w:val="en-US" w:eastAsia="zh-CN"/>
                    </w:rPr>
                    <w:t>（无量纲）</w:t>
                  </w:r>
                </w:p>
              </w:tc>
              <w:tc>
                <w:tcPr>
                  <w:tcW w:w="417" w:type="pct"/>
                  <w:gridSpan w:val="2"/>
                  <w:tcBorders>
                    <w:tl2br w:val="nil"/>
                    <w:tr2bl w:val="nil"/>
                  </w:tcBorders>
                  <w:noWrap w:val="0"/>
                  <w:vAlign w:val="center"/>
                </w:tcPr>
                <w:p w14:paraId="541946AE">
                  <w:pPr>
                    <w:pStyle w:val="2"/>
                    <w:keepLines w:val="0"/>
                    <w:pageBreakBefore w:val="0"/>
                    <w:suppressLineNumbers w:val="0"/>
                    <w:kinsoku/>
                    <w:wordWrap/>
                    <w:topLinePunct w:val="0"/>
                    <w:autoSpaceDE/>
                    <w:autoSpaceDN/>
                    <w:bidi w:val="0"/>
                    <w:spacing w:before="0" w:beforeAutospacing="0" w:after="0" w:afterAutospacing="0" w:line="240" w:lineRule="auto"/>
                    <w:ind w:left="0" w:right="0" w:firstLine="0"/>
                    <w:jc w:val="center"/>
                    <w:rPr>
                      <w:rFonts w:hint="default"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20（无量纲）</w:t>
                  </w:r>
                </w:p>
              </w:tc>
              <w:tc>
                <w:tcPr>
                  <w:tcW w:w="223" w:type="pct"/>
                  <w:tcBorders>
                    <w:tl2br w:val="nil"/>
                    <w:tr2bl w:val="nil"/>
                  </w:tcBorders>
                  <w:noWrap w:val="0"/>
                  <w:vAlign w:val="center"/>
                </w:tcPr>
                <w:p w14:paraId="10CE457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厂界</w:t>
                  </w:r>
                </w:p>
              </w:tc>
              <w:tc>
                <w:tcPr>
                  <w:tcW w:w="236" w:type="pct"/>
                  <w:vMerge w:val="continue"/>
                  <w:tcBorders>
                    <w:tl2br w:val="nil"/>
                    <w:tr2bl w:val="nil"/>
                  </w:tcBorders>
                  <w:noWrap w:val="0"/>
                  <w:tcMar>
                    <w:top w:w="0" w:type="dxa"/>
                    <w:left w:w="0" w:type="dxa"/>
                    <w:bottom w:w="0" w:type="dxa"/>
                    <w:right w:w="0" w:type="dxa"/>
                  </w:tcMar>
                  <w:vAlign w:val="center"/>
                </w:tcPr>
                <w:p w14:paraId="0E3836F6">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p>
              </w:tc>
              <w:tc>
                <w:tcPr>
                  <w:tcW w:w="175" w:type="pct"/>
                  <w:vMerge w:val="continue"/>
                  <w:tcBorders>
                    <w:tl2br w:val="nil"/>
                    <w:tr2bl w:val="nil"/>
                  </w:tcBorders>
                  <w:noWrap w:val="0"/>
                  <w:vAlign w:val="center"/>
                </w:tcPr>
                <w:p w14:paraId="640B7C94">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p>
              </w:tc>
            </w:tr>
            <w:tr w14:paraId="273F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tcBorders>
                    <w:tl2br w:val="nil"/>
                    <w:tr2bl w:val="nil"/>
                  </w:tcBorders>
                  <w:noWrap w:val="0"/>
                  <w:vAlign w:val="center"/>
                </w:tcPr>
                <w:p w14:paraId="516CEF2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拌料、上料</w:t>
                  </w:r>
                </w:p>
              </w:tc>
              <w:tc>
                <w:tcPr>
                  <w:tcW w:w="223" w:type="pct"/>
                  <w:tcBorders>
                    <w:tl2br w:val="nil"/>
                    <w:tr2bl w:val="nil"/>
                  </w:tcBorders>
                  <w:noWrap w:val="0"/>
                  <w:vAlign w:val="center"/>
                </w:tcPr>
                <w:p w14:paraId="1679C509">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pacing w:val="-17"/>
                      <w:kern w:val="0"/>
                      <w:sz w:val="21"/>
                      <w:szCs w:val="21"/>
                      <w:lang w:eastAsia="zh-CN"/>
                    </w:rPr>
                  </w:pPr>
                  <w:r>
                    <w:rPr>
                      <w:rFonts w:hint="default" w:ascii="Times New Roman" w:hAnsi="Times New Roman" w:eastAsia="宋体" w:cs="Times New Roman"/>
                      <w:b w:val="0"/>
                      <w:bCs/>
                      <w:color w:val="auto"/>
                      <w:sz w:val="21"/>
                      <w:szCs w:val="21"/>
                      <w:lang w:val="en-US" w:eastAsia="zh-CN"/>
                    </w:rPr>
                    <w:t>颗粒物</w:t>
                  </w:r>
                </w:p>
              </w:tc>
              <w:tc>
                <w:tcPr>
                  <w:tcW w:w="360" w:type="pct"/>
                  <w:tcBorders>
                    <w:tl2br w:val="nil"/>
                    <w:tr2bl w:val="nil"/>
                  </w:tcBorders>
                  <w:noWrap w:val="0"/>
                  <w:vAlign w:val="center"/>
                </w:tcPr>
                <w:p w14:paraId="5EE7F5CB">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textAlignment w:val="center"/>
                    <w:rPr>
                      <w:rFonts w:hint="default" w:ascii="Times New Roman" w:hAnsi="Times New Roman" w:eastAsia="宋体" w:cs="Times New Roman"/>
                      <w:bCs/>
                      <w:color w:val="auto"/>
                      <w:spacing w:val="-11"/>
                      <w:kern w:val="0"/>
                      <w:sz w:val="21"/>
                      <w:szCs w:val="21"/>
                      <w:highlight w:val="none"/>
                    </w:rPr>
                  </w:pPr>
                  <w:r>
                    <w:rPr>
                      <w:rFonts w:hint="default" w:ascii="Times New Roman" w:hAnsi="Times New Roman" w:eastAsia="宋体" w:cs="Times New Roman"/>
                      <w:color w:val="auto"/>
                      <w:sz w:val="21"/>
                      <w:szCs w:val="21"/>
                      <w:highlight w:val="none"/>
                      <w:lang w:val="en-US" w:eastAsia="zh-CN"/>
                    </w:rPr>
                    <w:t>0.1</w:t>
                  </w:r>
                  <w:r>
                    <w:rPr>
                      <w:rFonts w:hint="eastAsia" w:cs="Times New Roman"/>
                      <w:color w:val="auto"/>
                      <w:sz w:val="21"/>
                      <w:szCs w:val="21"/>
                      <w:highlight w:val="none"/>
                      <w:lang w:val="en-US" w:eastAsia="zh-CN"/>
                    </w:rPr>
                    <w:t>303</w:t>
                  </w:r>
                </w:p>
              </w:tc>
              <w:tc>
                <w:tcPr>
                  <w:tcW w:w="419" w:type="pct"/>
                  <w:tcBorders>
                    <w:tl2br w:val="nil"/>
                    <w:tr2bl w:val="nil"/>
                  </w:tcBorders>
                  <w:noWrap w:val="0"/>
                  <w:vAlign w:val="center"/>
                </w:tcPr>
                <w:p w14:paraId="3AE6B600">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textAlignment w:val="center"/>
                    <w:rPr>
                      <w:rFonts w:hint="default" w:ascii="Times New Roman" w:hAnsi="Times New Roman" w:eastAsia="宋体" w:cs="Times New Roman"/>
                      <w:bCs/>
                      <w:color w:val="auto"/>
                      <w:spacing w:val="-11"/>
                      <w:sz w:val="21"/>
                      <w:szCs w:val="21"/>
                      <w:highlight w:val="none"/>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181</w:t>
                  </w:r>
                </w:p>
              </w:tc>
              <w:tc>
                <w:tcPr>
                  <w:tcW w:w="376" w:type="pct"/>
                  <w:tcBorders>
                    <w:tl2br w:val="nil"/>
                    <w:tr2bl w:val="nil"/>
                  </w:tcBorders>
                  <w:noWrap w:val="0"/>
                  <w:vAlign w:val="center"/>
                </w:tcPr>
                <w:p w14:paraId="01ED28F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52" w:type="pct"/>
                  <w:tcBorders>
                    <w:tl2br w:val="nil"/>
                    <w:tr2bl w:val="nil"/>
                  </w:tcBorders>
                  <w:noWrap w:val="0"/>
                  <w:vAlign w:val="center"/>
                </w:tcPr>
                <w:p w14:paraId="5966D7F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无组织</w:t>
                  </w:r>
                </w:p>
              </w:tc>
              <w:tc>
                <w:tcPr>
                  <w:tcW w:w="223" w:type="pct"/>
                  <w:tcBorders>
                    <w:tl2br w:val="nil"/>
                    <w:tr2bl w:val="nil"/>
                  </w:tcBorders>
                  <w:noWrap w:val="0"/>
                  <w:vAlign w:val="center"/>
                </w:tcPr>
                <w:p w14:paraId="0CE0239F">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pacing w:val="-11"/>
                      <w:sz w:val="21"/>
                      <w:szCs w:val="21"/>
                      <w:highlight w:val="none"/>
                    </w:rPr>
                    <w:t>/</w:t>
                  </w:r>
                </w:p>
              </w:tc>
              <w:tc>
                <w:tcPr>
                  <w:tcW w:w="182" w:type="pct"/>
                  <w:tcBorders>
                    <w:tl2br w:val="nil"/>
                    <w:tr2bl w:val="nil"/>
                  </w:tcBorders>
                  <w:noWrap w:val="0"/>
                  <w:vAlign w:val="center"/>
                </w:tcPr>
                <w:p w14:paraId="544F1C0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15" w:type="pct"/>
                  <w:vMerge w:val="restart"/>
                  <w:tcBorders>
                    <w:tl2br w:val="nil"/>
                    <w:tr2bl w:val="nil"/>
                  </w:tcBorders>
                  <w:noWrap w:val="0"/>
                  <w:vAlign w:val="center"/>
                </w:tcPr>
                <w:p w14:paraId="43B9E6B8">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自然沉降+封闭厂房阻隔</w:t>
                  </w:r>
                </w:p>
              </w:tc>
              <w:tc>
                <w:tcPr>
                  <w:tcW w:w="183" w:type="pct"/>
                  <w:tcBorders>
                    <w:tl2br w:val="nil"/>
                    <w:tr2bl w:val="nil"/>
                  </w:tcBorders>
                  <w:noWrap w:val="0"/>
                  <w:vAlign w:val="center"/>
                </w:tcPr>
                <w:p w14:paraId="23FC478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60</w:t>
                  </w:r>
                </w:p>
              </w:tc>
              <w:tc>
                <w:tcPr>
                  <w:tcW w:w="159" w:type="pct"/>
                  <w:tcBorders>
                    <w:tl2br w:val="nil"/>
                    <w:tr2bl w:val="nil"/>
                  </w:tcBorders>
                  <w:noWrap w:val="0"/>
                  <w:vAlign w:val="center"/>
                </w:tcPr>
                <w:p w14:paraId="5213565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pacing w:val="-11"/>
                      <w:sz w:val="21"/>
                      <w:szCs w:val="21"/>
                      <w:highlight w:val="none"/>
                    </w:rPr>
                    <w:t>/</w:t>
                  </w:r>
                </w:p>
              </w:tc>
              <w:tc>
                <w:tcPr>
                  <w:tcW w:w="401" w:type="pct"/>
                  <w:tcBorders>
                    <w:tl2br w:val="nil"/>
                    <w:tr2bl w:val="nil"/>
                  </w:tcBorders>
                  <w:noWrap w:val="0"/>
                  <w:vAlign w:val="center"/>
                </w:tcPr>
                <w:p w14:paraId="0C465E26">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textAlignment w:val="center"/>
                    <w:rPr>
                      <w:rFonts w:hint="default" w:ascii="Times New Roman" w:hAnsi="Times New Roman" w:eastAsia="宋体" w:cs="Times New Roman"/>
                      <w:bCs/>
                      <w:color w:val="auto"/>
                      <w:spacing w:val="-11"/>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0.0</w:t>
                  </w:r>
                  <w:r>
                    <w:rPr>
                      <w:rFonts w:hint="eastAsia" w:cs="Times New Roman"/>
                      <w:color w:val="auto"/>
                      <w:kern w:val="0"/>
                      <w:sz w:val="21"/>
                      <w:szCs w:val="21"/>
                      <w:highlight w:val="none"/>
                      <w:lang w:val="en-US" w:eastAsia="zh-CN" w:bidi="ar"/>
                    </w:rPr>
                    <w:t>521</w:t>
                  </w:r>
                </w:p>
              </w:tc>
              <w:tc>
                <w:tcPr>
                  <w:tcW w:w="393" w:type="pct"/>
                  <w:tcBorders>
                    <w:tl2br w:val="nil"/>
                    <w:tr2bl w:val="nil"/>
                  </w:tcBorders>
                  <w:noWrap w:val="0"/>
                  <w:vAlign w:val="center"/>
                </w:tcPr>
                <w:p w14:paraId="35CF6C8F">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textAlignment w:val="center"/>
                    <w:rPr>
                      <w:rFonts w:hint="default" w:ascii="Times New Roman" w:hAnsi="Times New Roman" w:eastAsia="宋体" w:cs="Times New Roman"/>
                      <w:bCs/>
                      <w:color w:val="auto"/>
                      <w:spacing w:val="-11"/>
                      <w:kern w:val="0"/>
                      <w:sz w:val="21"/>
                      <w:szCs w:val="21"/>
                    </w:rPr>
                  </w:pPr>
                  <w:r>
                    <w:rPr>
                      <w:rFonts w:hint="default" w:ascii="Times New Roman" w:hAnsi="Times New Roman" w:eastAsia="宋体" w:cs="Times New Roman"/>
                      <w:color w:val="auto"/>
                      <w:kern w:val="0"/>
                      <w:sz w:val="21"/>
                      <w:szCs w:val="21"/>
                      <w:lang w:val="en-US" w:eastAsia="zh-CN" w:bidi="ar"/>
                    </w:rPr>
                    <w:t>0.0</w:t>
                  </w:r>
                  <w:r>
                    <w:rPr>
                      <w:rFonts w:hint="eastAsia" w:cs="Times New Roman"/>
                      <w:color w:val="auto"/>
                      <w:kern w:val="0"/>
                      <w:sz w:val="21"/>
                      <w:szCs w:val="21"/>
                      <w:lang w:val="en-US" w:eastAsia="zh-CN" w:bidi="ar"/>
                    </w:rPr>
                    <w:t>072</w:t>
                  </w:r>
                </w:p>
              </w:tc>
              <w:tc>
                <w:tcPr>
                  <w:tcW w:w="392" w:type="pct"/>
                  <w:tcBorders>
                    <w:tl2br w:val="nil"/>
                    <w:tr2bl w:val="nil"/>
                  </w:tcBorders>
                  <w:noWrap w:val="0"/>
                  <w:vAlign w:val="center"/>
                </w:tcPr>
                <w:p w14:paraId="1F2E75BF">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30" w:type="pct"/>
                  <w:tcBorders>
                    <w:tl2br w:val="nil"/>
                    <w:tr2bl w:val="nil"/>
                  </w:tcBorders>
                  <w:noWrap w:val="0"/>
                  <w:vAlign w:val="center"/>
                </w:tcPr>
                <w:p w14:paraId="57F192C7">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1.0</w:t>
                  </w:r>
                </w:p>
              </w:tc>
              <w:tc>
                <w:tcPr>
                  <w:tcW w:w="187" w:type="pct"/>
                  <w:tcBorders>
                    <w:tl2br w:val="nil"/>
                    <w:tr2bl w:val="nil"/>
                  </w:tcBorders>
                  <w:noWrap w:val="0"/>
                  <w:vAlign w:val="center"/>
                </w:tcPr>
                <w:p w14:paraId="6F230EB7">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23" w:type="pct"/>
                  <w:tcBorders>
                    <w:tl2br w:val="nil"/>
                    <w:tr2bl w:val="nil"/>
                  </w:tcBorders>
                  <w:noWrap w:val="0"/>
                  <w:vAlign w:val="center"/>
                </w:tcPr>
                <w:p w14:paraId="5A9582D1">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厂界</w:t>
                  </w:r>
                </w:p>
              </w:tc>
              <w:tc>
                <w:tcPr>
                  <w:tcW w:w="236" w:type="pct"/>
                  <w:tcBorders>
                    <w:tl2br w:val="nil"/>
                    <w:tr2bl w:val="nil"/>
                  </w:tcBorders>
                  <w:noWrap w:val="0"/>
                  <w:vAlign w:val="center"/>
                </w:tcPr>
                <w:p w14:paraId="77C1659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颗粒物</w:t>
                  </w:r>
                </w:p>
              </w:tc>
              <w:tc>
                <w:tcPr>
                  <w:tcW w:w="175" w:type="pct"/>
                  <w:tcBorders>
                    <w:tl2br w:val="nil"/>
                    <w:tr2bl w:val="nil"/>
                  </w:tcBorders>
                  <w:noWrap w:val="0"/>
                  <w:vAlign w:val="center"/>
                </w:tcPr>
                <w:p w14:paraId="1787522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r>
                    <w:rPr>
                      <w:rFonts w:hint="default" w:ascii="Times New Roman" w:hAnsi="Times New Roman" w:eastAsia="宋体" w:cs="Times New Roman"/>
                      <w:bCs/>
                      <w:color w:val="auto"/>
                      <w:spacing w:val="-20"/>
                      <w:sz w:val="21"/>
                      <w:szCs w:val="21"/>
                    </w:rPr>
                    <w:t>1次/年</w:t>
                  </w:r>
                </w:p>
              </w:tc>
            </w:tr>
            <w:tr w14:paraId="3FC0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tcBorders>
                    <w:tl2br w:val="nil"/>
                    <w:tr2bl w:val="nil"/>
                  </w:tcBorders>
                  <w:noWrap w:val="0"/>
                  <w:vAlign w:val="center"/>
                </w:tcPr>
                <w:p w14:paraId="13E246E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val="en-US" w:eastAsia="zh-CN"/>
                    </w:rPr>
                    <w:t>破碎</w:t>
                  </w:r>
                </w:p>
              </w:tc>
              <w:tc>
                <w:tcPr>
                  <w:tcW w:w="223" w:type="pct"/>
                  <w:tcBorders>
                    <w:tl2br w:val="nil"/>
                    <w:tr2bl w:val="nil"/>
                  </w:tcBorders>
                  <w:noWrap w:val="0"/>
                  <w:vAlign w:val="center"/>
                </w:tcPr>
                <w:p w14:paraId="4A66E98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val="en-US" w:eastAsia="zh-CN"/>
                    </w:rPr>
                    <w:t>颗粒物</w:t>
                  </w:r>
                </w:p>
              </w:tc>
              <w:tc>
                <w:tcPr>
                  <w:tcW w:w="360" w:type="pct"/>
                  <w:tcBorders>
                    <w:tl2br w:val="nil"/>
                    <w:tr2bl w:val="nil"/>
                  </w:tcBorders>
                  <w:noWrap w:val="0"/>
                  <w:vAlign w:val="center"/>
                </w:tcPr>
                <w:p w14:paraId="45E28CCD">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textAlignment w:val="center"/>
                    <w:rPr>
                      <w:rFonts w:hint="default" w:ascii="Times New Roman" w:hAnsi="Times New Roman" w:eastAsia="宋体" w:cs="Times New Roman"/>
                      <w:bCs/>
                      <w:color w:val="auto"/>
                      <w:spacing w:val="-11"/>
                      <w:kern w:val="0"/>
                      <w:sz w:val="21"/>
                      <w:szCs w:val="21"/>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244</w:t>
                  </w:r>
                </w:p>
              </w:tc>
              <w:tc>
                <w:tcPr>
                  <w:tcW w:w="419" w:type="pct"/>
                  <w:tcBorders>
                    <w:tl2br w:val="nil"/>
                    <w:tr2bl w:val="nil"/>
                  </w:tcBorders>
                  <w:noWrap w:val="0"/>
                  <w:vAlign w:val="center"/>
                </w:tcPr>
                <w:p w14:paraId="06A51CF7">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61</w:t>
                  </w:r>
                </w:p>
              </w:tc>
              <w:tc>
                <w:tcPr>
                  <w:tcW w:w="376" w:type="pct"/>
                  <w:tcBorders>
                    <w:tl2br w:val="nil"/>
                    <w:tr2bl w:val="nil"/>
                  </w:tcBorders>
                  <w:noWrap w:val="0"/>
                  <w:vAlign w:val="center"/>
                </w:tcPr>
                <w:p w14:paraId="0390EE11">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52" w:type="pct"/>
                  <w:tcBorders>
                    <w:tl2br w:val="nil"/>
                    <w:tr2bl w:val="nil"/>
                  </w:tcBorders>
                  <w:noWrap w:val="0"/>
                  <w:vAlign w:val="center"/>
                </w:tcPr>
                <w:p w14:paraId="001D1C68">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rPr>
                    <w:t>无组织</w:t>
                  </w:r>
                </w:p>
              </w:tc>
              <w:tc>
                <w:tcPr>
                  <w:tcW w:w="223" w:type="pct"/>
                  <w:tcBorders>
                    <w:tl2br w:val="nil"/>
                    <w:tr2bl w:val="nil"/>
                  </w:tcBorders>
                  <w:noWrap w:val="0"/>
                  <w:vAlign w:val="center"/>
                </w:tcPr>
                <w:p w14:paraId="2FC205E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r>
                    <w:rPr>
                      <w:rFonts w:hint="default" w:ascii="Times New Roman" w:hAnsi="Times New Roman" w:eastAsia="宋体" w:cs="Times New Roman"/>
                      <w:bCs/>
                      <w:color w:val="auto"/>
                      <w:spacing w:val="-11"/>
                      <w:sz w:val="21"/>
                      <w:szCs w:val="21"/>
                    </w:rPr>
                    <w:t>/</w:t>
                  </w:r>
                </w:p>
              </w:tc>
              <w:tc>
                <w:tcPr>
                  <w:tcW w:w="182" w:type="pct"/>
                  <w:tcBorders>
                    <w:tl2br w:val="nil"/>
                    <w:tr2bl w:val="nil"/>
                  </w:tcBorders>
                  <w:noWrap w:val="0"/>
                  <w:vAlign w:val="center"/>
                </w:tcPr>
                <w:p w14:paraId="33C8A33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r>
                    <w:rPr>
                      <w:rFonts w:hint="default" w:ascii="Times New Roman" w:hAnsi="Times New Roman" w:eastAsia="宋体" w:cs="Times New Roman"/>
                      <w:bCs/>
                      <w:color w:val="auto"/>
                      <w:sz w:val="21"/>
                      <w:szCs w:val="21"/>
                    </w:rPr>
                    <w:t>/</w:t>
                  </w:r>
                </w:p>
              </w:tc>
              <w:tc>
                <w:tcPr>
                  <w:tcW w:w="215" w:type="pct"/>
                  <w:vMerge w:val="continue"/>
                  <w:tcBorders>
                    <w:tl2br w:val="nil"/>
                    <w:tr2bl w:val="nil"/>
                  </w:tcBorders>
                  <w:noWrap w:val="0"/>
                  <w:vAlign w:val="center"/>
                </w:tcPr>
                <w:p w14:paraId="546DDD2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p>
              </w:tc>
              <w:tc>
                <w:tcPr>
                  <w:tcW w:w="183" w:type="pct"/>
                  <w:tcBorders>
                    <w:tl2br w:val="nil"/>
                    <w:tr2bl w:val="nil"/>
                  </w:tcBorders>
                  <w:noWrap w:val="0"/>
                  <w:vAlign w:val="center"/>
                </w:tcPr>
                <w:p w14:paraId="3FB3581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r>
                    <w:rPr>
                      <w:rFonts w:hint="default" w:ascii="Times New Roman" w:hAnsi="Times New Roman" w:eastAsia="宋体" w:cs="Times New Roman"/>
                      <w:bCs/>
                      <w:color w:val="auto"/>
                      <w:sz w:val="21"/>
                      <w:szCs w:val="21"/>
                      <w:lang w:val="en-US" w:eastAsia="zh-CN"/>
                    </w:rPr>
                    <w:t>60</w:t>
                  </w:r>
                </w:p>
              </w:tc>
              <w:tc>
                <w:tcPr>
                  <w:tcW w:w="159" w:type="pct"/>
                  <w:tcBorders>
                    <w:tl2br w:val="nil"/>
                    <w:tr2bl w:val="nil"/>
                  </w:tcBorders>
                  <w:noWrap w:val="0"/>
                  <w:vAlign w:val="center"/>
                </w:tcPr>
                <w:p w14:paraId="6528605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r>
                    <w:rPr>
                      <w:rFonts w:hint="default" w:ascii="Times New Roman" w:hAnsi="Times New Roman" w:eastAsia="宋体" w:cs="Times New Roman"/>
                      <w:bCs/>
                      <w:color w:val="auto"/>
                      <w:spacing w:val="-11"/>
                      <w:sz w:val="21"/>
                      <w:szCs w:val="21"/>
                    </w:rPr>
                    <w:t>/</w:t>
                  </w:r>
                </w:p>
              </w:tc>
              <w:tc>
                <w:tcPr>
                  <w:tcW w:w="401" w:type="pct"/>
                  <w:tcBorders>
                    <w:tl2br w:val="nil"/>
                    <w:tr2bl w:val="nil"/>
                  </w:tcBorders>
                  <w:noWrap w:val="0"/>
                  <w:vAlign w:val="center"/>
                </w:tcPr>
                <w:p w14:paraId="49CF7462">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textAlignment w:val="center"/>
                    <w:rPr>
                      <w:rFonts w:hint="default" w:ascii="Times New Roman" w:hAnsi="Times New Roman" w:eastAsia="宋体" w:cs="Times New Roman"/>
                      <w:bCs/>
                      <w:color w:val="auto"/>
                      <w:spacing w:val="-11"/>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10</w:t>
                  </w:r>
                </w:p>
              </w:tc>
              <w:tc>
                <w:tcPr>
                  <w:tcW w:w="393" w:type="pct"/>
                  <w:tcBorders>
                    <w:tl2br w:val="nil"/>
                    <w:tr2bl w:val="nil"/>
                  </w:tcBorders>
                  <w:noWrap w:val="0"/>
                  <w:vAlign w:val="center"/>
                </w:tcPr>
                <w:p w14:paraId="0DF4FB6C">
                  <w:pPr>
                    <w:keepNext w:val="0"/>
                    <w:keepLines w:val="0"/>
                    <w:pageBreakBefore w:val="0"/>
                    <w:widowControl/>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25</w:t>
                  </w:r>
                </w:p>
              </w:tc>
              <w:tc>
                <w:tcPr>
                  <w:tcW w:w="392" w:type="pct"/>
                  <w:tcBorders>
                    <w:tl2br w:val="nil"/>
                    <w:tr2bl w:val="nil"/>
                  </w:tcBorders>
                  <w:noWrap w:val="0"/>
                  <w:vAlign w:val="center"/>
                </w:tcPr>
                <w:p w14:paraId="1D28BF2D">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2"/>
                      <w:sz w:val="21"/>
                      <w:szCs w:val="21"/>
                      <w:lang w:val="en-US" w:eastAsia="zh-CN" w:bidi="ar-SA"/>
                    </w:rPr>
                  </w:pPr>
                  <w:r>
                    <w:rPr>
                      <w:rFonts w:hint="default" w:ascii="Times New Roman" w:hAnsi="Times New Roman" w:eastAsia="宋体" w:cs="Times New Roman"/>
                      <w:bCs/>
                      <w:color w:val="auto"/>
                      <w:sz w:val="21"/>
                      <w:szCs w:val="21"/>
                    </w:rPr>
                    <w:t>/</w:t>
                  </w:r>
                </w:p>
              </w:tc>
              <w:tc>
                <w:tcPr>
                  <w:tcW w:w="230" w:type="pct"/>
                  <w:tcBorders>
                    <w:tl2br w:val="nil"/>
                    <w:tr2bl w:val="nil"/>
                  </w:tcBorders>
                  <w:noWrap w:val="0"/>
                  <w:vAlign w:val="center"/>
                </w:tcPr>
                <w:p w14:paraId="2B0A1CA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rPr>
                    <w:t>1.0</w:t>
                  </w:r>
                </w:p>
              </w:tc>
              <w:tc>
                <w:tcPr>
                  <w:tcW w:w="187" w:type="pct"/>
                  <w:tcBorders>
                    <w:tl2br w:val="nil"/>
                    <w:tr2bl w:val="nil"/>
                  </w:tcBorders>
                  <w:noWrap w:val="0"/>
                  <w:vAlign w:val="center"/>
                </w:tcPr>
                <w:p w14:paraId="04D6435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rPr>
                    <w:t>/</w:t>
                  </w:r>
                </w:p>
              </w:tc>
              <w:tc>
                <w:tcPr>
                  <w:tcW w:w="223" w:type="pct"/>
                  <w:tcBorders>
                    <w:tl2br w:val="nil"/>
                    <w:tr2bl w:val="nil"/>
                  </w:tcBorders>
                  <w:noWrap w:val="0"/>
                  <w:vAlign w:val="center"/>
                </w:tcPr>
                <w:p w14:paraId="363B3AA8">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rPr>
                    <w:t>厂界</w:t>
                  </w:r>
                </w:p>
              </w:tc>
              <w:tc>
                <w:tcPr>
                  <w:tcW w:w="236" w:type="pct"/>
                  <w:tcBorders>
                    <w:tl2br w:val="nil"/>
                    <w:tr2bl w:val="nil"/>
                  </w:tcBorders>
                  <w:noWrap w:val="0"/>
                  <w:vAlign w:val="center"/>
                </w:tcPr>
                <w:p w14:paraId="52D9262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颗粒物</w:t>
                  </w:r>
                </w:p>
              </w:tc>
              <w:tc>
                <w:tcPr>
                  <w:tcW w:w="175" w:type="pct"/>
                  <w:tcBorders>
                    <w:tl2br w:val="nil"/>
                    <w:tr2bl w:val="nil"/>
                  </w:tcBorders>
                  <w:noWrap w:val="0"/>
                  <w:vAlign w:val="center"/>
                </w:tcPr>
                <w:p w14:paraId="3A6768A7">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r>
                    <w:rPr>
                      <w:rFonts w:hint="default" w:ascii="Times New Roman" w:hAnsi="Times New Roman" w:eastAsia="宋体" w:cs="Times New Roman"/>
                      <w:bCs/>
                      <w:color w:val="auto"/>
                      <w:spacing w:val="-20"/>
                      <w:sz w:val="21"/>
                      <w:szCs w:val="21"/>
                    </w:rPr>
                    <w:t>1次/年</w:t>
                  </w:r>
                </w:p>
              </w:tc>
            </w:tr>
            <w:tr w14:paraId="73F9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66" w:type="pct"/>
                  <w:tcBorders>
                    <w:tl2br w:val="nil"/>
                    <w:tr2bl w:val="nil"/>
                  </w:tcBorders>
                  <w:noWrap w:val="0"/>
                  <w:vAlign w:val="center"/>
                </w:tcPr>
                <w:p w14:paraId="23F0355A">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食堂</w:t>
                  </w:r>
                </w:p>
              </w:tc>
              <w:tc>
                <w:tcPr>
                  <w:tcW w:w="223" w:type="pct"/>
                  <w:tcBorders>
                    <w:tl2br w:val="nil"/>
                    <w:tr2bl w:val="nil"/>
                  </w:tcBorders>
                  <w:noWrap w:val="0"/>
                  <w:vAlign w:val="center"/>
                </w:tcPr>
                <w:p w14:paraId="0C8EAEE2">
                  <w:pPr>
                    <w:pStyle w:val="127"/>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油烟</w:t>
                  </w:r>
                </w:p>
              </w:tc>
              <w:tc>
                <w:tcPr>
                  <w:tcW w:w="360" w:type="pct"/>
                  <w:tcBorders>
                    <w:tl2br w:val="nil"/>
                    <w:tr2bl w:val="nil"/>
                  </w:tcBorders>
                  <w:noWrap w:val="0"/>
                  <w:vAlign w:val="center"/>
                </w:tcPr>
                <w:p w14:paraId="7A5E34C2">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0"/>
                      <w:sz w:val="21"/>
                      <w:szCs w:val="21"/>
                      <w:lang w:val="en-US" w:eastAsia="zh-CN"/>
                    </w:rPr>
                  </w:pPr>
                  <w:r>
                    <w:rPr>
                      <w:rFonts w:hint="default" w:ascii="Times New Roman" w:hAnsi="Times New Roman" w:eastAsia="宋体" w:cs="Times New Roman"/>
                      <w:color w:val="auto"/>
                      <w:kern w:val="0"/>
                      <w:sz w:val="21"/>
                      <w:szCs w:val="21"/>
                      <w:lang w:val="en-US" w:eastAsia="zh-CN" w:bidi="ar"/>
                    </w:rPr>
                    <w:t>2.547</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419" w:type="pct"/>
                  <w:tcBorders>
                    <w:tl2br w:val="nil"/>
                    <w:tr2bl w:val="nil"/>
                  </w:tcBorders>
                  <w:noWrap w:val="0"/>
                  <w:vAlign w:val="center"/>
                </w:tcPr>
                <w:p w14:paraId="69A44C57">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color w:val="auto"/>
                      <w:kern w:val="0"/>
                      <w:sz w:val="21"/>
                      <w:szCs w:val="21"/>
                      <w:lang w:val="en-US" w:eastAsia="zh-CN" w:bidi="ar"/>
                    </w:rPr>
                    <w:t>2.83</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376" w:type="pct"/>
                  <w:tcBorders>
                    <w:tl2br w:val="nil"/>
                    <w:tr2bl w:val="nil"/>
                  </w:tcBorders>
                  <w:noWrap w:val="0"/>
                  <w:vAlign w:val="center"/>
                </w:tcPr>
                <w:p w14:paraId="7B380D4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kern w:val="0"/>
                      <w:sz w:val="21"/>
                      <w:szCs w:val="21"/>
                      <w:lang w:val="en-US" w:eastAsia="zh-CN" w:bidi="ar"/>
                    </w:rPr>
                    <w:t>2.83</w:t>
                  </w:r>
                </w:p>
              </w:tc>
              <w:tc>
                <w:tcPr>
                  <w:tcW w:w="252" w:type="pct"/>
                  <w:tcBorders>
                    <w:tl2br w:val="nil"/>
                    <w:tr2bl w:val="nil"/>
                  </w:tcBorders>
                  <w:noWrap w:val="0"/>
                  <w:vAlign w:val="center"/>
                </w:tcPr>
                <w:p w14:paraId="435C97C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无组织</w:t>
                  </w:r>
                </w:p>
              </w:tc>
              <w:tc>
                <w:tcPr>
                  <w:tcW w:w="223" w:type="pct"/>
                  <w:tcBorders>
                    <w:tl2br w:val="nil"/>
                    <w:tr2bl w:val="nil"/>
                  </w:tcBorders>
                  <w:noWrap w:val="0"/>
                  <w:vAlign w:val="center"/>
                </w:tcPr>
                <w:p w14:paraId="22530913">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bCs/>
                      <w:color w:val="auto"/>
                      <w:spacing w:val="-11"/>
                      <w:sz w:val="21"/>
                      <w:szCs w:val="21"/>
                    </w:rPr>
                    <w:t>1000</w:t>
                  </w:r>
                </w:p>
              </w:tc>
              <w:tc>
                <w:tcPr>
                  <w:tcW w:w="182" w:type="pct"/>
                  <w:tcBorders>
                    <w:tl2br w:val="nil"/>
                    <w:tr2bl w:val="nil"/>
                  </w:tcBorders>
                  <w:noWrap w:val="0"/>
                  <w:vAlign w:val="center"/>
                </w:tcPr>
                <w:p w14:paraId="25486FF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bCs/>
                      <w:color w:val="auto"/>
                      <w:spacing w:val="-11"/>
                      <w:sz w:val="21"/>
                      <w:szCs w:val="21"/>
                    </w:rPr>
                    <w:t>/</w:t>
                  </w:r>
                </w:p>
              </w:tc>
              <w:tc>
                <w:tcPr>
                  <w:tcW w:w="215" w:type="pct"/>
                  <w:tcBorders>
                    <w:tl2br w:val="nil"/>
                    <w:tr2bl w:val="nil"/>
                  </w:tcBorders>
                  <w:noWrap w:val="0"/>
                  <w:vAlign w:val="center"/>
                </w:tcPr>
                <w:p w14:paraId="367E391E">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bCs/>
                      <w:color w:val="auto"/>
                      <w:spacing w:val="-11"/>
                      <w:sz w:val="21"/>
                      <w:szCs w:val="21"/>
                    </w:rPr>
                    <w:t>油烟净化器</w:t>
                  </w:r>
                </w:p>
              </w:tc>
              <w:tc>
                <w:tcPr>
                  <w:tcW w:w="183" w:type="pct"/>
                  <w:tcBorders>
                    <w:tl2br w:val="nil"/>
                    <w:tr2bl w:val="nil"/>
                  </w:tcBorders>
                  <w:noWrap w:val="0"/>
                  <w:vAlign w:val="center"/>
                </w:tcPr>
                <w:p w14:paraId="21012B4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lang w:val="en-US" w:eastAsia="zh-CN"/>
                    </w:rPr>
                  </w:pPr>
                  <w:r>
                    <w:rPr>
                      <w:rFonts w:hint="eastAsia" w:cs="Times New Roman"/>
                      <w:bCs/>
                      <w:color w:val="auto"/>
                      <w:spacing w:val="-11"/>
                      <w:sz w:val="21"/>
                      <w:szCs w:val="21"/>
                      <w:lang w:val="en-US" w:eastAsia="zh-CN"/>
                    </w:rPr>
                    <w:t>60</w:t>
                  </w:r>
                </w:p>
              </w:tc>
              <w:tc>
                <w:tcPr>
                  <w:tcW w:w="159" w:type="pct"/>
                  <w:tcBorders>
                    <w:tl2br w:val="nil"/>
                    <w:tr2bl w:val="nil"/>
                  </w:tcBorders>
                  <w:noWrap w:val="0"/>
                  <w:vAlign w:val="center"/>
                </w:tcPr>
                <w:p w14:paraId="47434870">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bCs/>
                      <w:color w:val="auto"/>
                      <w:spacing w:val="-11"/>
                      <w:sz w:val="21"/>
                      <w:szCs w:val="21"/>
                    </w:rPr>
                    <w:t>是</w:t>
                  </w:r>
                </w:p>
              </w:tc>
              <w:tc>
                <w:tcPr>
                  <w:tcW w:w="401" w:type="pct"/>
                  <w:tcBorders>
                    <w:tl2br w:val="nil"/>
                    <w:tr2bl w:val="nil"/>
                  </w:tcBorders>
                  <w:noWrap w:val="0"/>
                  <w:vAlign w:val="center"/>
                </w:tcPr>
                <w:p w14:paraId="37F8460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kern w:val="0"/>
                      <w:sz w:val="21"/>
                      <w:szCs w:val="21"/>
                    </w:rPr>
                  </w:pPr>
                  <w:r>
                    <w:rPr>
                      <w:rFonts w:hint="default" w:ascii="Times New Roman" w:hAnsi="Times New Roman" w:eastAsia="宋体" w:cs="Times New Roman"/>
                      <w:color w:val="auto"/>
                      <w:kern w:val="0"/>
                      <w:sz w:val="21"/>
                      <w:szCs w:val="21"/>
                      <w:lang w:val="en-US" w:eastAsia="zh-CN" w:bidi="ar"/>
                    </w:rPr>
                    <w:t>1.0188</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393" w:type="pct"/>
                  <w:tcBorders>
                    <w:tl2br w:val="nil"/>
                    <w:tr2bl w:val="nil"/>
                  </w:tcBorders>
                  <w:noWrap w:val="0"/>
                  <w:vAlign w:val="center"/>
                </w:tcPr>
                <w:p w14:paraId="442B58D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rPr>
                  </w:pPr>
                  <w:r>
                    <w:rPr>
                      <w:rFonts w:hint="default" w:ascii="Times New Roman" w:hAnsi="Times New Roman" w:eastAsia="宋体" w:cs="Times New Roman"/>
                      <w:color w:val="auto"/>
                      <w:kern w:val="0"/>
                      <w:sz w:val="21"/>
                      <w:szCs w:val="21"/>
                      <w:lang w:val="en-US" w:eastAsia="zh-CN" w:bidi="ar"/>
                    </w:rPr>
                    <w:t>1.132</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392" w:type="pct"/>
                  <w:tcBorders>
                    <w:tl2br w:val="nil"/>
                    <w:tr2bl w:val="nil"/>
                  </w:tcBorders>
                  <w:noWrap w:val="0"/>
                  <w:vAlign w:val="center"/>
                </w:tcPr>
                <w:p w14:paraId="4433044A">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11"/>
                      <w:sz w:val="21"/>
                      <w:szCs w:val="21"/>
                      <w:lang w:val="en-US" w:eastAsia="zh-CN"/>
                    </w:rPr>
                  </w:pPr>
                  <w:r>
                    <w:rPr>
                      <w:rFonts w:hint="default" w:ascii="Times New Roman" w:hAnsi="Times New Roman" w:eastAsia="宋体" w:cs="Times New Roman"/>
                      <w:color w:val="auto"/>
                      <w:kern w:val="0"/>
                      <w:sz w:val="21"/>
                      <w:szCs w:val="21"/>
                      <w:lang w:val="en-US" w:eastAsia="zh-CN" w:bidi="ar"/>
                    </w:rPr>
                    <w:t>1.132</w:t>
                  </w:r>
                </w:p>
              </w:tc>
              <w:tc>
                <w:tcPr>
                  <w:tcW w:w="230" w:type="pct"/>
                  <w:tcBorders>
                    <w:tl2br w:val="nil"/>
                    <w:tr2bl w:val="nil"/>
                  </w:tcBorders>
                  <w:noWrap w:val="0"/>
                  <w:vAlign w:val="center"/>
                </w:tcPr>
                <w:p w14:paraId="5D0FBAF8">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2.0</w:t>
                  </w:r>
                </w:p>
              </w:tc>
              <w:tc>
                <w:tcPr>
                  <w:tcW w:w="187" w:type="pct"/>
                  <w:tcBorders>
                    <w:tl2br w:val="nil"/>
                    <w:tr2bl w:val="nil"/>
                  </w:tcBorders>
                  <w:noWrap w:val="0"/>
                  <w:vAlign w:val="center"/>
                </w:tcPr>
                <w:p w14:paraId="20E01E5B">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23" w:type="pct"/>
                  <w:tcBorders>
                    <w:tl2br w:val="nil"/>
                    <w:tr2bl w:val="nil"/>
                  </w:tcBorders>
                  <w:noWrap w:val="0"/>
                  <w:vAlign w:val="center"/>
                </w:tcPr>
                <w:p w14:paraId="2813D1C7">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236" w:type="pct"/>
                  <w:tcBorders>
                    <w:tl2br w:val="nil"/>
                    <w:tr2bl w:val="nil"/>
                  </w:tcBorders>
                  <w:noWrap w:val="0"/>
                  <w:vAlign w:val="center"/>
                </w:tcPr>
                <w:p w14:paraId="331F47A9">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w:t>
                  </w:r>
                </w:p>
              </w:tc>
              <w:tc>
                <w:tcPr>
                  <w:tcW w:w="175" w:type="pct"/>
                  <w:tcBorders>
                    <w:tl2br w:val="nil"/>
                    <w:tr2bl w:val="nil"/>
                  </w:tcBorders>
                  <w:noWrap w:val="0"/>
                  <w:vAlign w:val="center"/>
                </w:tcPr>
                <w:p w14:paraId="68D95E25">
                  <w:pPr>
                    <w:keepNext w:val="0"/>
                    <w:keepLines w:val="0"/>
                    <w:pageBreakBefore w:val="0"/>
                    <w:suppressLineNumbers w:val="0"/>
                    <w:kinsoku/>
                    <w:wordWrap/>
                    <w:topLinePunct w:val="0"/>
                    <w:autoSpaceDE/>
                    <w:autoSpaceDN/>
                    <w:bidi w:val="0"/>
                    <w:spacing w:before="0" w:beforeAutospacing="0" w:after="0" w:afterAutospacing="0"/>
                    <w:ind w:left="0" w:right="0" w:firstLine="0"/>
                    <w:jc w:val="center"/>
                    <w:rPr>
                      <w:rFonts w:hint="default" w:ascii="Times New Roman" w:hAnsi="Times New Roman" w:eastAsia="宋体" w:cs="Times New Roman"/>
                      <w:bCs/>
                      <w:color w:val="auto"/>
                      <w:spacing w:val="-20"/>
                      <w:sz w:val="21"/>
                      <w:szCs w:val="21"/>
                    </w:rPr>
                  </w:pPr>
                  <w:r>
                    <w:rPr>
                      <w:rFonts w:hint="default" w:ascii="Times New Roman" w:hAnsi="Times New Roman" w:eastAsia="宋体" w:cs="Times New Roman"/>
                      <w:bCs/>
                      <w:color w:val="auto"/>
                      <w:spacing w:val="-20"/>
                      <w:sz w:val="21"/>
                      <w:szCs w:val="21"/>
                    </w:rPr>
                    <w:t>/</w:t>
                  </w:r>
                </w:p>
              </w:tc>
            </w:tr>
          </w:tbl>
          <w:p w14:paraId="1E53F502">
            <w:pPr>
              <w:pStyle w:val="124"/>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表4-</w:t>
            </w:r>
            <w:r>
              <w:rPr>
                <w:rFonts w:hint="default" w:ascii="Times New Roman" w:hAnsi="Times New Roman" w:eastAsia="宋体" w:cs="Times New Roman"/>
                <w:b/>
                <w:bCs/>
                <w:color w:val="auto"/>
                <w:kern w:val="2"/>
                <w:sz w:val="21"/>
                <w:szCs w:val="21"/>
                <w:lang w:val="en-US" w:eastAsia="zh-CN"/>
              </w:rPr>
              <w:t>5</w:t>
            </w:r>
            <w:r>
              <w:rPr>
                <w:rFonts w:hint="default" w:ascii="Times New Roman" w:hAnsi="Times New Roman" w:eastAsia="宋体" w:cs="Times New Roman"/>
                <w:b/>
                <w:bCs/>
                <w:color w:val="auto"/>
                <w:kern w:val="2"/>
                <w:sz w:val="21"/>
                <w:szCs w:val="21"/>
              </w:rPr>
              <w:t xml:space="preserve">  有组织废气排放核算信息</w:t>
            </w:r>
            <w:r>
              <w:rPr>
                <w:rFonts w:hint="eastAsia" w:ascii="Times New Roman" w:hAnsi="Times New Roman" w:eastAsia="宋体" w:cs="Times New Roman"/>
                <w:b/>
                <w:bCs/>
                <w:color w:val="auto"/>
                <w:kern w:val="2"/>
                <w:sz w:val="21"/>
                <w:szCs w:val="21"/>
                <w:lang w:val="en-US" w:eastAsia="zh-CN"/>
              </w:rPr>
              <w:t>一览</w:t>
            </w:r>
            <w:r>
              <w:rPr>
                <w:rFonts w:hint="default" w:ascii="Times New Roman" w:hAnsi="Times New Roman" w:eastAsia="宋体" w:cs="Times New Roman"/>
                <w:b/>
                <w:bCs/>
                <w:color w:val="auto"/>
                <w:kern w:val="2"/>
                <w:sz w:val="21"/>
                <w:szCs w:val="21"/>
              </w:rPr>
              <w:t>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188"/>
              <w:gridCol w:w="794"/>
              <w:gridCol w:w="1141"/>
              <w:gridCol w:w="941"/>
              <w:gridCol w:w="778"/>
              <w:gridCol w:w="700"/>
              <w:gridCol w:w="1229"/>
              <w:gridCol w:w="697"/>
              <w:gridCol w:w="794"/>
              <w:gridCol w:w="1157"/>
              <w:gridCol w:w="942"/>
              <w:gridCol w:w="1648"/>
            </w:tblGrid>
            <w:tr w14:paraId="24E2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 w:type="pct"/>
                  <w:vMerge w:val="restart"/>
                  <w:noWrap w:val="0"/>
                  <w:vAlign w:val="center"/>
                </w:tcPr>
                <w:p w14:paraId="4CAE60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污染源</w:t>
                  </w:r>
                </w:p>
              </w:tc>
              <w:tc>
                <w:tcPr>
                  <w:tcW w:w="459" w:type="pct"/>
                  <w:vMerge w:val="restart"/>
                  <w:noWrap w:val="0"/>
                  <w:vAlign w:val="center"/>
                </w:tcPr>
                <w:p w14:paraId="379BB8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1101" w:type="pct"/>
                  <w:gridSpan w:val="3"/>
                  <w:noWrap w:val="0"/>
                  <w:vAlign w:val="center"/>
                </w:tcPr>
                <w:p w14:paraId="3655A3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产生情况</w:t>
                  </w:r>
                </w:p>
              </w:tc>
              <w:tc>
                <w:tcPr>
                  <w:tcW w:w="301" w:type="pct"/>
                  <w:vMerge w:val="restart"/>
                  <w:noWrap w:val="0"/>
                  <w:vAlign w:val="center"/>
                </w:tcPr>
                <w:p w14:paraId="051D35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治理设施</w:t>
                  </w:r>
                </w:p>
              </w:tc>
              <w:tc>
                <w:tcPr>
                  <w:tcW w:w="271" w:type="pct"/>
                  <w:vMerge w:val="restart"/>
                  <w:noWrap w:val="0"/>
                  <w:vAlign w:val="center"/>
                </w:tcPr>
                <w:p w14:paraId="311E22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去除效率</w:t>
                  </w:r>
                </w:p>
              </w:tc>
              <w:tc>
                <w:tcPr>
                  <w:tcW w:w="475" w:type="pct"/>
                  <w:vMerge w:val="restart"/>
                  <w:noWrap w:val="0"/>
                  <w:vAlign w:val="center"/>
                </w:tcPr>
                <w:p w14:paraId="4CF015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是否为可行技术</w:t>
                  </w:r>
                </w:p>
              </w:tc>
              <w:tc>
                <w:tcPr>
                  <w:tcW w:w="1385" w:type="pct"/>
                  <w:gridSpan w:val="4"/>
                  <w:noWrap w:val="0"/>
                  <w:vAlign w:val="center"/>
                </w:tcPr>
                <w:p w14:paraId="646EF8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排放情况</w:t>
                  </w:r>
                </w:p>
              </w:tc>
              <w:tc>
                <w:tcPr>
                  <w:tcW w:w="636" w:type="pct"/>
                  <w:noWrap w:val="0"/>
                  <w:vAlign w:val="center"/>
                </w:tcPr>
                <w:p w14:paraId="6ADB06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标准限值</w:t>
                  </w:r>
                </w:p>
              </w:tc>
            </w:tr>
            <w:tr w14:paraId="014F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 w:type="pct"/>
                  <w:vMerge w:val="continue"/>
                  <w:noWrap w:val="0"/>
                  <w:vAlign w:val="center"/>
                </w:tcPr>
                <w:p w14:paraId="3017F06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459" w:type="pct"/>
                  <w:vMerge w:val="continue"/>
                  <w:noWrap w:val="0"/>
                  <w:vAlign w:val="center"/>
                </w:tcPr>
                <w:p w14:paraId="3B0E73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296" w:type="pct"/>
                  <w:noWrap w:val="0"/>
                  <w:vAlign w:val="center"/>
                </w:tcPr>
                <w:p w14:paraId="761C45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产生量t/a</w:t>
                  </w:r>
                </w:p>
              </w:tc>
              <w:tc>
                <w:tcPr>
                  <w:tcW w:w="441" w:type="pct"/>
                  <w:noWrap w:val="0"/>
                  <w:vAlign w:val="center"/>
                </w:tcPr>
                <w:p w14:paraId="2C8C4B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产生浓度mg/m</w:t>
                  </w:r>
                  <w:r>
                    <w:rPr>
                      <w:rFonts w:hint="default" w:ascii="Times New Roman" w:hAnsi="Times New Roman" w:eastAsia="宋体" w:cs="Times New Roman"/>
                      <w:b/>
                      <w:bCs/>
                      <w:color w:val="auto"/>
                      <w:sz w:val="21"/>
                      <w:szCs w:val="21"/>
                      <w:vertAlign w:val="superscript"/>
                    </w:rPr>
                    <w:t>3</w:t>
                  </w:r>
                </w:p>
              </w:tc>
              <w:tc>
                <w:tcPr>
                  <w:tcW w:w="363" w:type="pct"/>
                  <w:noWrap w:val="0"/>
                  <w:vAlign w:val="center"/>
                </w:tcPr>
                <w:p w14:paraId="7D0143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产生速率kg/h</w:t>
                  </w:r>
                </w:p>
              </w:tc>
              <w:tc>
                <w:tcPr>
                  <w:tcW w:w="301" w:type="pct"/>
                  <w:vMerge w:val="continue"/>
                  <w:noWrap w:val="0"/>
                  <w:vAlign w:val="center"/>
                </w:tcPr>
                <w:p w14:paraId="25B20F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271" w:type="pct"/>
                  <w:vMerge w:val="continue"/>
                  <w:noWrap w:val="0"/>
                  <w:vAlign w:val="center"/>
                </w:tcPr>
                <w:p w14:paraId="3A22A39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b/>
                      <w:bCs/>
                      <w:color w:val="auto"/>
                      <w:sz w:val="21"/>
                      <w:szCs w:val="21"/>
                    </w:rPr>
                  </w:pPr>
                </w:p>
              </w:tc>
              <w:tc>
                <w:tcPr>
                  <w:tcW w:w="475" w:type="pct"/>
                  <w:vMerge w:val="continue"/>
                  <w:noWrap w:val="0"/>
                  <w:vAlign w:val="center"/>
                </w:tcPr>
                <w:p w14:paraId="760B72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p>
              </w:tc>
              <w:tc>
                <w:tcPr>
                  <w:tcW w:w="270" w:type="pct"/>
                  <w:noWrap w:val="0"/>
                  <w:vAlign w:val="center"/>
                </w:tcPr>
                <w:p w14:paraId="2F9077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eastAsia="zh-CN"/>
                    </w:rPr>
                    <w:t>废气量</w:t>
                  </w:r>
                  <w:r>
                    <w:rPr>
                      <w:rFonts w:hint="default" w:ascii="Times New Roman" w:hAnsi="Times New Roman" w:eastAsia="宋体" w:cs="Times New Roman"/>
                      <w:b/>
                      <w:bCs/>
                      <w:color w:val="auto"/>
                      <w:sz w:val="21"/>
                      <w:szCs w:val="21"/>
                      <w:lang w:val="en-US" w:eastAsia="zh-CN"/>
                    </w:rPr>
                    <w:t>m</w:t>
                  </w:r>
                  <w:r>
                    <w:rPr>
                      <w:rFonts w:hint="default" w:ascii="Times New Roman" w:hAnsi="Times New Roman" w:eastAsia="宋体" w:cs="Times New Roman"/>
                      <w:b/>
                      <w:bCs/>
                      <w:color w:val="auto"/>
                      <w:sz w:val="21"/>
                      <w:szCs w:val="21"/>
                      <w:vertAlign w:val="superscript"/>
                      <w:lang w:val="en-US" w:eastAsia="zh-CN"/>
                    </w:rPr>
                    <w:t>3</w:t>
                  </w:r>
                  <w:r>
                    <w:rPr>
                      <w:rFonts w:hint="default" w:ascii="Times New Roman" w:hAnsi="Times New Roman" w:eastAsia="宋体" w:cs="Times New Roman"/>
                      <w:b/>
                      <w:bCs/>
                      <w:color w:val="auto"/>
                      <w:sz w:val="21"/>
                      <w:szCs w:val="21"/>
                      <w:lang w:val="en-US" w:eastAsia="zh-CN"/>
                    </w:rPr>
                    <w:t>/h</w:t>
                  </w:r>
                </w:p>
              </w:tc>
              <w:tc>
                <w:tcPr>
                  <w:tcW w:w="304" w:type="pct"/>
                  <w:noWrap w:val="0"/>
                  <w:vAlign w:val="center"/>
                </w:tcPr>
                <w:p w14:paraId="716ED2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排放量t/a</w:t>
                  </w:r>
                </w:p>
              </w:tc>
              <w:tc>
                <w:tcPr>
                  <w:tcW w:w="447" w:type="pct"/>
                  <w:noWrap w:val="0"/>
                  <w:vAlign w:val="center"/>
                </w:tcPr>
                <w:p w14:paraId="326375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排放浓度mg/m</w:t>
                  </w:r>
                  <w:r>
                    <w:rPr>
                      <w:rFonts w:hint="default" w:ascii="Times New Roman" w:hAnsi="Times New Roman" w:eastAsia="宋体" w:cs="Times New Roman"/>
                      <w:b/>
                      <w:bCs/>
                      <w:color w:val="auto"/>
                      <w:sz w:val="21"/>
                      <w:szCs w:val="21"/>
                      <w:vertAlign w:val="superscript"/>
                    </w:rPr>
                    <w:t>3</w:t>
                  </w:r>
                </w:p>
              </w:tc>
              <w:tc>
                <w:tcPr>
                  <w:tcW w:w="363" w:type="pct"/>
                  <w:noWrap w:val="0"/>
                  <w:vAlign w:val="center"/>
                </w:tcPr>
                <w:p w14:paraId="24F84CC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排放速率kg/h</w:t>
                  </w:r>
                </w:p>
              </w:tc>
              <w:tc>
                <w:tcPr>
                  <w:tcW w:w="636" w:type="pct"/>
                  <w:noWrap w:val="0"/>
                  <w:vAlign w:val="center"/>
                </w:tcPr>
                <w:p w14:paraId="6FB3DB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浓度mg/m</w:t>
                  </w:r>
                  <w:r>
                    <w:rPr>
                      <w:rFonts w:hint="default" w:ascii="Times New Roman" w:hAnsi="Times New Roman" w:eastAsia="宋体" w:cs="Times New Roman"/>
                      <w:b/>
                      <w:bCs/>
                      <w:color w:val="auto"/>
                      <w:sz w:val="21"/>
                      <w:szCs w:val="21"/>
                      <w:vertAlign w:val="superscript"/>
                    </w:rPr>
                    <w:t>3</w:t>
                  </w:r>
                </w:p>
              </w:tc>
            </w:tr>
            <w:tr w14:paraId="0B63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 w:type="pct"/>
                  <w:vMerge w:val="restart"/>
                  <w:noWrap w:val="0"/>
                  <w:vAlign w:val="center"/>
                </w:tcPr>
                <w:p w14:paraId="1A544B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DA001</w:t>
                  </w:r>
                </w:p>
              </w:tc>
              <w:tc>
                <w:tcPr>
                  <w:tcW w:w="459" w:type="pct"/>
                  <w:noWrap w:val="0"/>
                  <w:vAlign w:val="center"/>
                </w:tcPr>
                <w:p w14:paraId="59D33B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非甲烷总烃</w:t>
                  </w:r>
                </w:p>
              </w:tc>
              <w:tc>
                <w:tcPr>
                  <w:tcW w:w="296" w:type="pct"/>
                  <w:noWrap w:val="0"/>
                  <w:vAlign w:val="center"/>
                </w:tcPr>
                <w:p w14:paraId="344BBA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bidi="ar"/>
                    </w:rPr>
                  </w:pPr>
                  <w:r>
                    <w:rPr>
                      <w:rFonts w:hint="eastAsia" w:cs="Times New Roman"/>
                      <w:color w:val="auto"/>
                      <w:kern w:val="0"/>
                      <w:sz w:val="21"/>
                      <w:szCs w:val="21"/>
                      <w:highlight w:val="none"/>
                      <w:lang w:val="en-US" w:eastAsia="zh-CN" w:bidi="ar"/>
                    </w:rPr>
                    <w:t>5.2772</w:t>
                  </w:r>
                </w:p>
              </w:tc>
              <w:tc>
                <w:tcPr>
                  <w:tcW w:w="441" w:type="pct"/>
                  <w:noWrap w:val="0"/>
                  <w:vAlign w:val="center"/>
                </w:tcPr>
                <w:p w14:paraId="6B66C51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rPr>
                  </w:pPr>
                  <w:r>
                    <w:rPr>
                      <w:rFonts w:hint="eastAsia" w:cs="Times New Roman"/>
                      <w:color w:val="auto"/>
                      <w:kern w:val="0"/>
                      <w:sz w:val="21"/>
                      <w:szCs w:val="21"/>
                      <w:highlight w:val="none"/>
                      <w:lang w:val="en-US" w:eastAsia="zh-CN" w:bidi="ar"/>
                    </w:rPr>
                    <w:t>30.5375</w:t>
                  </w:r>
                </w:p>
              </w:tc>
              <w:tc>
                <w:tcPr>
                  <w:tcW w:w="363" w:type="pct"/>
                  <w:noWrap w:val="0"/>
                  <w:vAlign w:val="center"/>
                </w:tcPr>
                <w:p w14:paraId="3B18E5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rPr>
                  </w:pPr>
                  <w:r>
                    <w:rPr>
                      <w:rFonts w:hint="eastAsia" w:cs="Times New Roman"/>
                      <w:color w:val="auto"/>
                      <w:kern w:val="0"/>
                      <w:sz w:val="21"/>
                      <w:szCs w:val="21"/>
                      <w:highlight w:val="none"/>
                      <w:lang w:val="en-US" w:eastAsia="zh-CN" w:bidi="ar"/>
                    </w:rPr>
                    <w:t>0.7329</w:t>
                  </w:r>
                </w:p>
              </w:tc>
              <w:tc>
                <w:tcPr>
                  <w:tcW w:w="301" w:type="pct"/>
                  <w:vMerge w:val="restart"/>
                  <w:noWrap w:val="0"/>
                  <w:vAlign w:val="center"/>
                </w:tcPr>
                <w:p w14:paraId="1C4DAF65">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集气罩</w:t>
                  </w:r>
                  <w:r>
                    <w:rPr>
                      <w:rFonts w:hint="default" w:ascii="Times New Roman" w:hAnsi="Times New Roman" w:eastAsia="宋体" w:cs="Times New Roman"/>
                      <w:color w:val="auto"/>
                      <w:kern w:val="0"/>
                      <w:sz w:val="21"/>
                      <w:szCs w:val="21"/>
                      <w:highlight w:val="none"/>
                      <w:lang w:bidi="ar"/>
                    </w:rPr>
                    <w:t>+</w:t>
                  </w:r>
                  <w:r>
                    <w:rPr>
                      <w:rFonts w:hint="default" w:ascii="Times New Roman" w:hAnsi="Times New Roman" w:eastAsia="宋体" w:cs="Times New Roman"/>
                      <w:color w:val="auto"/>
                      <w:kern w:val="0"/>
                      <w:sz w:val="21"/>
                      <w:szCs w:val="21"/>
                      <w:highlight w:val="none"/>
                      <w:lang w:val="en-US" w:eastAsia="zh-CN" w:bidi="ar"/>
                    </w:rPr>
                    <w:t>三级活性炭吸附</w:t>
                  </w:r>
                  <w:r>
                    <w:rPr>
                      <w:rFonts w:hint="default" w:ascii="Times New Roman" w:hAnsi="Times New Roman" w:eastAsia="宋体" w:cs="Times New Roman"/>
                      <w:color w:val="auto"/>
                      <w:kern w:val="0"/>
                      <w:sz w:val="21"/>
                      <w:szCs w:val="21"/>
                      <w:highlight w:val="none"/>
                      <w:lang w:bidi="ar"/>
                    </w:rPr>
                    <w:t>+排气筒</w:t>
                  </w:r>
                </w:p>
              </w:tc>
              <w:tc>
                <w:tcPr>
                  <w:tcW w:w="271" w:type="pct"/>
                  <w:vMerge w:val="restart"/>
                  <w:noWrap w:val="0"/>
                  <w:vAlign w:val="center"/>
                </w:tcPr>
                <w:p w14:paraId="0668CE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51</w:t>
                  </w:r>
                  <w:r>
                    <w:rPr>
                      <w:rFonts w:hint="default" w:ascii="Times New Roman" w:hAnsi="Times New Roman" w:eastAsia="宋体" w:cs="Times New Roman"/>
                      <w:color w:val="auto"/>
                      <w:kern w:val="0"/>
                      <w:sz w:val="21"/>
                      <w:szCs w:val="21"/>
                      <w:highlight w:val="none"/>
                      <w:lang w:bidi="ar"/>
                    </w:rPr>
                    <w:t>%</w:t>
                  </w:r>
                </w:p>
              </w:tc>
              <w:tc>
                <w:tcPr>
                  <w:tcW w:w="475" w:type="pct"/>
                  <w:vMerge w:val="restart"/>
                  <w:noWrap w:val="0"/>
                  <w:vAlign w:val="center"/>
                </w:tcPr>
                <w:p w14:paraId="1180CF3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是</w:t>
                  </w:r>
                </w:p>
              </w:tc>
              <w:tc>
                <w:tcPr>
                  <w:tcW w:w="270" w:type="pct"/>
                  <w:vMerge w:val="restart"/>
                  <w:noWrap w:val="0"/>
                  <w:vAlign w:val="center"/>
                </w:tcPr>
                <w:p w14:paraId="00EE1F5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highlight w:val="none"/>
                      <w:lang w:val="en-US" w:eastAsia="zh-CN"/>
                    </w:rPr>
                  </w:pPr>
                  <w:r>
                    <w:rPr>
                      <w:rFonts w:hint="eastAsia" w:cs="Times New Roman"/>
                      <w:bCs/>
                      <w:color w:val="auto"/>
                      <w:spacing w:val="-11"/>
                      <w:sz w:val="21"/>
                      <w:szCs w:val="21"/>
                      <w:lang w:val="en-US" w:eastAsia="zh-CN"/>
                    </w:rPr>
                    <w:t>24000</w:t>
                  </w:r>
                </w:p>
              </w:tc>
              <w:tc>
                <w:tcPr>
                  <w:tcW w:w="304" w:type="pct"/>
                  <w:noWrap w:val="0"/>
                  <w:vAlign w:val="center"/>
                </w:tcPr>
                <w:p w14:paraId="6AD2A9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2.5858</w:t>
                  </w:r>
                </w:p>
              </w:tc>
              <w:tc>
                <w:tcPr>
                  <w:tcW w:w="447" w:type="pct"/>
                  <w:noWrap w:val="0"/>
                  <w:vAlign w:val="center"/>
                </w:tcPr>
                <w:p w14:paraId="0CAE74A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color w:val="auto"/>
                      <w:kern w:val="0"/>
                      <w:sz w:val="21"/>
                      <w:szCs w:val="21"/>
                      <w:highlight w:val="none"/>
                      <w:lang w:val="en-US" w:eastAsia="zh-CN" w:bidi="ar"/>
                    </w:rPr>
                    <w:t>14.9625</w:t>
                  </w:r>
                </w:p>
              </w:tc>
              <w:tc>
                <w:tcPr>
                  <w:tcW w:w="363" w:type="pct"/>
                  <w:noWrap w:val="0"/>
                  <w:vAlign w:val="center"/>
                </w:tcPr>
                <w:p w14:paraId="5CE7F7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0.3591</w:t>
                  </w:r>
                </w:p>
              </w:tc>
              <w:tc>
                <w:tcPr>
                  <w:tcW w:w="636" w:type="pct"/>
                  <w:noWrap w:val="0"/>
                  <w:vAlign w:val="center"/>
                </w:tcPr>
                <w:p w14:paraId="3D8702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w:t>
                  </w:r>
                  <w:r>
                    <w:rPr>
                      <w:rFonts w:hint="default" w:ascii="Times New Roman" w:hAnsi="Times New Roman" w:eastAsia="宋体" w:cs="Times New Roman"/>
                      <w:bCs/>
                      <w:color w:val="auto"/>
                      <w:sz w:val="21"/>
                      <w:szCs w:val="21"/>
                      <w:highlight w:val="none"/>
                      <w:lang w:val="en-US" w:eastAsia="zh-CN"/>
                    </w:rPr>
                    <w:t>0</w:t>
                  </w:r>
                  <w:r>
                    <w:rPr>
                      <w:rFonts w:hint="default" w:ascii="Times New Roman" w:hAnsi="Times New Roman" w:eastAsia="宋体" w:cs="Times New Roman"/>
                      <w:bCs/>
                      <w:color w:val="auto"/>
                      <w:sz w:val="21"/>
                      <w:szCs w:val="21"/>
                      <w:highlight w:val="none"/>
                    </w:rPr>
                    <w:t>0</w:t>
                  </w:r>
                </w:p>
              </w:tc>
            </w:tr>
            <w:tr w14:paraId="39E0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 w:type="pct"/>
                  <w:vMerge w:val="continue"/>
                  <w:noWrap w:val="0"/>
                  <w:vAlign w:val="center"/>
                </w:tcPr>
                <w:p w14:paraId="542EEA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59" w:type="pct"/>
                  <w:noWrap w:val="0"/>
                  <w:vAlign w:val="center"/>
                </w:tcPr>
                <w:p w14:paraId="56E886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臭气浓度</w:t>
                  </w:r>
                </w:p>
              </w:tc>
              <w:tc>
                <w:tcPr>
                  <w:tcW w:w="1101" w:type="pct"/>
                  <w:gridSpan w:val="3"/>
                  <w:noWrap w:val="0"/>
                  <w:vAlign w:val="center"/>
                </w:tcPr>
                <w:p w14:paraId="448CDC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kern w:val="0"/>
                      <w:sz w:val="21"/>
                      <w:szCs w:val="21"/>
                      <w:highlight w:val="none"/>
                      <w:lang w:val="en-US" w:eastAsia="zh-CN" w:bidi="ar"/>
                    </w:rPr>
                    <w:t>1904.2857</w:t>
                  </w:r>
                  <w:r>
                    <w:rPr>
                      <w:rFonts w:hint="default" w:ascii="Times New Roman" w:hAnsi="Times New Roman" w:eastAsia="宋体" w:cs="Times New Roman"/>
                      <w:color w:val="auto"/>
                      <w:kern w:val="0"/>
                      <w:sz w:val="21"/>
                      <w:szCs w:val="21"/>
                      <w:lang w:val="en-US" w:eastAsia="zh-CN" w:bidi="ar"/>
                    </w:rPr>
                    <w:t>（无量纲）</w:t>
                  </w:r>
                </w:p>
              </w:tc>
              <w:tc>
                <w:tcPr>
                  <w:tcW w:w="301" w:type="pct"/>
                  <w:vMerge w:val="continue"/>
                  <w:noWrap w:val="0"/>
                  <w:vAlign w:val="center"/>
                </w:tcPr>
                <w:p w14:paraId="62C87AFC">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kern w:val="0"/>
                      <w:sz w:val="21"/>
                      <w:szCs w:val="21"/>
                      <w:lang w:bidi="ar"/>
                    </w:rPr>
                  </w:pPr>
                </w:p>
              </w:tc>
              <w:tc>
                <w:tcPr>
                  <w:tcW w:w="271" w:type="pct"/>
                  <w:vMerge w:val="continue"/>
                  <w:noWrap w:val="0"/>
                  <w:vAlign w:val="center"/>
                </w:tcPr>
                <w:p w14:paraId="689DE3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bidi="ar"/>
                    </w:rPr>
                  </w:pPr>
                </w:p>
              </w:tc>
              <w:tc>
                <w:tcPr>
                  <w:tcW w:w="475" w:type="pct"/>
                  <w:vMerge w:val="continue"/>
                  <w:noWrap w:val="0"/>
                  <w:vAlign w:val="center"/>
                </w:tcPr>
                <w:p w14:paraId="15ABFCC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rPr>
                  </w:pPr>
                </w:p>
              </w:tc>
              <w:tc>
                <w:tcPr>
                  <w:tcW w:w="270" w:type="pct"/>
                  <w:vMerge w:val="continue"/>
                  <w:noWrap w:val="0"/>
                  <w:vAlign w:val="center"/>
                </w:tcPr>
                <w:p w14:paraId="508B4B2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p>
              </w:tc>
              <w:tc>
                <w:tcPr>
                  <w:tcW w:w="1114" w:type="pct"/>
                  <w:gridSpan w:val="3"/>
                  <w:noWrap w:val="0"/>
                  <w:vAlign w:val="center"/>
                </w:tcPr>
                <w:p w14:paraId="3DC9AD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highlight w:val="none"/>
                      <w:lang w:val="en-US" w:eastAsia="zh-CN" w:bidi="ar"/>
                    </w:rPr>
                    <w:t>933.1</w:t>
                  </w:r>
                  <w:r>
                    <w:rPr>
                      <w:rFonts w:hint="default" w:ascii="Times New Roman" w:hAnsi="Times New Roman" w:eastAsia="宋体" w:cs="Times New Roman"/>
                      <w:color w:val="auto"/>
                      <w:kern w:val="0"/>
                      <w:sz w:val="21"/>
                      <w:szCs w:val="21"/>
                      <w:lang w:val="en-US" w:eastAsia="zh-CN" w:bidi="ar"/>
                    </w:rPr>
                    <w:t>（无量纲）</w:t>
                  </w:r>
                </w:p>
              </w:tc>
              <w:tc>
                <w:tcPr>
                  <w:tcW w:w="636" w:type="pct"/>
                  <w:noWrap w:val="0"/>
                  <w:vAlign w:val="center"/>
                </w:tcPr>
                <w:p w14:paraId="61D63A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2000</w:t>
                  </w:r>
                  <w:r>
                    <w:rPr>
                      <w:rFonts w:hint="default" w:ascii="Times New Roman" w:hAnsi="Times New Roman" w:eastAsia="宋体" w:cs="Times New Roman"/>
                      <w:color w:val="auto"/>
                      <w:kern w:val="0"/>
                      <w:sz w:val="21"/>
                      <w:szCs w:val="21"/>
                      <w:lang w:val="en-US" w:eastAsia="zh-CN" w:bidi="ar"/>
                    </w:rPr>
                    <w:t>（无量纲）</w:t>
                  </w:r>
                </w:p>
              </w:tc>
            </w:tr>
          </w:tbl>
          <w:p w14:paraId="1E7F74DD">
            <w:pPr>
              <w:keepNext w:val="0"/>
              <w:keepLines w:val="0"/>
              <w:widowControl/>
              <w:suppressLineNumbers w:val="0"/>
              <w:spacing w:before="120" w:beforeLines="50" w:beforeAutospacing="0" w:after="0" w:afterAutospacing="0" w:line="360" w:lineRule="auto"/>
              <w:ind w:left="0" w:right="0" w:firstLine="480" w:firstLineChars="200"/>
              <w:jc w:val="left"/>
              <w:rPr>
                <w:rFonts w:hint="default" w:ascii="Times New Roman" w:hAnsi="Times New Roman" w:eastAsia="宋体" w:cs="Times New Roman"/>
                <w:b/>
                <w:bCs/>
                <w:color w:val="auto"/>
                <w:kern w:val="0"/>
                <w:sz w:val="24"/>
                <w:lang w:bidi="ar"/>
              </w:rPr>
            </w:pPr>
            <w:r>
              <w:rPr>
                <w:rFonts w:hint="default" w:ascii="Times New Roman" w:hAnsi="Times New Roman" w:eastAsia="宋体" w:cs="Times New Roman"/>
                <w:color w:val="auto"/>
                <w:kern w:val="0"/>
                <w:sz w:val="24"/>
                <w:lang w:bidi="ar"/>
              </w:rPr>
              <w:t xml:space="preserve">据《排污许可证申请与核发技术规范 </w:t>
            </w:r>
            <w:r>
              <w:rPr>
                <w:rFonts w:hint="default" w:ascii="Times New Roman" w:hAnsi="Times New Roman" w:eastAsia="宋体" w:cs="Times New Roman"/>
                <w:color w:val="auto"/>
                <w:kern w:val="0"/>
                <w:sz w:val="24"/>
                <w:lang w:val="en-US" w:eastAsia="zh-CN" w:bidi="ar"/>
              </w:rPr>
              <w:t>橡胶和塑料制品</w:t>
            </w:r>
            <w:r>
              <w:rPr>
                <w:rFonts w:hint="default" w:ascii="Times New Roman" w:hAnsi="Times New Roman" w:eastAsia="宋体" w:cs="Times New Roman"/>
                <w:color w:val="auto"/>
                <w:kern w:val="0"/>
                <w:sz w:val="24"/>
                <w:lang w:bidi="ar"/>
              </w:rPr>
              <w:t>工业—</w:t>
            </w:r>
            <w:r>
              <w:rPr>
                <w:rFonts w:hint="default" w:ascii="Times New Roman" w:hAnsi="Times New Roman" w:eastAsia="宋体" w:cs="Times New Roman"/>
                <w:color w:val="auto"/>
                <w:kern w:val="0"/>
                <w:sz w:val="24"/>
                <w:lang w:val="en-US" w:eastAsia="zh-CN" w:bidi="ar"/>
              </w:rPr>
              <w:t>塑料制品</w:t>
            </w:r>
            <w:r>
              <w:rPr>
                <w:rFonts w:hint="default" w:ascii="Times New Roman" w:hAnsi="Times New Roman" w:eastAsia="宋体" w:cs="Times New Roman"/>
                <w:color w:val="auto"/>
                <w:kern w:val="0"/>
                <w:sz w:val="24"/>
                <w:lang w:bidi="ar"/>
              </w:rPr>
              <w:t>工业》（HJ11</w:t>
            </w:r>
            <w:r>
              <w:rPr>
                <w:rFonts w:hint="default" w:ascii="Times New Roman" w:hAnsi="Times New Roman" w:eastAsia="宋体" w:cs="Times New Roman"/>
                <w:color w:val="auto"/>
                <w:kern w:val="0"/>
                <w:sz w:val="24"/>
                <w:lang w:val="en-US" w:eastAsia="zh-CN" w:bidi="ar"/>
              </w:rPr>
              <w:t>22</w:t>
            </w:r>
            <w:r>
              <w:rPr>
                <w:rFonts w:hint="default" w:ascii="Times New Roman" w:hAnsi="Times New Roman" w:eastAsia="宋体" w:cs="Times New Roman"/>
                <w:color w:val="auto"/>
                <w:kern w:val="0"/>
                <w:sz w:val="24"/>
                <w:lang w:bidi="ar"/>
              </w:rPr>
              <w:t>-2020），项目涉及的有组织废气排口均属于一般排口，排口信息见下表。</w:t>
            </w:r>
          </w:p>
          <w:p w14:paraId="456961B1">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kern w:val="0"/>
                <w:szCs w:val="21"/>
                <w:lang w:bidi="ar"/>
              </w:rPr>
              <w:t>表4-</w:t>
            </w:r>
            <w:r>
              <w:rPr>
                <w:rFonts w:hint="default" w:ascii="Times New Roman" w:hAnsi="Times New Roman" w:eastAsia="宋体" w:cs="Times New Roman"/>
                <w:b/>
                <w:bCs/>
                <w:color w:val="auto"/>
                <w:kern w:val="0"/>
                <w:szCs w:val="21"/>
                <w:lang w:val="en-US" w:eastAsia="zh-CN" w:bidi="ar"/>
              </w:rPr>
              <w:t>6</w:t>
            </w:r>
            <w:r>
              <w:rPr>
                <w:rFonts w:hint="default" w:ascii="Times New Roman" w:hAnsi="Times New Roman" w:eastAsia="宋体" w:cs="Times New Roman"/>
                <w:b/>
                <w:bCs/>
                <w:color w:val="auto"/>
                <w:kern w:val="0"/>
                <w:szCs w:val="21"/>
                <w:lang w:bidi="ar"/>
              </w:rPr>
              <w:t xml:space="preserve">  有组织排放口基本情况表</w:t>
            </w:r>
          </w:p>
          <w:tbl>
            <w:tblPr>
              <w:tblStyle w:val="3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1974"/>
              <w:gridCol w:w="1885"/>
              <w:gridCol w:w="1735"/>
              <w:gridCol w:w="1491"/>
              <w:gridCol w:w="1133"/>
              <w:gridCol w:w="1214"/>
              <w:gridCol w:w="1154"/>
              <w:gridCol w:w="1302"/>
            </w:tblGrid>
            <w:tr w14:paraId="3401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3" w:type="pct"/>
                  <w:noWrap w:val="0"/>
                  <w:vAlign w:val="center"/>
                </w:tcPr>
                <w:p w14:paraId="46E5F325">
                  <w:pPr>
                    <w:pStyle w:val="35"/>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z w:val="21"/>
                      <w:szCs w:val="21"/>
                    </w:rPr>
                    <w:t>排放口</w:t>
                  </w:r>
                </w:p>
              </w:tc>
              <w:tc>
                <w:tcPr>
                  <w:tcW w:w="1488" w:type="pct"/>
                  <w:gridSpan w:val="2"/>
                  <w:noWrap w:val="0"/>
                  <w:vAlign w:val="center"/>
                </w:tcPr>
                <w:p w14:paraId="5E095D79">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地理位置</w:t>
                  </w:r>
                </w:p>
              </w:tc>
              <w:tc>
                <w:tcPr>
                  <w:tcW w:w="669" w:type="pct"/>
                  <w:noWrap w:val="0"/>
                  <w:vAlign w:val="center"/>
                </w:tcPr>
                <w:p w14:paraId="18D6320B">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排气筒名称</w:t>
                  </w:r>
                </w:p>
              </w:tc>
              <w:tc>
                <w:tcPr>
                  <w:tcW w:w="575" w:type="pct"/>
                  <w:noWrap w:val="0"/>
                  <w:vAlign w:val="center"/>
                </w:tcPr>
                <w:p w14:paraId="367E770A">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类型</w:t>
                  </w:r>
                </w:p>
              </w:tc>
              <w:tc>
                <w:tcPr>
                  <w:tcW w:w="437" w:type="pct"/>
                  <w:noWrap w:val="0"/>
                  <w:vAlign w:val="center"/>
                </w:tcPr>
                <w:p w14:paraId="455E7DA7">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高度（m）</w:t>
                  </w:r>
                </w:p>
              </w:tc>
              <w:tc>
                <w:tcPr>
                  <w:tcW w:w="468" w:type="pct"/>
                  <w:noWrap w:val="0"/>
                  <w:vAlign w:val="center"/>
                </w:tcPr>
                <w:p w14:paraId="02C704D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内径（m）</w:t>
                  </w:r>
                </w:p>
              </w:tc>
              <w:tc>
                <w:tcPr>
                  <w:tcW w:w="445" w:type="pct"/>
                  <w:noWrap w:val="0"/>
                  <w:vAlign w:val="center"/>
                </w:tcPr>
                <w:p w14:paraId="00042F59">
                  <w:pPr>
                    <w:keepNext w:val="0"/>
                    <w:keepLines w:val="0"/>
                    <w:suppressLineNumbers w:val="0"/>
                    <w:adjustRightInd w:val="0"/>
                    <w:spacing w:before="0" w:beforeAutospacing="0" w:after="0" w:afterAutospacing="0"/>
                    <w:ind w:left="0" w:right="0"/>
                    <w:jc w:val="center"/>
                    <w:rPr>
                      <w:rFonts w:hint="eastAsia" w:ascii="Times New Roman" w:hAnsi="Times New Roman" w:eastAsia="宋体" w:cs="Times New Roman"/>
                      <w:b/>
                      <w:bCs/>
                      <w:color w:val="auto"/>
                      <w:szCs w:val="21"/>
                      <w:lang w:val="en-US" w:eastAsia="zh-CN"/>
                    </w:rPr>
                  </w:pPr>
                  <w:r>
                    <w:rPr>
                      <w:rFonts w:hint="eastAsia" w:cs="Times New Roman"/>
                      <w:b/>
                      <w:bCs/>
                      <w:color w:val="auto"/>
                      <w:szCs w:val="21"/>
                      <w:lang w:val="en-US" w:eastAsia="zh-CN"/>
                    </w:rPr>
                    <w:t>流速（m/s）</w:t>
                  </w:r>
                </w:p>
              </w:tc>
              <w:tc>
                <w:tcPr>
                  <w:tcW w:w="502" w:type="pct"/>
                  <w:noWrap w:val="0"/>
                  <w:vAlign w:val="center"/>
                </w:tcPr>
                <w:p w14:paraId="024D6EDE">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温度（℃）</w:t>
                  </w:r>
                </w:p>
              </w:tc>
            </w:tr>
            <w:tr w14:paraId="73BB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3" w:type="pct"/>
                  <w:noWrap w:val="0"/>
                  <w:vAlign w:val="center"/>
                </w:tcPr>
                <w:p w14:paraId="4BD15B67">
                  <w:pPr>
                    <w:pStyle w:val="35"/>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DA001</w:t>
                  </w:r>
                </w:p>
              </w:tc>
              <w:tc>
                <w:tcPr>
                  <w:tcW w:w="761" w:type="pct"/>
                  <w:noWrap w:val="0"/>
                  <w:vAlign w:val="center"/>
                </w:tcPr>
                <w:p w14:paraId="7BEF772B">
                  <w:pPr>
                    <w:pStyle w:val="32"/>
                    <w:keepNext w:val="0"/>
                    <w:keepLines w:val="0"/>
                    <w:widowControl/>
                    <w:suppressLineNumbers w:val="0"/>
                    <w:spacing w:before="0" w:beforeAutospacing="0" w:after="0" w:afterAutospacing="0"/>
                    <w:ind w:left="0" w:right="0" w:firstLine="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E:103°12′45.22539″</w:t>
                  </w:r>
                </w:p>
              </w:tc>
              <w:tc>
                <w:tcPr>
                  <w:tcW w:w="727" w:type="pct"/>
                  <w:noWrap w:val="0"/>
                  <w:vAlign w:val="center"/>
                </w:tcPr>
                <w:p w14:paraId="33DFEC09">
                  <w:pPr>
                    <w:pStyle w:val="32"/>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N:25°35′1.08983″</w:t>
                  </w:r>
                </w:p>
              </w:tc>
              <w:tc>
                <w:tcPr>
                  <w:tcW w:w="669" w:type="pct"/>
                  <w:noWrap w:val="0"/>
                  <w:vAlign w:val="center"/>
                </w:tcPr>
                <w:p w14:paraId="37BB31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有机废气</w:t>
                  </w:r>
                  <w:r>
                    <w:rPr>
                      <w:rFonts w:hint="default" w:ascii="Times New Roman" w:hAnsi="Times New Roman" w:eastAsia="宋体" w:cs="Times New Roman"/>
                      <w:color w:val="auto"/>
                      <w:szCs w:val="21"/>
                    </w:rPr>
                    <w:t>排放口</w:t>
                  </w:r>
                </w:p>
              </w:tc>
              <w:tc>
                <w:tcPr>
                  <w:tcW w:w="575" w:type="pct"/>
                  <w:noWrap w:val="0"/>
                  <w:vAlign w:val="center"/>
                </w:tcPr>
                <w:p w14:paraId="0F3ABE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一般排放口</w:t>
                  </w:r>
                </w:p>
              </w:tc>
              <w:tc>
                <w:tcPr>
                  <w:tcW w:w="437" w:type="pct"/>
                  <w:noWrap w:val="0"/>
                  <w:vAlign w:val="center"/>
                </w:tcPr>
                <w:p w14:paraId="21950300">
                  <w:pPr>
                    <w:pStyle w:val="35"/>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c>
                <w:tcPr>
                  <w:tcW w:w="468" w:type="pct"/>
                  <w:noWrap w:val="0"/>
                  <w:vAlign w:val="center"/>
                </w:tcPr>
                <w:p w14:paraId="739F33D1">
                  <w:pPr>
                    <w:pStyle w:val="35"/>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w:t>
                  </w:r>
                  <w:r>
                    <w:rPr>
                      <w:rFonts w:hint="eastAsia" w:cs="Times New Roman"/>
                      <w:color w:val="auto"/>
                      <w:sz w:val="21"/>
                      <w:szCs w:val="21"/>
                      <w:lang w:val="en-US" w:eastAsia="zh-CN"/>
                    </w:rPr>
                    <w:t>7</w:t>
                  </w:r>
                </w:p>
              </w:tc>
              <w:tc>
                <w:tcPr>
                  <w:tcW w:w="445" w:type="pct"/>
                  <w:noWrap w:val="0"/>
                  <w:vAlign w:val="center"/>
                </w:tcPr>
                <w:p w14:paraId="6B790EC9">
                  <w:pPr>
                    <w:pStyle w:val="35"/>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17.32</w:t>
                  </w:r>
                </w:p>
              </w:tc>
              <w:tc>
                <w:tcPr>
                  <w:tcW w:w="502" w:type="pct"/>
                  <w:noWrap w:val="0"/>
                  <w:vAlign w:val="center"/>
                </w:tcPr>
                <w:p w14:paraId="09A4C1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w:t>
                  </w:r>
                </w:p>
              </w:tc>
            </w:tr>
          </w:tbl>
          <w:p w14:paraId="03332BA6">
            <w:pPr>
              <w:keepNext w:val="0"/>
              <w:keepLines w:val="0"/>
              <w:suppressLineNumbers w:val="0"/>
              <w:spacing w:before="120" w:beforeLines="50" w:beforeAutospacing="0" w:after="0" w:afterAutospacing="0" w:line="360" w:lineRule="auto"/>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表4-</w:t>
            </w:r>
            <w:r>
              <w:rPr>
                <w:rFonts w:hint="default" w:ascii="Times New Roman" w:hAnsi="Times New Roman" w:eastAsia="宋体" w:cs="Times New Roman"/>
                <w:b/>
                <w:color w:val="auto"/>
                <w:szCs w:val="21"/>
                <w:lang w:val="en-US" w:eastAsia="zh-CN"/>
              </w:rPr>
              <w:t>7</w:t>
            </w:r>
            <w:r>
              <w:rPr>
                <w:rFonts w:hint="default" w:ascii="Times New Roman" w:hAnsi="Times New Roman" w:eastAsia="宋体" w:cs="Times New Roman"/>
                <w:b/>
                <w:color w:val="auto"/>
                <w:szCs w:val="21"/>
              </w:rPr>
              <w:t xml:space="preserve">  项目大气污染物无组织排放核算</w:t>
            </w:r>
            <w:r>
              <w:rPr>
                <w:rFonts w:hint="eastAsia" w:cs="Times New Roman"/>
                <w:b/>
                <w:color w:val="auto"/>
                <w:szCs w:val="21"/>
                <w:lang w:val="en-US" w:eastAsia="zh-CN"/>
              </w:rPr>
              <w:t>一览</w:t>
            </w:r>
            <w:r>
              <w:rPr>
                <w:rFonts w:hint="default" w:ascii="Times New Roman" w:hAnsi="Times New Roman" w:eastAsia="宋体" w:cs="Times New Roman"/>
                <w:b/>
                <w:color w:val="auto"/>
                <w:szCs w:val="21"/>
              </w:rPr>
              <w:t>表</w:t>
            </w: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690"/>
              <w:gridCol w:w="1014"/>
              <w:gridCol w:w="1279"/>
              <w:gridCol w:w="1095"/>
              <w:gridCol w:w="1645"/>
              <w:gridCol w:w="913"/>
              <w:gridCol w:w="1236"/>
              <w:gridCol w:w="1134"/>
              <w:gridCol w:w="2205"/>
              <w:gridCol w:w="1007"/>
            </w:tblGrid>
            <w:tr w14:paraId="537A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0" w:type="pct"/>
                  <w:gridSpan w:val="2"/>
                  <w:noWrap w:val="0"/>
                  <w:vAlign w:val="center"/>
                </w:tcPr>
                <w:p w14:paraId="3E4945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污染源</w:t>
                  </w:r>
                </w:p>
              </w:tc>
              <w:tc>
                <w:tcPr>
                  <w:tcW w:w="400" w:type="pct"/>
                  <w:vMerge w:val="restart"/>
                  <w:noWrap w:val="0"/>
                  <w:vAlign w:val="center"/>
                </w:tcPr>
                <w:p w14:paraId="14ED40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933" w:type="pct"/>
                  <w:gridSpan w:val="2"/>
                  <w:noWrap w:val="0"/>
                  <w:vAlign w:val="center"/>
                </w:tcPr>
                <w:p w14:paraId="22B01A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产生情况</w:t>
                  </w:r>
                </w:p>
              </w:tc>
              <w:tc>
                <w:tcPr>
                  <w:tcW w:w="643" w:type="pct"/>
                  <w:vMerge w:val="restart"/>
                  <w:noWrap w:val="0"/>
                  <w:vAlign w:val="center"/>
                </w:tcPr>
                <w:p w14:paraId="2CDAC8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治理设施是否为可行技术</w:t>
                  </w:r>
                </w:p>
              </w:tc>
              <w:tc>
                <w:tcPr>
                  <w:tcW w:w="361" w:type="pct"/>
                  <w:vMerge w:val="restart"/>
                  <w:noWrap w:val="0"/>
                  <w:vAlign w:val="center"/>
                </w:tcPr>
                <w:p w14:paraId="26CAD5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去除效率</w:t>
                  </w:r>
                </w:p>
              </w:tc>
              <w:tc>
                <w:tcPr>
                  <w:tcW w:w="834" w:type="pct"/>
                  <w:gridSpan w:val="2"/>
                  <w:noWrap w:val="0"/>
                  <w:vAlign w:val="center"/>
                </w:tcPr>
                <w:p w14:paraId="30C942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排放情况</w:t>
                  </w:r>
                </w:p>
              </w:tc>
              <w:tc>
                <w:tcPr>
                  <w:tcW w:w="1256" w:type="pct"/>
                  <w:gridSpan w:val="2"/>
                  <w:vMerge w:val="restart"/>
                  <w:noWrap w:val="0"/>
                  <w:vAlign w:val="center"/>
                </w:tcPr>
                <w:p w14:paraId="4159F8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执行标准</w:t>
                  </w:r>
                </w:p>
                <w:p w14:paraId="349CBEC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sz w:val="21"/>
                      <w:szCs w:val="21"/>
                    </w:rPr>
                    <w:t>mg/m</w:t>
                  </w:r>
                  <w:r>
                    <w:rPr>
                      <w:rFonts w:hint="default" w:ascii="Times New Roman" w:hAnsi="Times New Roman" w:eastAsia="宋体" w:cs="Times New Roman"/>
                      <w:b/>
                      <w:bCs/>
                      <w:color w:val="auto"/>
                      <w:sz w:val="21"/>
                      <w:szCs w:val="21"/>
                      <w:vertAlign w:val="superscript"/>
                    </w:rPr>
                    <w:t>3</w:t>
                  </w:r>
                </w:p>
              </w:tc>
            </w:tr>
            <w:tr w14:paraId="7B26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5" w:type="pct"/>
                  <w:noWrap w:val="0"/>
                  <w:vAlign w:val="center"/>
                </w:tcPr>
                <w:p w14:paraId="31D6F7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位置</w:t>
                  </w:r>
                </w:p>
              </w:tc>
              <w:tc>
                <w:tcPr>
                  <w:tcW w:w="274" w:type="pct"/>
                  <w:noWrap w:val="0"/>
                  <w:vAlign w:val="center"/>
                </w:tcPr>
                <w:p w14:paraId="6BB3C0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产污环节</w:t>
                  </w:r>
                </w:p>
              </w:tc>
              <w:tc>
                <w:tcPr>
                  <w:tcW w:w="400" w:type="pct"/>
                  <w:vMerge w:val="continue"/>
                  <w:noWrap w:val="0"/>
                  <w:vAlign w:val="center"/>
                </w:tcPr>
                <w:p w14:paraId="756448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502" w:type="pct"/>
                  <w:noWrap w:val="0"/>
                  <w:vAlign w:val="center"/>
                </w:tcPr>
                <w:p w14:paraId="45949E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产生量t/a</w:t>
                  </w:r>
                </w:p>
              </w:tc>
              <w:tc>
                <w:tcPr>
                  <w:tcW w:w="431" w:type="pct"/>
                  <w:noWrap w:val="0"/>
                  <w:vAlign w:val="center"/>
                </w:tcPr>
                <w:p w14:paraId="5852C19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产生速率kg/h</w:t>
                  </w:r>
                </w:p>
              </w:tc>
              <w:tc>
                <w:tcPr>
                  <w:tcW w:w="643" w:type="pct"/>
                  <w:vMerge w:val="continue"/>
                  <w:noWrap w:val="0"/>
                  <w:vAlign w:val="center"/>
                </w:tcPr>
                <w:p w14:paraId="493F14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c>
                <w:tcPr>
                  <w:tcW w:w="361" w:type="pct"/>
                  <w:vMerge w:val="continue"/>
                  <w:noWrap w:val="0"/>
                  <w:vAlign w:val="center"/>
                </w:tcPr>
                <w:p w14:paraId="1B9D116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b/>
                      <w:bCs/>
                      <w:color w:val="auto"/>
                      <w:sz w:val="21"/>
                      <w:szCs w:val="21"/>
                    </w:rPr>
                  </w:pPr>
                </w:p>
              </w:tc>
              <w:tc>
                <w:tcPr>
                  <w:tcW w:w="388" w:type="pct"/>
                  <w:noWrap w:val="0"/>
                  <w:vAlign w:val="center"/>
                </w:tcPr>
                <w:p w14:paraId="2ACCBBD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排放量t/a</w:t>
                  </w:r>
                </w:p>
              </w:tc>
              <w:tc>
                <w:tcPr>
                  <w:tcW w:w="445" w:type="pct"/>
                  <w:noWrap w:val="0"/>
                  <w:vAlign w:val="center"/>
                </w:tcPr>
                <w:p w14:paraId="76FD0B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排放速率kg/h</w:t>
                  </w:r>
                </w:p>
              </w:tc>
              <w:tc>
                <w:tcPr>
                  <w:tcW w:w="1256" w:type="pct"/>
                  <w:gridSpan w:val="2"/>
                  <w:vMerge w:val="continue"/>
                  <w:noWrap w:val="0"/>
                  <w:vAlign w:val="center"/>
                </w:tcPr>
                <w:p w14:paraId="4002211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p>
              </w:tc>
            </w:tr>
            <w:tr w14:paraId="10F5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5" w:type="pct"/>
                  <w:vMerge w:val="restart"/>
                  <w:noWrap w:val="0"/>
                  <w:vAlign w:val="center"/>
                </w:tcPr>
                <w:p w14:paraId="257010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生产车间</w:t>
                  </w:r>
                </w:p>
              </w:tc>
              <w:tc>
                <w:tcPr>
                  <w:tcW w:w="274" w:type="pct"/>
                  <w:noWrap w:val="0"/>
                  <w:vAlign w:val="center"/>
                </w:tcPr>
                <w:p w14:paraId="3133CD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拌</w:t>
                  </w:r>
                  <w:r>
                    <w:rPr>
                      <w:rFonts w:hint="default" w:ascii="Times New Roman" w:hAnsi="Times New Roman" w:eastAsia="宋体" w:cs="Times New Roman"/>
                      <w:color w:val="auto"/>
                      <w:sz w:val="21"/>
                      <w:szCs w:val="21"/>
                    </w:rPr>
                    <w:t>料</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上料</w:t>
                  </w:r>
                </w:p>
              </w:tc>
              <w:tc>
                <w:tcPr>
                  <w:tcW w:w="400" w:type="pct"/>
                  <w:noWrap w:val="0"/>
                  <w:vAlign w:val="center"/>
                </w:tcPr>
                <w:p w14:paraId="4067664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颗粒物</w:t>
                  </w:r>
                </w:p>
              </w:tc>
              <w:tc>
                <w:tcPr>
                  <w:tcW w:w="1279" w:type="dxa"/>
                  <w:noWrap w:val="0"/>
                  <w:vAlign w:val="center"/>
                </w:tcPr>
                <w:p w14:paraId="204AE0FD">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lang w:val="en-US" w:eastAsia="zh-CN"/>
                    </w:rPr>
                    <w:t>0.1</w:t>
                  </w:r>
                  <w:r>
                    <w:rPr>
                      <w:rFonts w:hint="eastAsia" w:cs="Times New Roman"/>
                      <w:color w:val="auto"/>
                      <w:sz w:val="21"/>
                      <w:szCs w:val="21"/>
                      <w:highlight w:val="none"/>
                      <w:lang w:val="en-US" w:eastAsia="zh-CN"/>
                    </w:rPr>
                    <w:t>303</w:t>
                  </w:r>
                </w:p>
              </w:tc>
              <w:tc>
                <w:tcPr>
                  <w:tcW w:w="1095" w:type="dxa"/>
                  <w:noWrap w:val="0"/>
                  <w:vAlign w:val="center"/>
                </w:tcPr>
                <w:p w14:paraId="35B3B6F8">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181</w:t>
                  </w:r>
                </w:p>
              </w:tc>
              <w:tc>
                <w:tcPr>
                  <w:tcW w:w="643" w:type="pct"/>
                  <w:vMerge w:val="restart"/>
                  <w:noWrap w:val="0"/>
                  <w:vAlign w:val="center"/>
                </w:tcPr>
                <w:p w14:paraId="213A17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kern w:val="0"/>
                      <w:sz w:val="21"/>
                      <w:szCs w:val="21"/>
                      <w:lang w:bidi="ar"/>
                    </w:rPr>
                    <w:t>自然沉降+封闭厂房阻隔</w:t>
                  </w:r>
                </w:p>
              </w:tc>
              <w:tc>
                <w:tcPr>
                  <w:tcW w:w="361" w:type="pct"/>
                  <w:vMerge w:val="restart"/>
                  <w:noWrap w:val="0"/>
                  <w:vAlign w:val="center"/>
                </w:tcPr>
                <w:p w14:paraId="45150AE4">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60</w:t>
                  </w:r>
                  <w:r>
                    <w:rPr>
                      <w:rFonts w:hint="default" w:ascii="Times New Roman" w:hAnsi="Times New Roman" w:eastAsia="宋体" w:cs="Times New Roman"/>
                      <w:color w:val="auto"/>
                      <w:sz w:val="21"/>
                      <w:szCs w:val="21"/>
                    </w:rPr>
                    <w:t>%</w:t>
                  </w:r>
                </w:p>
              </w:tc>
              <w:tc>
                <w:tcPr>
                  <w:tcW w:w="1236" w:type="dxa"/>
                  <w:noWrap w:val="0"/>
                  <w:vAlign w:val="center"/>
                </w:tcPr>
                <w:p w14:paraId="153700C1">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highlight w:val="none"/>
                      <w:lang w:val="en-US" w:eastAsia="zh-CN" w:bidi="ar"/>
                    </w:rPr>
                    <w:t>0.0</w:t>
                  </w:r>
                  <w:r>
                    <w:rPr>
                      <w:rFonts w:hint="eastAsia" w:cs="Times New Roman"/>
                      <w:color w:val="auto"/>
                      <w:kern w:val="0"/>
                      <w:sz w:val="21"/>
                      <w:szCs w:val="21"/>
                      <w:highlight w:val="none"/>
                      <w:lang w:val="en-US" w:eastAsia="zh-CN" w:bidi="ar"/>
                    </w:rPr>
                    <w:t>521</w:t>
                  </w:r>
                </w:p>
              </w:tc>
              <w:tc>
                <w:tcPr>
                  <w:tcW w:w="1134" w:type="dxa"/>
                  <w:noWrap w:val="0"/>
                  <w:vAlign w:val="center"/>
                </w:tcPr>
                <w:p w14:paraId="3DB0A615">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kern w:val="0"/>
                      <w:sz w:val="21"/>
                      <w:szCs w:val="21"/>
                      <w:lang w:val="en-US" w:eastAsia="zh-CN" w:bidi="ar"/>
                    </w:rPr>
                    <w:t>0.0</w:t>
                  </w:r>
                  <w:r>
                    <w:rPr>
                      <w:rFonts w:hint="eastAsia" w:cs="Times New Roman"/>
                      <w:color w:val="auto"/>
                      <w:kern w:val="0"/>
                      <w:sz w:val="21"/>
                      <w:szCs w:val="21"/>
                      <w:lang w:val="en-US" w:eastAsia="zh-CN" w:bidi="ar"/>
                    </w:rPr>
                    <w:t>072</w:t>
                  </w:r>
                </w:p>
              </w:tc>
              <w:tc>
                <w:tcPr>
                  <w:tcW w:w="859" w:type="pct"/>
                  <w:vMerge w:val="restart"/>
                  <w:noWrap w:val="0"/>
                  <w:vAlign w:val="center"/>
                </w:tcPr>
                <w:p w14:paraId="3EA0B3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《合成树脂工业污染物排放标准》（GB31572-2015含2024年修改单）</w:t>
                  </w:r>
                </w:p>
              </w:tc>
              <w:tc>
                <w:tcPr>
                  <w:tcW w:w="397" w:type="pct"/>
                  <w:vMerge w:val="restart"/>
                  <w:noWrap w:val="0"/>
                  <w:vAlign w:val="center"/>
                </w:tcPr>
                <w:p w14:paraId="14E72E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14D5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5" w:type="pct"/>
                  <w:vMerge w:val="continue"/>
                  <w:noWrap w:val="0"/>
                  <w:vAlign w:val="center"/>
                </w:tcPr>
                <w:p w14:paraId="7CDD64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4" w:type="pct"/>
                  <w:noWrap w:val="0"/>
                  <w:vAlign w:val="center"/>
                </w:tcPr>
                <w:p w14:paraId="33F05C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破碎</w:t>
                  </w:r>
                </w:p>
              </w:tc>
              <w:tc>
                <w:tcPr>
                  <w:tcW w:w="400" w:type="pct"/>
                  <w:noWrap w:val="0"/>
                  <w:vAlign w:val="center"/>
                </w:tcPr>
                <w:p w14:paraId="747C4FB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颗粒物</w:t>
                  </w:r>
                </w:p>
              </w:tc>
              <w:tc>
                <w:tcPr>
                  <w:tcW w:w="1279" w:type="dxa"/>
                  <w:noWrap w:val="0"/>
                  <w:vAlign w:val="center"/>
                </w:tcPr>
                <w:p w14:paraId="29F8A744">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244</w:t>
                  </w:r>
                </w:p>
              </w:tc>
              <w:tc>
                <w:tcPr>
                  <w:tcW w:w="1095" w:type="dxa"/>
                  <w:noWrap w:val="0"/>
                  <w:vAlign w:val="center"/>
                </w:tcPr>
                <w:p w14:paraId="2EF9911F">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shd w:val="clear" w:color="auto" w:fill="FFFFFF"/>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61</w:t>
                  </w:r>
                </w:p>
              </w:tc>
              <w:tc>
                <w:tcPr>
                  <w:tcW w:w="643" w:type="pct"/>
                  <w:vMerge w:val="continue"/>
                  <w:noWrap w:val="0"/>
                  <w:vAlign w:val="center"/>
                </w:tcPr>
                <w:p w14:paraId="50687B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6"/>
                      <w:sz w:val="21"/>
                      <w:szCs w:val="21"/>
                    </w:rPr>
                  </w:pPr>
                </w:p>
              </w:tc>
              <w:tc>
                <w:tcPr>
                  <w:tcW w:w="361" w:type="pct"/>
                  <w:vMerge w:val="continue"/>
                  <w:noWrap w:val="0"/>
                  <w:vAlign w:val="center"/>
                </w:tcPr>
                <w:p w14:paraId="397997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bidi="ar"/>
                    </w:rPr>
                  </w:pPr>
                </w:p>
              </w:tc>
              <w:tc>
                <w:tcPr>
                  <w:tcW w:w="1236" w:type="dxa"/>
                  <w:noWrap w:val="0"/>
                  <w:vAlign w:val="center"/>
                </w:tcPr>
                <w:p w14:paraId="3A3D4958">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10</w:t>
                  </w:r>
                </w:p>
              </w:tc>
              <w:tc>
                <w:tcPr>
                  <w:tcW w:w="1134" w:type="dxa"/>
                  <w:noWrap w:val="0"/>
                  <w:vAlign w:val="center"/>
                </w:tcPr>
                <w:p w14:paraId="40E418BD">
                  <w:pPr>
                    <w:keepNext w:val="0"/>
                    <w:keepLines w:val="0"/>
                    <w:pageBreakBefore w:val="0"/>
                    <w:widowControl/>
                    <w:suppressLineNumbers w:val="0"/>
                    <w:kinsoku/>
                    <w:wordWrap/>
                    <w:topLinePunct w:val="0"/>
                    <w:autoSpaceDE/>
                    <w:autoSpaceDN/>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0.00</w:t>
                  </w:r>
                  <w:r>
                    <w:rPr>
                      <w:rFonts w:hint="eastAsia" w:cs="Times New Roman"/>
                      <w:color w:val="auto"/>
                      <w:kern w:val="0"/>
                      <w:sz w:val="21"/>
                      <w:szCs w:val="21"/>
                      <w:lang w:val="en-US" w:eastAsia="zh-CN" w:bidi="ar"/>
                    </w:rPr>
                    <w:t>25</w:t>
                  </w:r>
                </w:p>
              </w:tc>
              <w:tc>
                <w:tcPr>
                  <w:tcW w:w="859" w:type="pct"/>
                  <w:vMerge w:val="continue"/>
                  <w:noWrap w:val="0"/>
                  <w:vAlign w:val="center"/>
                </w:tcPr>
                <w:p w14:paraId="7FA02B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97" w:type="pct"/>
                  <w:vMerge w:val="continue"/>
                  <w:noWrap w:val="0"/>
                  <w:vAlign w:val="center"/>
                </w:tcPr>
                <w:p w14:paraId="3A2DD4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r>
            <w:tr w14:paraId="6B9A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5" w:type="pct"/>
                  <w:vMerge w:val="restart"/>
                  <w:noWrap w:val="0"/>
                  <w:vAlign w:val="center"/>
                </w:tcPr>
                <w:p w14:paraId="5E8178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w:t>
                  </w:r>
                </w:p>
              </w:tc>
              <w:tc>
                <w:tcPr>
                  <w:tcW w:w="274" w:type="pct"/>
                  <w:vMerge w:val="restart"/>
                  <w:noWrap w:val="0"/>
                  <w:vAlign w:val="center"/>
                </w:tcPr>
                <w:p w14:paraId="55B2DC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熔融注塑</w:t>
                  </w:r>
                </w:p>
              </w:tc>
              <w:tc>
                <w:tcPr>
                  <w:tcW w:w="400" w:type="pct"/>
                  <w:noWrap w:val="0"/>
                  <w:vAlign w:val="center"/>
                </w:tcPr>
                <w:p w14:paraId="32BAF8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非甲烷总烃</w:t>
                  </w:r>
                </w:p>
              </w:tc>
              <w:tc>
                <w:tcPr>
                  <w:tcW w:w="1279" w:type="dxa"/>
                  <w:noWrap w:val="0"/>
                  <w:vAlign w:val="center"/>
                </w:tcPr>
                <w:p w14:paraId="3FE4D113">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w:t>
                  </w:r>
                  <w:r>
                    <w:rPr>
                      <w:rFonts w:hint="eastAsia" w:cs="Times New Roman"/>
                      <w:color w:val="auto"/>
                      <w:kern w:val="0"/>
                      <w:sz w:val="21"/>
                      <w:szCs w:val="21"/>
                      <w:lang w:val="en-US" w:eastAsia="zh-CN" w:bidi="ar"/>
                    </w:rPr>
                    <w:t>.7591</w:t>
                  </w:r>
                </w:p>
              </w:tc>
              <w:tc>
                <w:tcPr>
                  <w:tcW w:w="1095" w:type="dxa"/>
                  <w:noWrap w:val="0"/>
                  <w:vAlign w:val="center"/>
                </w:tcPr>
                <w:p w14:paraId="29EDB5B9">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0.2443</w:t>
                  </w:r>
                </w:p>
              </w:tc>
              <w:tc>
                <w:tcPr>
                  <w:tcW w:w="643" w:type="pct"/>
                  <w:vMerge w:val="restart"/>
                  <w:noWrap w:val="0"/>
                  <w:vAlign w:val="center"/>
                </w:tcPr>
                <w:p w14:paraId="273FFB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6"/>
                      <w:sz w:val="21"/>
                      <w:szCs w:val="21"/>
                      <w:lang w:val="en-US" w:eastAsia="zh-CN"/>
                    </w:rPr>
                  </w:pPr>
                  <w:r>
                    <w:rPr>
                      <w:rFonts w:hint="default" w:ascii="Times New Roman" w:hAnsi="Times New Roman" w:eastAsia="宋体" w:cs="Times New Roman"/>
                      <w:color w:val="auto"/>
                      <w:spacing w:val="6"/>
                      <w:sz w:val="21"/>
                      <w:szCs w:val="21"/>
                      <w:lang w:val="en-US" w:eastAsia="zh-CN"/>
                    </w:rPr>
                    <w:t>自然稀释扩散</w:t>
                  </w:r>
                </w:p>
              </w:tc>
              <w:tc>
                <w:tcPr>
                  <w:tcW w:w="361" w:type="pct"/>
                  <w:vMerge w:val="restart"/>
                  <w:noWrap w:val="0"/>
                  <w:vAlign w:val="center"/>
                </w:tcPr>
                <w:p w14:paraId="662D2B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w:t>
                  </w:r>
                </w:p>
              </w:tc>
              <w:tc>
                <w:tcPr>
                  <w:tcW w:w="1236" w:type="dxa"/>
                  <w:noWrap w:val="0"/>
                  <w:vAlign w:val="center"/>
                </w:tcPr>
                <w:p w14:paraId="671118AD">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w:t>
                  </w:r>
                  <w:r>
                    <w:rPr>
                      <w:rFonts w:hint="eastAsia" w:cs="Times New Roman"/>
                      <w:color w:val="auto"/>
                      <w:kern w:val="0"/>
                      <w:sz w:val="21"/>
                      <w:szCs w:val="21"/>
                      <w:lang w:val="en-US" w:eastAsia="zh-CN" w:bidi="ar"/>
                    </w:rPr>
                    <w:t>.7591</w:t>
                  </w:r>
                </w:p>
              </w:tc>
              <w:tc>
                <w:tcPr>
                  <w:tcW w:w="1134" w:type="dxa"/>
                  <w:noWrap w:val="0"/>
                  <w:vAlign w:val="center"/>
                </w:tcPr>
                <w:p w14:paraId="4BA265E3">
                  <w:pPr>
                    <w:keepNext w:val="0"/>
                    <w:keepLines w:val="0"/>
                    <w:pageBreakBefore w:val="0"/>
                    <w:suppressLineNumbers w:val="0"/>
                    <w:kinsoku/>
                    <w:wordWrap/>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0.2443</w:t>
                  </w:r>
                </w:p>
              </w:tc>
              <w:tc>
                <w:tcPr>
                  <w:tcW w:w="859" w:type="pct"/>
                  <w:noWrap w:val="0"/>
                  <w:vAlign w:val="center"/>
                </w:tcPr>
                <w:p w14:paraId="6885EA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《合成树脂工业污染物排放标准》（GB31572-2015含2024年修改单）</w:t>
                  </w:r>
                </w:p>
              </w:tc>
              <w:tc>
                <w:tcPr>
                  <w:tcW w:w="397" w:type="pct"/>
                  <w:noWrap w:val="0"/>
                  <w:vAlign w:val="center"/>
                </w:tcPr>
                <w:p w14:paraId="4EDB6C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4.0</w:t>
                  </w:r>
                </w:p>
              </w:tc>
            </w:tr>
            <w:tr w14:paraId="5CDC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5" w:type="pct"/>
                  <w:vMerge w:val="continue"/>
                  <w:noWrap w:val="0"/>
                  <w:vAlign w:val="center"/>
                </w:tcPr>
                <w:p w14:paraId="57D5D4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274" w:type="pct"/>
                  <w:vMerge w:val="continue"/>
                  <w:noWrap w:val="0"/>
                  <w:vAlign w:val="center"/>
                </w:tcPr>
                <w:p w14:paraId="10E9E7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400" w:type="pct"/>
                  <w:noWrap w:val="0"/>
                  <w:vAlign w:val="center"/>
                </w:tcPr>
                <w:p w14:paraId="5CBF47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臭气浓度</w:t>
                  </w:r>
                </w:p>
              </w:tc>
              <w:tc>
                <w:tcPr>
                  <w:tcW w:w="933" w:type="pct"/>
                  <w:gridSpan w:val="2"/>
                  <w:noWrap w:val="0"/>
                  <w:vAlign w:val="center"/>
                </w:tcPr>
                <w:p w14:paraId="11B185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aps w:val="0"/>
                      <w:smallCaps w:val="0"/>
                      <w:color w:val="auto"/>
                      <w:sz w:val="21"/>
                      <w:szCs w:val="21"/>
                      <w:lang w:val="en-US" w:eastAsia="zh-CN"/>
                    </w:rPr>
                    <w:t>18</w:t>
                  </w:r>
                  <w:r>
                    <w:rPr>
                      <w:rFonts w:hint="eastAsia" w:ascii="Times New Roman" w:hAnsi="Times New Roman" w:eastAsia="宋体" w:cs="Times New Roman"/>
                      <w:caps w:val="0"/>
                      <w:smallCaps w:val="0"/>
                      <w:color w:val="auto"/>
                      <w:sz w:val="21"/>
                      <w:szCs w:val="21"/>
                      <w:lang w:val="en-US" w:eastAsia="zh-CN"/>
                    </w:rPr>
                    <w:t>（无量纲）</w:t>
                  </w:r>
                </w:p>
              </w:tc>
              <w:tc>
                <w:tcPr>
                  <w:tcW w:w="643" w:type="pct"/>
                  <w:vMerge w:val="continue"/>
                  <w:noWrap w:val="0"/>
                  <w:vAlign w:val="center"/>
                </w:tcPr>
                <w:p w14:paraId="38EECF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6"/>
                      <w:sz w:val="21"/>
                      <w:szCs w:val="21"/>
                    </w:rPr>
                  </w:pPr>
                </w:p>
              </w:tc>
              <w:tc>
                <w:tcPr>
                  <w:tcW w:w="361" w:type="pct"/>
                  <w:vMerge w:val="continue"/>
                  <w:noWrap w:val="0"/>
                  <w:vAlign w:val="center"/>
                </w:tcPr>
                <w:p w14:paraId="70DAE9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bidi="ar"/>
                    </w:rPr>
                  </w:pPr>
                </w:p>
              </w:tc>
              <w:tc>
                <w:tcPr>
                  <w:tcW w:w="834" w:type="pct"/>
                  <w:gridSpan w:val="2"/>
                  <w:noWrap w:val="0"/>
                  <w:vAlign w:val="center"/>
                </w:tcPr>
                <w:p w14:paraId="5A66A7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aps w:val="0"/>
                      <w:smallCaps w:val="0"/>
                      <w:color w:val="auto"/>
                      <w:sz w:val="21"/>
                      <w:szCs w:val="21"/>
                      <w:lang w:val="en-US" w:eastAsia="zh-CN"/>
                    </w:rPr>
                    <w:t>18</w:t>
                  </w:r>
                  <w:r>
                    <w:rPr>
                      <w:rFonts w:hint="eastAsia" w:ascii="Times New Roman" w:hAnsi="Times New Roman" w:eastAsia="宋体" w:cs="Times New Roman"/>
                      <w:caps w:val="0"/>
                      <w:smallCaps w:val="0"/>
                      <w:color w:val="auto"/>
                      <w:sz w:val="21"/>
                      <w:szCs w:val="21"/>
                      <w:lang w:val="en-US" w:eastAsia="zh-CN"/>
                    </w:rPr>
                    <w:t>（无量纲）</w:t>
                  </w:r>
                </w:p>
              </w:tc>
              <w:tc>
                <w:tcPr>
                  <w:tcW w:w="859" w:type="pct"/>
                  <w:noWrap w:val="0"/>
                  <w:vAlign w:val="center"/>
                </w:tcPr>
                <w:p w14:paraId="21ED54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《恶臭污染物排放标准》（GB14554-93）</w:t>
                  </w:r>
                </w:p>
              </w:tc>
              <w:tc>
                <w:tcPr>
                  <w:tcW w:w="397" w:type="pct"/>
                  <w:noWrap w:val="0"/>
                  <w:vAlign w:val="center"/>
                </w:tcPr>
                <w:p w14:paraId="5E5E5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20（无量纲）</w:t>
                  </w:r>
                </w:p>
              </w:tc>
            </w:tr>
            <w:tr w14:paraId="5B1A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5" w:type="pct"/>
                  <w:noWrap w:val="0"/>
                  <w:vAlign w:val="center"/>
                </w:tcPr>
                <w:p w14:paraId="19EE29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食堂</w:t>
                  </w:r>
                </w:p>
              </w:tc>
              <w:tc>
                <w:tcPr>
                  <w:tcW w:w="274" w:type="pct"/>
                  <w:noWrap w:val="0"/>
                  <w:vAlign w:val="center"/>
                </w:tcPr>
                <w:p w14:paraId="759682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灶台</w:t>
                  </w:r>
                </w:p>
              </w:tc>
              <w:tc>
                <w:tcPr>
                  <w:tcW w:w="400" w:type="pct"/>
                  <w:noWrap w:val="0"/>
                  <w:vAlign w:val="center"/>
                </w:tcPr>
                <w:p w14:paraId="00C59E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烟油</w:t>
                  </w:r>
                </w:p>
              </w:tc>
              <w:tc>
                <w:tcPr>
                  <w:tcW w:w="1287" w:type="dxa"/>
                  <w:noWrap w:val="0"/>
                  <w:vAlign w:val="center"/>
                </w:tcPr>
                <w:p w14:paraId="4D23DADB">
                  <w:pPr>
                    <w:keepNext w:val="0"/>
                    <w:keepLines w:val="0"/>
                    <w:pageBreakBefore w:val="0"/>
                    <w:suppressLineNumbers w:val="0"/>
                    <w:kinsoku/>
                    <w:wordWrap/>
                    <w:topLinePunct w:val="0"/>
                    <w:autoSpaceDE/>
                    <w:autoSpaceDN/>
                    <w:bidi w:val="0"/>
                    <w:spacing w:before="0" w:beforeAutospacing="0" w:after="0" w:afterAutospacing="0"/>
                    <w:ind w:left="0" w:leftChars="0" w:right="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2.547</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1105" w:type="dxa"/>
                  <w:noWrap w:val="0"/>
                  <w:vAlign w:val="center"/>
                </w:tcPr>
                <w:p w14:paraId="6664402D">
                  <w:pPr>
                    <w:pStyle w:val="14"/>
                    <w:keepNext w:val="0"/>
                    <w:keepLines w:val="0"/>
                    <w:pageBreakBefore w:val="0"/>
                    <w:suppressLineNumbers w:val="0"/>
                    <w:kinsoku/>
                    <w:wordWrap/>
                    <w:topLinePunct w:val="0"/>
                    <w:autoSpaceDE/>
                    <w:autoSpaceDN/>
                    <w:bidi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2.83</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643" w:type="pct"/>
                  <w:noWrap w:val="0"/>
                  <w:vAlign w:val="center"/>
                </w:tcPr>
                <w:p w14:paraId="66404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lang w:val="en-US" w:eastAsia="zh-CN"/>
                    </w:rPr>
                    <w:t>油烟净化器</w:t>
                  </w:r>
                </w:p>
              </w:tc>
              <w:tc>
                <w:tcPr>
                  <w:tcW w:w="361" w:type="pct"/>
                  <w:noWrap w:val="0"/>
                  <w:vAlign w:val="center"/>
                </w:tcPr>
                <w:p w14:paraId="1993F9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60%</w:t>
                  </w:r>
                </w:p>
              </w:tc>
              <w:tc>
                <w:tcPr>
                  <w:tcW w:w="996" w:type="dxa"/>
                  <w:noWrap w:val="0"/>
                  <w:vAlign w:val="center"/>
                </w:tcPr>
                <w:p w14:paraId="369A4CAE">
                  <w:pPr>
                    <w:keepNext w:val="0"/>
                    <w:keepLines w:val="0"/>
                    <w:pageBreakBefore w:val="0"/>
                    <w:suppressLineNumbers w:val="0"/>
                    <w:kinsoku/>
                    <w:wordWrap/>
                    <w:topLinePunct w:val="0"/>
                    <w:autoSpaceDE/>
                    <w:autoSpaceDN/>
                    <w:bidi w:val="0"/>
                    <w:spacing w:before="0" w:beforeAutospacing="0" w:after="0" w:afterAutospacing="0"/>
                    <w:ind w:left="0" w:leftChars="0" w:right="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1.0188</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1143" w:type="dxa"/>
                  <w:noWrap w:val="0"/>
                  <w:vAlign w:val="center"/>
                </w:tcPr>
                <w:p w14:paraId="721F5325">
                  <w:pPr>
                    <w:keepNext w:val="0"/>
                    <w:keepLines w:val="0"/>
                    <w:pageBreakBefore w:val="0"/>
                    <w:suppressLineNumbers w:val="0"/>
                    <w:kinsoku/>
                    <w:wordWrap/>
                    <w:topLinePunct w:val="0"/>
                    <w:autoSpaceDE/>
                    <w:autoSpaceDN/>
                    <w:bidi w:val="0"/>
                    <w:spacing w:before="0" w:beforeAutospacing="0" w:after="0" w:afterAutospacing="0"/>
                    <w:ind w:left="0" w:leftChars="0" w:right="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1.132</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859" w:type="pct"/>
                  <w:noWrap w:val="0"/>
                  <w:vAlign w:val="center"/>
                </w:tcPr>
                <w:p w14:paraId="6BACA1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《饮食业油烟排放标准（试行）》（GB18483-2001）</w:t>
                  </w:r>
                </w:p>
              </w:tc>
              <w:tc>
                <w:tcPr>
                  <w:tcW w:w="397" w:type="pct"/>
                  <w:noWrap w:val="0"/>
                  <w:vAlign w:val="center"/>
                </w:tcPr>
                <w:p w14:paraId="6E8550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r>
          </w:tbl>
          <w:p w14:paraId="0D894E96">
            <w:pPr>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tc>
      </w:tr>
    </w:tbl>
    <w:p w14:paraId="7D5A3D5E">
      <w:pPr>
        <w:pStyle w:val="67"/>
        <w:spacing w:line="360" w:lineRule="auto"/>
        <w:ind w:firstLine="422"/>
        <w:rPr>
          <w:b/>
          <w:bCs/>
          <w:color w:val="auto"/>
          <w:sz w:val="21"/>
          <w:szCs w:val="21"/>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3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9591"/>
      </w:tblGrid>
      <w:tr w14:paraId="3063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dxa"/>
            <w:noWrap w:val="0"/>
            <w:tcMar>
              <w:left w:w="28" w:type="dxa"/>
              <w:right w:w="28" w:type="dxa"/>
            </w:tcMar>
            <w:vAlign w:val="center"/>
          </w:tcPr>
          <w:p w14:paraId="01DCD7D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 w:val="24"/>
              </w:rPr>
              <w:t>运营期环境影响和保护措施</w:t>
            </w:r>
          </w:p>
        </w:tc>
        <w:tc>
          <w:tcPr>
            <w:tcW w:w="9339" w:type="dxa"/>
            <w:noWrap w:val="0"/>
            <w:vAlign w:val="top"/>
          </w:tcPr>
          <w:p w14:paraId="73EE4007">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kern w:val="0"/>
                <w:sz w:val="24"/>
                <w:szCs w:val="24"/>
                <w:lang w:val="en-US" w:eastAsia="zh-CN" w:bidi="ar"/>
              </w:rPr>
              <w:t>（8）非正常工况污染源分析</w:t>
            </w:r>
          </w:p>
          <w:p w14:paraId="06D84D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环境影响评价技术导则大气环境》（HJ2.2-2018）规定：非正常排放是指生产过程中开停车（工、炉）、设备检修、工艺设备运转异常等非正常工况下的污染物排放，以及污染物控制措施达不到应有效率等情况下的排放。本项目非正常工况设定为：三级活性炭吸附装置故障或活性炭饱和未及时更换，有机废气处理装置不能正常工作，处理效率降低至0%。非正常工况下具体排放情况见下表4-</w:t>
            </w:r>
            <w:r>
              <w:rPr>
                <w:rFonts w:hint="eastAsia" w:ascii="Times New Roman" w:hAnsi="Times New Roman" w:eastAsia="宋体" w:cs="Times New Roman"/>
                <w:color w:val="auto"/>
                <w:kern w:val="0"/>
                <w:sz w:val="24"/>
                <w:szCs w:val="24"/>
                <w:lang w:val="en-US" w:eastAsia="zh-CN" w:bidi="ar"/>
              </w:rPr>
              <w:t>8</w:t>
            </w:r>
            <w:r>
              <w:rPr>
                <w:rFonts w:hint="default" w:ascii="Times New Roman" w:hAnsi="Times New Roman" w:eastAsia="宋体" w:cs="Times New Roman"/>
                <w:color w:val="auto"/>
                <w:kern w:val="0"/>
                <w:sz w:val="24"/>
                <w:szCs w:val="24"/>
                <w:lang w:val="en-US" w:eastAsia="zh-CN" w:bidi="ar"/>
              </w:rPr>
              <w:t>所示。</w:t>
            </w:r>
          </w:p>
          <w:p w14:paraId="5CE154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表4-8  项目非正常工况下排放情况一览表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2934"/>
              <w:gridCol w:w="3967"/>
            </w:tblGrid>
            <w:tr w14:paraId="0ADA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7252E4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排气筒编号</w:t>
                  </w:r>
                </w:p>
              </w:tc>
              <w:tc>
                <w:tcPr>
                  <w:tcW w:w="3686" w:type="pct"/>
                  <w:gridSpan w:val="2"/>
                  <w:noWrap w:val="0"/>
                  <w:vAlign w:val="center"/>
                </w:tcPr>
                <w:p w14:paraId="72A47A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DA001 排气筒</w:t>
                  </w:r>
                </w:p>
              </w:tc>
            </w:tr>
            <w:tr w14:paraId="0687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2D9011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排气筒高度</w:t>
                  </w:r>
                </w:p>
              </w:tc>
              <w:tc>
                <w:tcPr>
                  <w:tcW w:w="3686" w:type="pct"/>
                  <w:gridSpan w:val="2"/>
                  <w:noWrap w:val="0"/>
                  <w:vAlign w:val="center"/>
                </w:tcPr>
                <w:p w14:paraId="0460F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color w:val="auto"/>
                      <w:kern w:val="0"/>
                      <w:sz w:val="21"/>
                      <w:szCs w:val="21"/>
                      <w:lang w:val="en-US" w:eastAsia="zh-CN" w:bidi="ar"/>
                    </w:rPr>
                    <w:t>15m</w:t>
                  </w:r>
                </w:p>
              </w:tc>
            </w:tr>
            <w:tr w14:paraId="407A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741C43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污染源</w:t>
                  </w:r>
                </w:p>
              </w:tc>
              <w:tc>
                <w:tcPr>
                  <w:tcW w:w="3686" w:type="pct"/>
                  <w:gridSpan w:val="2"/>
                  <w:noWrap w:val="0"/>
                  <w:vAlign w:val="center"/>
                </w:tcPr>
                <w:p w14:paraId="52C9D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color w:val="auto"/>
                      <w:kern w:val="0"/>
                      <w:sz w:val="21"/>
                      <w:szCs w:val="21"/>
                      <w:lang w:val="en-US" w:eastAsia="zh-CN" w:bidi="ar"/>
                    </w:rPr>
                    <w:t>注塑过程中产生的有机废气、异味</w:t>
                  </w:r>
                </w:p>
              </w:tc>
            </w:tr>
            <w:tr w14:paraId="57C7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1DE17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污染物名称</w:t>
                  </w:r>
                </w:p>
              </w:tc>
              <w:tc>
                <w:tcPr>
                  <w:tcW w:w="1567" w:type="pct"/>
                  <w:noWrap w:val="0"/>
                  <w:vAlign w:val="center"/>
                </w:tcPr>
                <w:p w14:paraId="0E0CD5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color w:val="auto"/>
                      <w:kern w:val="0"/>
                      <w:sz w:val="21"/>
                      <w:szCs w:val="21"/>
                      <w:lang w:val="en-US" w:eastAsia="zh-CN" w:bidi="ar"/>
                    </w:rPr>
                    <w:t>非甲烷总烃</w:t>
                  </w:r>
                </w:p>
              </w:tc>
              <w:tc>
                <w:tcPr>
                  <w:tcW w:w="2118" w:type="pct"/>
                  <w:noWrap w:val="0"/>
                  <w:vAlign w:val="center"/>
                </w:tcPr>
                <w:p w14:paraId="0BE60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臭气浓度</w:t>
                  </w:r>
                </w:p>
              </w:tc>
            </w:tr>
            <w:tr w14:paraId="1257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2D8384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产生量</w:t>
                  </w:r>
                  <w:r>
                    <w:rPr>
                      <w:rFonts w:hint="eastAsia" w:cs="Times New Roman"/>
                      <w:b/>
                      <w:bCs/>
                      <w:color w:val="auto"/>
                      <w:kern w:val="0"/>
                      <w:sz w:val="21"/>
                      <w:szCs w:val="21"/>
                      <w:lang w:val="en-US" w:eastAsia="zh-CN" w:bidi="ar"/>
                    </w:rPr>
                    <w:t>（</w:t>
                  </w:r>
                  <w:r>
                    <w:rPr>
                      <w:rFonts w:hint="default" w:ascii="Times New Roman" w:hAnsi="Times New Roman" w:eastAsia="宋体" w:cs="Times New Roman"/>
                      <w:b/>
                      <w:bCs/>
                      <w:color w:val="auto"/>
                      <w:kern w:val="0"/>
                      <w:sz w:val="21"/>
                      <w:szCs w:val="21"/>
                      <w:lang w:val="en-US" w:eastAsia="zh-CN" w:bidi="ar"/>
                    </w:rPr>
                    <w:t>t/a）</w:t>
                  </w:r>
                </w:p>
              </w:tc>
              <w:tc>
                <w:tcPr>
                  <w:tcW w:w="1567" w:type="pct"/>
                  <w:noWrap w:val="0"/>
                  <w:vAlign w:val="center"/>
                </w:tcPr>
                <w:p w14:paraId="0F96EF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rPr>
                  </w:pPr>
                  <w:r>
                    <w:rPr>
                      <w:rFonts w:hint="eastAsia" w:cs="Times New Roman"/>
                      <w:color w:val="auto"/>
                      <w:kern w:val="0"/>
                      <w:sz w:val="21"/>
                      <w:szCs w:val="21"/>
                      <w:lang w:val="en-US" w:eastAsia="zh-CN" w:bidi="ar"/>
                    </w:rPr>
                    <w:t>5.2772</w:t>
                  </w:r>
                </w:p>
              </w:tc>
              <w:tc>
                <w:tcPr>
                  <w:tcW w:w="2118" w:type="pct"/>
                  <w:vMerge w:val="restart"/>
                  <w:noWrap w:val="0"/>
                  <w:vAlign w:val="center"/>
                </w:tcPr>
                <w:p w14:paraId="57105B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eastAsia" w:cs="Times New Roman"/>
                      <w:b w:val="0"/>
                      <w:bCs w:val="0"/>
                      <w:color w:val="auto"/>
                      <w:kern w:val="0"/>
                      <w:sz w:val="21"/>
                      <w:szCs w:val="21"/>
                      <w:highlight w:val="none"/>
                      <w:lang w:val="en-US" w:eastAsia="zh-CN" w:bidi="ar"/>
                    </w:rPr>
                    <w:t>1904.2857</w:t>
                  </w:r>
                  <w:r>
                    <w:rPr>
                      <w:rFonts w:hint="default" w:ascii="Times New Roman" w:hAnsi="Times New Roman" w:eastAsia="宋体" w:cs="Times New Roman"/>
                      <w:color w:val="auto"/>
                      <w:kern w:val="0"/>
                      <w:sz w:val="21"/>
                      <w:szCs w:val="21"/>
                      <w:lang w:val="en-US" w:eastAsia="zh-CN" w:bidi="ar"/>
                    </w:rPr>
                    <w:t>（无量纲）</w:t>
                  </w:r>
                </w:p>
              </w:tc>
            </w:tr>
            <w:tr w14:paraId="5194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1F7DEE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产生速率（kg/h）</w:t>
                  </w:r>
                </w:p>
              </w:tc>
              <w:tc>
                <w:tcPr>
                  <w:tcW w:w="1567" w:type="pct"/>
                  <w:noWrap w:val="0"/>
                  <w:vAlign w:val="center"/>
                </w:tcPr>
                <w:p w14:paraId="5B951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rPr>
                  </w:pPr>
                  <w:r>
                    <w:rPr>
                      <w:rFonts w:hint="eastAsia" w:cs="Times New Roman"/>
                      <w:color w:val="auto"/>
                      <w:kern w:val="0"/>
                      <w:sz w:val="21"/>
                      <w:szCs w:val="21"/>
                      <w:lang w:val="en-US" w:eastAsia="zh-CN" w:bidi="ar"/>
                    </w:rPr>
                    <w:t>0.7329</w:t>
                  </w:r>
                </w:p>
              </w:tc>
              <w:tc>
                <w:tcPr>
                  <w:tcW w:w="2118" w:type="pct"/>
                  <w:vMerge w:val="continue"/>
                  <w:noWrap w:val="0"/>
                  <w:vAlign w:val="center"/>
                </w:tcPr>
                <w:p w14:paraId="2F9D5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p>
              </w:tc>
            </w:tr>
            <w:tr w14:paraId="40EC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1BAE17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产生浓度（mg/m</w:t>
                  </w:r>
                  <w:r>
                    <w:rPr>
                      <w:rFonts w:hint="default" w:ascii="Times New Roman" w:hAnsi="Times New Roman" w:eastAsia="宋体" w:cs="Times New Roman"/>
                      <w:b/>
                      <w:bCs/>
                      <w:color w:val="auto"/>
                      <w:kern w:val="0"/>
                      <w:sz w:val="21"/>
                      <w:szCs w:val="21"/>
                      <w:vertAlign w:val="superscript"/>
                      <w:lang w:val="en-US" w:eastAsia="zh-CN" w:bidi="ar"/>
                    </w:rPr>
                    <w:t>3</w:t>
                  </w:r>
                  <w:r>
                    <w:rPr>
                      <w:rFonts w:hint="default" w:ascii="Times New Roman" w:hAnsi="Times New Roman" w:eastAsia="宋体" w:cs="Times New Roman"/>
                      <w:b/>
                      <w:bCs/>
                      <w:color w:val="auto"/>
                      <w:kern w:val="0"/>
                      <w:sz w:val="21"/>
                      <w:szCs w:val="21"/>
                      <w:lang w:val="en-US" w:eastAsia="zh-CN" w:bidi="ar"/>
                    </w:rPr>
                    <w:t>）</w:t>
                  </w:r>
                </w:p>
              </w:tc>
              <w:tc>
                <w:tcPr>
                  <w:tcW w:w="1567" w:type="pct"/>
                  <w:noWrap w:val="0"/>
                  <w:vAlign w:val="center"/>
                </w:tcPr>
                <w:p w14:paraId="4BD04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rPr>
                  </w:pPr>
                  <w:r>
                    <w:rPr>
                      <w:rFonts w:hint="eastAsia" w:cs="Times New Roman"/>
                      <w:color w:val="auto"/>
                      <w:kern w:val="0"/>
                      <w:sz w:val="21"/>
                      <w:szCs w:val="21"/>
                      <w:lang w:val="en-US" w:eastAsia="zh-CN" w:bidi="ar"/>
                    </w:rPr>
                    <w:t>30.5375</w:t>
                  </w:r>
                </w:p>
              </w:tc>
              <w:tc>
                <w:tcPr>
                  <w:tcW w:w="2118" w:type="pct"/>
                  <w:vMerge w:val="continue"/>
                  <w:noWrap w:val="0"/>
                  <w:vAlign w:val="center"/>
                </w:tcPr>
                <w:p w14:paraId="459142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p>
              </w:tc>
            </w:tr>
            <w:tr w14:paraId="13F3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6BDA0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非正常工况设定</w:t>
                  </w:r>
                </w:p>
              </w:tc>
              <w:tc>
                <w:tcPr>
                  <w:tcW w:w="3686" w:type="pct"/>
                  <w:gridSpan w:val="2"/>
                  <w:noWrap w:val="0"/>
                  <w:vAlign w:val="center"/>
                </w:tcPr>
                <w:p w14:paraId="2B28C1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lang w:val="en-US" w:eastAsia="zh-CN" w:bidi="ar"/>
                    </w:rPr>
                    <w:t>三级活性炭处理装置处理效率降至 0%</w:t>
                  </w:r>
                </w:p>
              </w:tc>
            </w:tr>
            <w:tr w14:paraId="39C4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14C3C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出现频率</w:t>
                  </w:r>
                </w:p>
              </w:tc>
              <w:tc>
                <w:tcPr>
                  <w:tcW w:w="3686" w:type="pct"/>
                  <w:gridSpan w:val="2"/>
                  <w:noWrap w:val="0"/>
                  <w:vAlign w:val="center"/>
                </w:tcPr>
                <w:p w14:paraId="44DE9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val="0"/>
                      <w:bCs w:val="0"/>
                      <w:color w:val="auto"/>
                      <w:sz w:val="21"/>
                      <w:szCs w:val="21"/>
                      <w:vertAlign w:val="baseline"/>
                      <w:lang w:val="en-US" w:eastAsia="zh-CN"/>
                    </w:rPr>
                    <w:t>1年/次</w:t>
                  </w:r>
                </w:p>
              </w:tc>
            </w:tr>
            <w:tr w14:paraId="1C54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5A00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单次持续时间</w:t>
                  </w:r>
                </w:p>
              </w:tc>
              <w:tc>
                <w:tcPr>
                  <w:tcW w:w="3686" w:type="pct"/>
                  <w:gridSpan w:val="2"/>
                  <w:noWrap w:val="0"/>
                  <w:vAlign w:val="center"/>
                </w:tcPr>
                <w:p w14:paraId="18EAD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val="0"/>
                      <w:bCs w:val="0"/>
                      <w:color w:val="auto"/>
                      <w:sz w:val="21"/>
                      <w:szCs w:val="21"/>
                      <w:vertAlign w:val="baseline"/>
                      <w:lang w:val="en-US" w:eastAsia="zh-CN"/>
                    </w:rPr>
                    <w:t>1h</w:t>
                  </w:r>
                </w:p>
              </w:tc>
            </w:tr>
            <w:tr w14:paraId="1B55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6CC03F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排放量</w:t>
                  </w:r>
                  <w:r>
                    <w:rPr>
                      <w:rFonts w:hint="eastAsia" w:cs="Times New Roman"/>
                      <w:b/>
                      <w:bCs/>
                      <w:color w:val="auto"/>
                      <w:kern w:val="0"/>
                      <w:sz w:val="21"/>
                      <w:szCs w:val="21"/>
                      <w:lang w:val="en-US" w:eastAsia="zh-CN" w:bidi="ar"/>
                    </w:rPr>
                    <w:t>（</w:t>
                  </w:r>
                  <w:r>
                    <w:rPr>
                      <w:rFonts w:hint="default" w:ascii="Times New Roman" w:hAnsi="Times New Roman" w:eastAsia="宋体" w:cs="Times New Roman"/>
                      <w:b/>
                      <w:bCs/>
                      <w:color w:val="auto"/>
                      <w:kern w:val="0"/>
                      <w:sz w:val="21"/>
                      <w:szCs w:val="21"/>
                      <w:lang w:val="en-US" w:eastAsia="zh-CN" w:bidi="ar"/>
                    </w:rPr>
                    <w:t>t/a）</w:t>
                  </w:r>
                </w:p>
              </w:tc>
              <w:tc>
                <w:tcPr>
                  <w:tcW w:w="1567" w:type="pct"/>
                  <w:noWrap w:val="0"/>
                  <w:vAlign w:val="center"/>
                </w:tcPr>
                <w:p w14:paraId="0753A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eastAsia" w:cs="Times New Roman"/>
                      <w:color w:val="auto"/>
                      <w:kern w:val="0"/>
                      <w:sz w:val="21"/>
                      <w:szCs w:val="21"/>
                      <w:lang w:val="en-US" w:eastAsia="zh-CN" w:bidi="ar"/>
                    </w:rPr>
                    <w:t>5.2772</w:t>
                  </w:r>
                </w:p>
              </w:tc>
              <w:tc>
                <w:tcPr>
                  <w:tcW w:w="2118" w:type="pct"/>
                  <w:vMerge w:val="restart"/>
                  <w:noWrap w:val="0"/>
                  <w:vAlign w:val="center"/>
                </w:tcPr>
                <w:p w14:paraId="38540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kern w:val="0"/>
                      <w:sz w:val="21"/>
                      <w:szCs w:val="21"/>
                      <w:highlight w:val="none"/>
                      <w:lang w:val="en-US" w:eastAsia="zh-CN" w:bidi="ar"/>
                    </w:rPr>
                    <w:t>1904.2857</w:t>
                  </w:r>
                  <w:r>
                    <w:rPr>
                      <w:rFonts w:hint="default" w:ascii="Times New Roman" w:hAnsi="Times New Roman" w:eastAsia="宋体" w:cs="Times New Roman"/>
                      <w:color w:val="auto"/>
                      <w:kern w:val="0"/>
                      <w:sz w:val="21"/>
                      <w:szCs w:val="21"/>
                      <w:lang w:val="en-US" w:eastAsia="zh-CN" w:bidi="ar"/>
                    </w:rPr>
                    <w:t>（无量纲）</w:t>
                  </w:r>
                </w:p>
              </w:tc>
            </w:tr>
            <w:tr w14:paraId="1CFF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7E226C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排放速率（kg/h）</w:t>
                  </w:r>
                </w:p>
              </w:tc>
              <w:tc>
                <w:tcPr>
                  <w:tcW w:w="1567" w:type="pct"/>
                  <w:noWrap w:val="0"/>
                  <w:vAlign w:val="center"/>
                </w:tcPr>
                <w:p w14:paraId="558AC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eastAsia" w:cs="Times New Roman"/>
                      <w:color w:val="auto"/>
                      <w:kern w:val="0"/>
                      <w:sz w:val="21"/>
                      <w:szCs w:val="21"/>
                      <w:lang w:val="en-US" w:eastAsia="zh-CN" w:bidi="ar"/>
                    </w:rPr>
                    <w:t>0.7329</w:t>
                  </w:r>
                </w:p>
              </w:tc>
              <w:tc>
                <w:tcPr>
                  <w:tcW w:w="2118" w:type="pct"/>
                  <w:vMerge w:val="continue"/>
                  <w:noWrap w:val="0"/>
                  <w:vAlign w:val="center"/>
                </w:tcPr>
                <w:p w14:paraId="0FB95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rPr>
                  </w:pPr>
                </w:p>
              </w:tc>
            </w:tr>
            <w:tr w14:paraId="5504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7AA170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排放浓度（mg/m</w:t>
                  </w:r>
                  <w:r>
                    <w:rPr>
                      <w:rFonts w:hint="default" w:ascii="Times New Roman" w:hAnsi="Times New Roman" w:eastAsia="宋体" w:cs="Times New Roman"/>
                      <w:b/>
                      <w:bCs/>
                      <w:color w:val="auto"/>
                      <w:kern w:val="0"/>
                      <w:sz w:val="21"/>
                      <w:szCs w:val="21"/>
                      <w:vertAlign w:val="superscript"/>
                      <w:lang w:val="en-US" w:eastAsia="zh-CN" w:bidi="ar"/>
                    </w:rPr>
                    <w:t>3</w:t>
                  </w:r>
                  <w:r>
                    <w:rPr>
                      <w:rFonts w:hint="default" w:ascii="Times New Roman" w:hAnsi="Times New Roman" w:eastAsia="宋体" w:cs="Times New Roman"/>
                      <w:b/>
                      <w:bCs/>
                      <w:color w:val="auto"/>
                      <w:kern w:val="0"/>
                      <w:sz w:val="21"/>
                      <w:szCs w:val="21"/>
                      <w:lang w:val="en-US" w:eastAsia="zh-CN" w:bidi="ar"/>
                    </w:rPr>
                    <w:t>）</w:t>
                  </w:r>
                </w:p>
              </w:tc>
              <w:tc>
                <w:tcPr>
                  <w:tcW w:w="1567" w:type="pct"/>
                  <w:noWrap w:val="0"/>
                  <w:vAlign w:val="center"/>
                </w:tcPr>
                <w:p w14:paraId="50B5B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kern w:val="2"/>
                      <w:sz w:val="21"/>
                      <w:szCs w:val="21"/>
                      <w:vertAlign w:val="baseline"/>
                      <w:lang w:val="en-US" w:eastAsia="zh-CN" w:bidi="ar-SA"/>
                    </w:rPr>
                  </w:pPr>
                  <w:r>
                    <w:rPr>
                      <w:rFonts w:hint="eastAsia" w:cs="Times New Roman"/>
                      <w:color w:val="auto"/>
                      <w:kern w:val="0"/>
                      <w:sz w:val="21"/>
                      <w:szCs w:val="21"/>
                      <w:lang w:val="en-US" w:eastAsia="zh-CN" w:bidi="ar"/>
                    </w:rPr>
                    <w:t>30.5375</w:t>
                  </w:r>
                </w:p>
              </w:tc>
              <w:tc>
                <w:tcPr>
                  <w:tcW w:w="2118" w:type="pct"/>
                  <w:vMerge w:val="continue"/>
                  <w:noWrap w:val="0"/>
                  <w:vAlign w:val="center"/>
                </w:tcPr>
                <w:p w14:paraId="1DEC61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rPr>
                  </w:pPr>
                </w:p>
              </w:tc>
            </w:tr>
            <w:tr w14:paraId="0A2D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03738A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标准限值</w:t>
                  </w:r>
                </w:p>
              </w:tc>
              <w:tc>
                <w:tcPr>
                  <w:tcW w:w="1567" w:type="pct"/>
                  <w:noWrap w:val="0"/>
                  <w:vAlign w:val="center"/>
                </w:tcPr>
                <w:p w14:paraId="57615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100</w:t>
                  </w:r>
                </w:p>
              </w:tc>
              <w:tc>
                <w:tcPr>
                  <w:tcW w:w="2118" w:type="pct"/>
                  <w:noWrap w:val="0"/>
                  <w:vAlign w:val="center"/>
                </w:tcPr>
                <w:p w14:paraId="5A053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2000（无量纲）</w:t>
                  </w:r>
                </w:p>
              </w:tc>
            </w:tr>
            <w:tr w14:paraId="50A6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1A3ACC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是否超标</w:t>
                  </w:r>
                </w:p>
              </w:tc>
              <w:tc>
                <w:tcPr>
                  <w:tcW w:w="1567" w:type="pct"/>
                  <w:noWrap w:val="0"/>
                  <w:vAlign w:val="center"/>
                </w:tcPr>
                <w:p w14:paraId="6B401E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是</w:t>
                  </w:r>
                </w:p>
              </w:tc>
              <w:tc>
                <w:tcPr>
                  <w:tcW w:w="2118" w:type="pct"/>
                  <w:noWrap w:val="0"/>
                  <w:vAlign w:val="center"/>
                </w:tcPr>
                <w:p w14:paraId="7121A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否</w:t>
                  </w:r>
                </w:p>
              </w:tc>
            </w:tr>
            <w:tr w14:paraId="47C3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3" w:type="pct"/>
                  <w:noWrap w:val="0"/>
                  <w:vAlign w:val="center"/>
                </w:tcPr>
                <w:p w14:paraId="389A46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kern w:val="0"/>
                      <w:sz w:val="21"/>
                      <w:szCs w:val="21"/>
                      <w:lang w:val="en-US" w:eastAsia="zh-CN" w:bidi="ar"/>
                    </w:rPr>
                    <w:t>应对措施</w:t>
                  </w:r>
                </w:p>
              </w:tc>
              <w:tc>
                <w:tcPr>
                  <w:tcW w:w="3686" w:type="pct"/>
                  <w:gridSpan w:val="2"/>
                  <w:noWrap w:val="0"/>
                  <w:vAlign w:val="center"/>
                </w:tcPr>
                <w:p w14:paraId="0F91CE5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val="0"/>
                      <w:bCs w:val="0"/>
                      <w:color w:val="auto"/>
                      <w:kern w:val="0"/>
                      <w:sz w:val="20"/>
                      <w:szCs w:val="20"/>
                      <w:lang w:val="en-US" w:eastAsia="zh-CN" w:bidi="ar"/>
                    </w:rPr>
                    <w:t>立即停止生产，</w:t>
                  </w:r>
                  <w:r>
                    <w:rPr>
                      <w:rFonts w:hint="eastAsia" w:cs="Times New Roman"/>
                      <w:b w:val="0"/>
                      <w:bCs w:val="0"/>
                      <w:color w:val="auto"/>
                      <w:kern w:val="0"/>
                      <w:sz w:val="20"/>
                      <w:szCs w:val="20"/>
                      <w:lang w:val="en-US" w:eastAsia="zh-CN" w:bidi="ar"/>
                    </w:rPr>
                    <w:t>及时</w:t>
                  </w:r>
                  <w:r>
                    <w:rPr>
                      <w:rFonts w:hint="default" w:ascii="Times New Roman" w:hAnsi="Times New Roman" w:eastAsia="宋体" w:cs="Times New Roman"/>
                      <w:b w:val="0"/>
                      <w:bCs w:val="0"/>
                      <w:color w:val="auto"/>
                      <w:kern w:val="0"/>
                      <w:sz w:val="20"/>
                      <w:szCs w:val="20"/>
                      <w:lang w:val="en-US" w:eastAsia="zh-CN" w:bidi="ar"/>
                    </w:rPr>
                    <w:t>更换活性炭，加强吸附装置的维修保养及检修</w:t>
                  </w:r>
                </w:p>
              </w:tc>
            </w:tr>
          </w:tbl>
          <w:p w14:paraId="7C84284A">
            <w:pPr>
              <w:keepNext w:val="0"/>
              <w:keepLines w:val="0"/>
              <w:widowControl/>
              <w:suppressLineNumbers w:val="0"/>
              <w:spacing w:before="120" w:beforeLines="50" w:beforeAutospacing="0" w:after="0" w:afterAutospacing="0" w:line="360" w:lineRule="auto"/>
              <w:ind w:left="0" w:right="0" w:firstLine="480" w:firstLineChars="200"/>
              <w:rPr>
                <w:rFonts w:hint="default" w:ascii="Times New Roman" w:hAnsi="Times New Roman" w:eastAsia="宋体" w:cs="Times New Roman"/>
                <w:color w:val="auto"/>
                <w:kern w:val="0"/>
                <w:sz w:val="24"/>
                <w:lang w:eastAsia="zh-CN" w:bidi="ar"/>
              </w:rPr>
            </w:pPr>
            <w:r>
              <w:rPr>
                <w:rFonts w:hint="default" w:ascii="Times New Roman" w:hAnsi="Times New Roman" w:eastAsia="宋体" w:cs="Times New Roman"/>
                <w:color w:val="auto"/>
                <w:sz w:val="24"/>
                <w:highlight w:val="none"/>
              </w:rPr>
              <w:t>由表4-</w:t>
            </w:r>
            <w:r>
              <w:rPr>
                <w:rFonts w:hint="default"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kern w:val="0"/>
                <w:sz w:val="24"/>
                <w:highlight w:val="none"/>
              </w:rPr>
              <w:t>分析，</w:t>
            </w:r>
            <w:r>
              <w:rPr>
                <w:rFonts w:hint="default" w:ascii="Times New Roman" w:hAnsi="Times New Roman" w:eastAsia="宋体" w:cs="Times New Roman"/>
                <w:color w:val="auto"/>
                <w:kern w:val="0"/>
                <w:sz w:val="24"/>
                <w:szCs w:val="24"/>
                <w:highlight w:val="none"/>
                <w:lang w:val="en-US" w:eastAsia="zh-CN" w:bidi="ar"/>
              </w:rPr>
              <w:t>有机废气处理装置</w:t>
            </w:r>
            <w:r>
              <w:rPr>
                <w:rFonts w:hint="default" w:ascii="Times New Roman" w:hAnsi="Times New Roman" w:eastAsia="宋体" w:cs="Times New Roman"/>
                <w:color w:val="auto"/>
                <w:kern w:val="0"/>
                <w:sz w:val="24"/>
                <w:szCs w:val="24"/>
                <w:lang w:bidi="ar"/>
              </w:rPr>
              <w:t>非正常工况下污染物排放量明显增大</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bidi="ar"/>
              </w:rPr>
              <w:t>区域大气环境负荷加重，建设单位应加强环保设备的运行管理，严格控制废气非</w:t>
            </w:r>
            <w:r>
              <w:rPr>
                <w:rFonts w:hint="default" w:ascii="Times New Roman" w:hAnsi="Times New Roman" w:eastAsia="宋体" w:cs="Times New Roman"/>
                <w:color w:val="auto"/>
                <w:kern w:val="0"/>
                <w:sz w:val="24"/>
                <w:lang w:bidi="ar"/>
              </w:rPr>
              <w:t>正常排放</w:t>
            </w:r>
            <w:r>
              <w:rPr>
                <w:rFonts w:hint="default" w:ascii="Times New Roman" w:hAnsi="Times New Roman" w:eastAsia="宋体" w:cs="Times New Roman"/>
                <w:color w:val="auto"/>
                <w:kern w:val="0"/>
                <w:sz w:val="24"/>
                <w:lang w:eastAsia="zh-CN" w:bidi="ar"/>
              </w:rPr>
              <w:t>。</w:t>
            </w:r>
          </w:p>
          <w:p w14:paraId="25AB3D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为防止生产废气非正常工况排放，企业必须加强废气处理设施的管理，定期检修，确保废气处理设施正常运行，在废气处理设备停止运行或出现故障时，产生废气的各工序也必须相应停止生产。为杜绝废气非正常排放，应采取以下措施：</w:t>
            </w:r>
          </w:p>
          <w:p w14:paraId="109A61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 xml:space="preserve">①安排专人负责环保设备的日常维护和管理，建立环保设备维护管理台账，固定时间检查、汇报情况，及时发现废气处理设施的隐患，确保废气处理设施正常运行； </w:t>
            </w:r>
          </w:p>
          <w:p w14:paraId="141229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 xml:space="preserve">②建立健全的环保管理机构，对环保技术人员进行岗位培训，委托具有专业资质的环境检测单位对项目排放的各类污染物进行定期检测； </w:t>
            </w:r>
          </w:p>
          <w:p w14:paraId="26B904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③应定期维护、检修废气净化装置，定期更换活性炭，以保持废气处理装置的净化能力和净化容量。</w:t>
            </w:r>
          </w:p>
          <w:p w14:paraId="0BF076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w:t>
            </w:r>
            <w:r>
              <w:rPr>
                <w:rFonts w:hint="default" w:ascii="Times New Roman" w:hAnsi="Times New Roman" w:eastAsia="宋体" w:cs="Times New Roman"/>
                <w:b/>
                <w:bCs/>
                <w:color w:val="auto"/>
                <w:sz w:val="24"/>
                <w:lang w:val="en-US" w:eastAsia="zh-CN"/>
              </w:rPr>
              <w:t>9</w:t>
            </w:r>
            <w:r>
              <w:rPr>
                <w:rFonts w:hint="default" w:ascii="Times New Roman" w:hAnsi="Times New Roman" w:eastAsia="宋体" w:cs="Times New Roman"/>
                <w:b/>
                <w:bCs/>
                <w:color w:val="auto"/>
                <w:sz w:val="24"/>
              </w:rPr>
              <w:t>）影响分析</w:t>
            </w:r>
          </w:p>
          <w:p w14:paraId="50B9E32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①</w:t>
            </w:r>
            <w:r>
              <w:rPr>
                <w:rFonts w:hint="default" w:ascii="Times New Roman" w:hAnsi="Times New Roman" w:eastAsia="宋体" w:cs="Times New Roman"/>
                <w:b/>
                <w:bCs/>
                <w:color w:val="auto"/>
                <w:sz w:val="24"/>
              </w:rPr>
              <w:t>项目废气治理设施可行性分析</w:t>
            </w:r>
          </w:p>
          <w:p w14:paraId="0B425C27">
            <w:pPr>
              <w:pStyle w:val="59"/>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ind w:left="0" w:leftChars="0"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hAnsi="Times New Roman" w:cs="Times New Roman"/>
                <w:b/>
                <w:bCs/>
                <w:color w:val="auto"/>
                <w:sz w:val="24"/>
                <w:szCs w:val="24"/>
                <w:lang w:val="en-US" w:eastAsia="zh-CN"/>
              </w:rPr>
              <w:t>A.有组织控制措施可行性分析</w:t>
            </w:r>
          </w:p>
          <w:p w14:paraId="763DFA4E">
            <w:pPr>
              <w:pStyle w:val="59"/>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ind w:left="0" w:leftChars="0" w:firstLine="480"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sz w:val="24"/>
                <w:szCs w:val="24"/>
              </w:rPr>
              <w:t>根据《排污许可证申请与核发技术规范橡胶和塑料制品工业》（HJ1122-2020）表A.2 塑料制品工业排污单位废气污染防治可行技术参考表，项目有组织废气治理措施的可行技术如下表所示：</w:t>
            </w:r>
          </w:p>
          <w:p w14:paraId="2711D1B7">
            <w:pPr>
              <w:keepNext w:val="0"/>
              <w:keepLines w:val="0"/>
              <w:suppressLineNumbers w:val="0"/>
              <w:spacing w:before="0" w:beforeAutospacing="0" w:after="0" w:afterAutospacing="0" w:line="360" w:lineRule="auto"/>
              <w:ind w:left="0" w:right="0" w:firstLine="422" w:firstLineChars="20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default" w:ascii="Times New Roman" w:hAnsi="Times New Roman" w:eastAsia="宋体" w:cs="Times New Roman"/>
                <w:b/>
                <w:bCs/>
                <w:color w:val="auto"/>
                <w:sz w:val="21"/>
                <w:szCs w:val="21"/>
                <w:lang w:val="en-US" w:eastAsia="zh-CN"/>
              </w:rPr>
              <w:t>9</w:t>
            </w:r>
            <w:r>
              <w:rPr>
                <w:rFonts w:hint="default" w:ascii="Times New Roman" w:hAnsi="Times New Roman" w:eastAsia="宋体" w:cs="Times New Roman"/>
                <w:b/>
                <w:bCs/>
                <w:color w:val="auto"/>
                <w:sz w:val="21"/>
                <w:szCs w:val="21"/>
              </w:rPr>
              <w:t xml:space="preserve">  塑料制品工业排污单位废气污染防治可行技术</w:t>
            </w:r>
          </w:p>
          <w:tbl>
            <w:tblPr>
              <w:tblStyle w:val="36"/>
              <w:tblW w:w="9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92"/>
              <w:gridCol w:w="1602"/>
              <w:gridCol w:w="1977"/>
              <w:gridCol w:w="1680"/>
              <w:gridCol w:w="714"/>
            </w:tblGrid>
            <w:tr w14:paraId="326F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392" w:type="dxa"/>
                  <w:noWrap/>
                  <w:tcMar>
                    <w:top w:w="10" w:type="dxa"/>
                    <w:left w:w="10" w:type="dxa"/>
                    <w:right w:w="10" w:type="dxa"/>
                  </w:tcMar>
                  <w:vAlign w:val="center"/>
                </w:tcPr>
                <w:p w14:paraId="634ADF6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产污环节</w:t>
                  </w:r>
                </w:p>
              </w:tc>
              <w:tc>
                <w:tcPr>
                  <w:tcW w:w="1602" w:type="dxa"/>
                  <w:noWrap/>
                  <w:tcMar>
                    <w:top w:w="10" w:type="dxa"/>
                    <w:left w:w="10" w:type="dxa"/>
                    <w:right w:w="10" w:type="dxa"/>
                  </w:tcMar>
                  <w:vAlign w:val="center"/>
                </w:tcPr>
                <w:p w14:paraId="5F9848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主要污染物</w:t>
                  </w:r>
                </w:p>
              </w:tc>
              <w:tc>
                <w:tcPr>
                  <w:tcW w:w="1977" w:type="dxa"/>
                  <w:noWrap/>
                  <w:tcMar>
                    <w:top w:w="10" w:type="dxa"/>
                    <w:left w:w="10" w:type="dxa"/>
                    <w:right w:w="10" w:type="dxa"/>
                  </w:tcMar>
                  <w:vAlign w:val="center"/>
                </w:tcPr>
                <w:p w14:paraId="5734836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可行技术</w:t>
                  </w:r>
                </w:p>
              </w:tc>
              <w:tc>
                <w:tcPr>
                  <w:tcW w:w="1680" w:type="dxa"/>
                  <w:noWrap/>
                  <w:tcMar>
                    <w:top w:w="10" w:type="dxa"/>
                    <w:left w:w="10" w:type="dxa"/>
                    <w:right w:w="10" w:type="dxa"/>
                  </w:tcMar>
                  <w:vAlign w:val="center"/>
                </w:tcPr>
                <w:p w14:paraId="2A0DBC4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本项目治理措施</w:t>
                  </w:r>
                </w:p>
              </w:tc>
              <w:tc>
                <w:tcPr>
                  <w:tcW w:w="714" w:type="dxa"/>
                  <w:noWrap/>
                  <w:tcMar>
                    <w:top w:w="10" w:type="dxa"/>
                    <w:left w:w="10" w:type="dxa"/>
                    <w:right w:w="10" w:type="dxa"/>
                  </w:tcMar>
                  <w:vAlign w:val="center"/>
                </w:tcPr>
                <w:p w14:paraId="1AA4CF2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可行性</w:t>
                  </w:r>
                </w:p>
              </w:tc>
            </w:tr>
            <w:tr w14:paraId="4139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392" w:type="dxa"/>
                  <w:vMerge w:val="restart"/>
                  <w:noWrap/>
                  <w:tcMar>
                    <w:top w:w="10" w:type="dxa"/>
                    <w:left w:w="10" w:type="dxa"/>
                    <w:right w:w="10" w:type="dxa"/>
                  </w:tcMar>
                  <w:vAlign w:val="center"/>
                </w:tcPr>
                <w:p w14:paraId="77F554A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塑料薄膜制造，塑料板、管、型材制造，塑料丝、绳及编制品制造，泡沫塑料制造，塑料包装箱及容器制造，日用塑料制品制造，人造草坪制造，塑料零件及其他塑料制品制造废气</w:t>
                  </w:r>
                </w:p>
              </w:tc>
              <w:tc>
                <w:tcPr>
                  <w:tcW w:w="1602" w:type="dxa"/>
                  <w:noWrap/>
                  <w:tcMar>
                    <w:top w:w="10" w:type="dxa"/>
                    <w:left w:w="10" w:type="dxa"/>
                    <w:right w:w="10" w:type="dxa"/>
                  </w:tcMar>
                  <w:vAlign w:val="center"/>
                </w:tcPr>
                <w:p w14:paraId="7003171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挥发性有机物（以非甲烷总烃计）</w:t>
                  </w:r>
                </w:p>
              </w:tc>
              <w:tc>
                <w:tcPr>
                  <w:tcW w:w="1977" w:type="dxa"/>
                  <w:noWrap/>
                  <w:tcMar>
                    <w:top w:w="10" w:type="dxa"/>
                    <w:left w:w="10" w:type="dxa"/>
                    <w:right w:w="10" w:type="dxa"/>
                  </w:tcMar>
                  <w:vAlign w:val="center"/>
                </w:tcPr>
                <w:p w14:paraId="1883044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喷淋；吸附；吸附浓缩+热力燃烧/催化燃烧 </w:t>
                  </w:r>
                </w:p>
              </w:tc>
              <w:tc>
                <w:tcPr>
                  <w:tcW w:w="1680" w:type="dxa"/>
                  <w:vMerge w:val="restart"/>
                  <w:noWrap/>
                  <w:tcMar>
                    <w:top w:w="10" w:type="dxa"/>
                    <w:left w:w="10" w:type="dxa"/>
                    <w:right w:w="10" w:type="dxa"/>
                  </w:tcMar>
                  <w:vAlign w:val="center"/>
                </w:tcPr>
                <w:p w14:paraId="1B5B669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集气罩+三级活性炭吸附</w:t>
                  </w:r>
                  <w:r>
                    <w:rPr>
                      <w:rFonts w:hint="eastAsia" w:ascii="Times New Roman" w:hAnsi="Times New Roman" w:eastAsia="宋体" w:cs="Times New Roman"/>
                      <w:color w:val="auto"/>
                      <w:sz w:val="21"/>
                      <w:szCs w:val="21"/>
                      <w:lang w:val="en-US" w:eastAsia="zh-CN"/>
                    </w:rPr>
                    <w:t>装置</w:t>
                  </w:r>
                </w:p>
              </w:tc>
              <w:tc>
                <w:tcPr>
                  <w:tcW w:w="714" w:type="dxa"/>
                  <w:vMerge w:val="restart"/>
                  <w:noWrap/>
                  <w:tcMar>
                    <w:top w:w="10" w:type="dxa"/>
                    <w:left w:w="10" w:type="dxa"/>
                    <w:right w:w="10" w:type="dxa"/>
                  </w:tcMar>
                  <w:vAlign w:val="center"/>
                </w:tcPr>
                <w:p w14:paraId="749C367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可行</w:t>
                  </w:r>
                </w:p>
              </w:tc>
            </w:tr>
            <w:tr w14:paraId="2D05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392" w:type="dxa"/>
                  <w:vMerge w:val="continue"/>
                  <w:noWrap/>
                  <w:tcMar>
                    <w:top w:w="10" w:type="dxa"/>
                    <w:left w:w="10" w:type="dxa"/>
                    <w:right w:w="10" w:type="dxa"/>
                  </w:tcMar>
                  <w:vAlign w:val="center"/>
                </w:tcPr>
                <w:p w14:paraId="283E2CC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1602" w:type="dxa"/>
                  <w:noWrap/>
                  <w:tcMar>
                    <w:top w:w="10" w:type="dxa"/>
                    <w:left w:w="10" w:type="dxa"/>
                    <w:right w:w="10" w:type="dxa"/>
                  </w:tcMar>
                  <w:vAlign w:val="center"/>
                </w:tcPr>
                <w:p w14:paraId="6A018AF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臭气浓度、恶臭特征物质</w:t>
                  </w:r>
                </w:p>
              </w:tc>
              <w:tc>
                <w:tcPr>
                  <w:tcW w:w="1977" w:type="dxa"/>
                  <w:noWrap/>
                  <w:tcMar>
                    <w:top w:w="10" w:type="dxa"/>
                    <w:left w:w="10" w:type="dxa"/>
                    <w:right w:w="10" w:type="dxa"/>
                  </w:tcMar>
                  <w:vAlign w:val="center"/>
                </w:tcPr>
                <w:p w14:paraId="153A0EE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喷淋、吸附、低温等离子体、UV光氧化/光催化、生物法两种及以上组合技术</w:t>
                  </w:r>
                </w:p>
              </w:tc>
              <w:tc>
                <w:tcPr>
                  <w:tcW w:w="1680" w:type="dxa"/>
                  <w:vMerge w:val="continue"/>
                  <w:noWrap/>
                  <w:tcMar>
                    <w:top w:w="10" w:type="dxa"/>
                    <w:left w:w="10" w:type="dxa"/>
                    <w:right w:w="10" w:type="dxa"/>
                  </w:tcMar>
                  <w:vAlign w:val="center"/>
                </w:tcPr>
                <w:p w14:paraId="3149C9E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714" w:type="dxa"/>
                  <w:vMerge w:val="continue"/>
                  <w:noWrap/>
                  <w:tcMar>
                    <w:top w:w="10" w:type="dxa"/>
                    <w:left w:w="10" w:type="dxa"/>
                    <w:right w:w="10" w:type="dxa"/>
                  </w:tcMar>
                  <w:vAlign w:val="center"/>
                </w:tcPr>
                <w:p w14:paraId="4EB838B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r>
          </w:tbl>
          <w:p w14:paraId="5F9675F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项目</w:t>
            </w:r>
            <w:r>
              <w:rPr>
                <w:rFonts w:hint="default" w:ascii="Times New Roman" w:hAnsi="Times New Roman" w:eastAsia="宋体" w:cs="Times New Roman"/>
                <w:b w:val="0"/>
                <w:bCs w:val="0"/>
                <w:color w:val="auto"/>
                <w:sz w:val="24"/>
                <w:lang w:val="en-US" w:eastAsia="zh-CN"/>
              </w:rPr>
              <w:t>注塑</w:t>
            </w:r>
            <w:r>
              <w:rPr>
                <w:rFonts w:hint="default" w:ascii="Times New Roman" w:hAnsi="Times New Roman" w:eastAsia="宋体" w:cs="Times New Roman"/>
                <w:b w:val="0"/>
                <w:bCs w:val="0"/>
                <w:color w:val="auto"/>
                <w:sz w:val="24"/>
              </w:rPr>
              <w:t>工序产生的有机废气（以非甲烷总烃计）经</w:t>
            </w:r>
            <w:r>
              <w:rPr>
                <w:rFonts w:hint="default" w:ascii="Times New Roman" w:hAnsi="Times New Roman" w:eastAsia="宋体" w:cs="Times New Roman"/>
                <w:b w:val="0"/>
                <w:bCs w:val="0"/>
                <w:color w:val="auto"/>
                <w:sz w:val="24"/>
                <w:lang w:val="en-US" w:eastAsia="zh-CN"/>
              </w:rPr>
              <w:t>注塑</w:t>
            </w:r>
            <w:r>
              <w:rPr>
                <w:rFonts w:hint="default" w:ascii="Times New Roman" w:hAnsi="Times New Roman" w:eastAsia="宋体" w:cs="Times New Roman"/>
                <w:b w:val="0"/>
                <w:bCs w:val="0"/>
                <w:color w:val="auto"/>
                <w:sz w:val="24"/>
              </w:rPr>
              <w:t>机上方设置的集气罩收集进入1套</w:t>
            </w:r>
            <w:r>
              <w:rPr>
                <w:rFonts w:hint="default" w:ascii="Times New Roman" w:hAnsi="Times New Roman" w:eastAsia="宋体" w:cs="Times New Roman"/>
                <w:b w:val="0"/>
                <w:bCs w:val="0"/>
                <w:color w:val="auto"/>
                <w:sz w:val="24"/>
                <w:lang w:val="en-US" w:eastAsia="zh-CN"/>
              </w:rPr>
              <w:t>三级活性炭吸附装置</w:t>
            </w:r>
            <w:r>
              <w:rPr>
                <w:rFonts w:hint="default" w:ascii="Times New Roman" w:hAnsi="Times New Roman" w:eastAsia="宋体" w:cs="Times New Roman"/>
                <w:b w:val="0"/>
                <w:bCs w:val="0"/>
                <w:color w:val="auto"/>
                <w:sz w:val="24"/>
              </w:rPr>
              <w:t>处理后经1根15m高排气筒（DA001）排放</w:t>
            </w:r>
            <w:r>
              <w:rPr>
                <w:rFonts w:hint="eastAsia" w:cs="Times New Roman"/>
                <w:b w:val="0"/>
                <w:bCs w:val="0"/>
                <w:color w:val="auto"/>
                <w:sz w:val="24"/>
                <w:lang w:eastAsia="zh-CN"/>
              </w:rPr>
              <w:t>，</w:t>
            </w:r>
            <w:r>
              <w:rPr>
                <w:rFonts w:hint="eastAsia" w:cs="Times New Roman"/>
                <w:b w:val="0"/>
                <w:bCs w:val="0"/>
                <w:color w:val="auto"/>
                <w:sz w:val="24"/>
                <w:lang w:val="en-US" w:eastAsia="zh-CN"/>
              </w:rPr>
              <w:t>技术可行</w:t>
            </w:r>
            <w:r>
              <w:rPr>
                <w:rFonts w:hint="default" w:ascii="Times New Roman" w:hAnsi="Times New Roman" w:eastAsia="宋体" w:cs="Times New Roman"/>
                <w:b w:val="0"/>
                <w:bCs w:val="0"/>
                <w:color w:val="auto"/>
                <w:sz w:val="24"/>
              </w:rPr>
              <w:t>。根据污染源强核算，</w:t>
            </w:r>
            <w:r>
              <w:rPr>
                <w:rFonts w:hint="default" w:ascii="Times New Roman" w:hAnsi="Times New Roman" w:eastAsia="宋体" w:cs="Times New Roman"/>
                <w:b w:val="0"/>
                <w:bCs w:val="0"/>
                <w:color w:val="auto"/>
                <w:sz w:val="24"/>
                <w:lang w:val="en-US" w:eastAsia="zh-CN"/>
              </w:rPr>
              <w:t>注塑</w:t>
            </w:r>
            <w:r>
              <w:rPr>
                <w:rFonts w:hint="default" w:ascii="Times New Roman" w:hAnsi="Times New Roman" w:eastAsia="宋体" w:cs="Times New Roman"/>
                <w:b w:val="0"/>
                <w:bCs w:val="0"/>
                <w:color w:val="auto"/>
                <w:sz w:val="24"/>
              </w:rPr>
              <w:t>过程产生的非甲烷总烃计经</w:t>
            </w:r>
            <w:r>
              <w:rPr>
                <w:rFonts w:hint="default" w:ascii="Times New Roman" w:hAnsi="Times New Roman" w:eastAsia="宋体" w:cs="Times New Roman"/>
                <w:b w:val="0"/>
                <w:bCs w:val="0"/>
                <w:color w:val="auto"/>
                <w:sz w:val="24"/>
                <w:lang w:val="en-US" w:eastAsia="zh-CN"/>
              </w:rPr>
              <w:t>三级活性炭吸附装置</w:t>
            </w:r>
            <w:r>
              <w:rPr>
                <w:rFonts w:hint="default" w:ascii="Times New Roman" w:hAnsi="Times New Roman" w:eastAsia="宋体" w:cs="Times New Roman"/>
                <w:b w:val="0"/>
                <w:bCs w:val="0"/>
                <w:color w:val="auto"/>
                <w:sz w:val="24"/>
              </w:rPr>
              <w:t>处理后可达标排放。因此，项目有组织废气采取的治理措施是可行的。</w:t>
            </w:r>
          </w:p>
          <w:p w14:paraId="4D091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cs="Times New Roman"/>
                <w:b/>
                <w:bCs/>
                <w:color w:val="auto"/>
                <w:sz w:val="24"/>
                <w:lang w:val="en-US" w:eastAsia="zh-CN"/>
              </w:rPr>
            </w:pPr>
            <w:r>
              <w:rPr>
                <w:rFonts w:hint="eastAsia" w:cs="Times New Roman"/>
                <w:b/>
                <w:bCs/>
                <w:color w:val="auto"/>
                <w:sz w:val="24"/>
                <w:lang w:val="en-US" w:eastAsia="zh-CN"/>
              </w:rPr>
              <w:t>B.无组织控制措施可行性分析</w:t>
            </w:r>
          </w:p>
          <w:p w14:paraId="32380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s="Times New Roman"/>
                <w:b w:val="0"/>
                <w:bCs w:val="0"/>
                <w:color w:val="auto"/>
                <w:sz w:val="24"/>
                <w:lang w:val="en-US" w:eastAsia="zh-CN"/>
              </w:rPr>
            </w:pPr>
            <w:r>
              <w:rPr>
                <w:rFonts w:hint="default" w:cs="Times New Roman"/>
                <w:b w:val="0"/>
                <w:bCs w:val="0"/>
                <w:color w:val="auto"/>
                <w:sz w:val="24"/>
                <w:lang w:val="en-US" w:eastAsia="zh-CN"/>
              </w:rPr>
              <w:t>本项目颗粒物无组织来源主要为人工投料、拌料、</w:t>
            </w:r>
            <w:r>
              <w:rPr>
                <w:rFonts w:hint="eastAsia" w:cs="Times New Roman"/>
                <w:b w:val="0"/>
                <w:bCs w:val="0"/>
                <w:color w:val="auto"/>
                <w:sz w:val="24"/>
                <w:lang w:val="en-US" w:eastAsia="zh-CN"/>
              </w:rPr>
              <w:t>生产废料及</w:t>
            </w:r>
            <w:r>
              <w:rPr>
                <w:rFonts w:hint="default" w:cs="Times New Roman"/>
                <w:b w:val="0"/>
                <w:bCs w:val="0"/>
                <w:color w:val="auto"/>
                <w:sz w:val="24"/>
                <w:lang w:val="en-US" w:eastAsia="zh-CN"/>
              </w:rPr>
              <w:t>不合格产品间歇破碎工序产生的少量粉尘，项目颗粒物无组织控制主要依靠厂房密闭沉降+厂区绿化消减的方式控制无组织粉尘排放。项目生产车间为密闭钢结构厂房，生产工序全部布置于厂房内部，车间墙体、门窗完整密闭，粉尘产生在封闭厂房空间内，产生的颗粒物大部分在厂房内重力沉降，减少粉尘向外逸散；同时厂区厂房周边设置绿化隔离带，种植乔木、灌木，利用植被的阻滞、吸附作用，进一步消减向外逸散的少量颗粒物，降低颗粒物无组织对外环境贡献。本项目产尘环节产尘量小、作业间歇时间短，依靠厂房密闭沉降结合厂区绿化消减的控制方式，技术简单成熟、经济可行，可有效控制颗粒物无组织对外环境影响，因此项目颗粒物无组织控制措施具备可行性。</w:t>
            </w:r>
          </w:p>
          <w:p w14:paraId="16384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②</w:t>
            </w:r>
            <w:r>
              <w:rPr>
                <w:rFonts w:hint="default" w:ascii="Times New Roman" w:hAnsi="Times New Roman" w:eastAsia="宋体" w:cs="Times New Roman"/>
                <w:b/>
                <w:bCs/>
                <w:color w:val="auto"/>
                <w:sz w:val="24"/>
              </w:rPr>
              <w:t>排气筒设置合理性分析</w:t>
            </w:r>
          </w:p>
          <w:p w14:paraId="0B77F761">
            <w:pPr>
              <w:pStyle w:val="79"/>
              <w:keepNext w:val="0"/>
              <w:keepLines w:val="0"/>
              <w:suppressLineNumbers w:val="0"/>
              <w:adjustRightInd/>
              <w:spacing w:before="0" w:beforeAutospacing="0" w:after="0" w:afterAutospacing="0"/>
              <w:ind w:left="0" w:right="0" w:firstLine="482"/>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w:t>
            </w:r>
            <w:r>
              <w:rPr>
                <w:rFonts w:hint="default" w:ascii="Times New Roman" w:hAnsi="Times New Roman" w:eastAsia="宋体" w:cs="Times New Roman"/>
                <w:color w:val="auto"/>
                <w:sz w:val="24"/>
                <w:lang w:val="en-US" w:eastAsia="zh-CN"/>
              </w:rPr>
              <w:t>注塑</w:t>
            </w:r>
            <w:r>
              <w:rPr>
                <w:rFonts w:hint="default" w:ascii="Times New Roman" w:hAnsi="Times New Roman" w:eastAsia="宋体" w:cs="Times New Roman"/>
                <w:color w:val="auto"/>
                <w:sz w:val="24"/>
              </w:rPr>
              <w:t>工序产生的非甲烷总烃经</w:t>
            </w:r>
            <w:r>
              <w:rPr>
                <w:rFonts w:hint="default" w:ascii="Times New Roman" w:hAnsi="Times New Roman" w:eastAsia="宋体" w:cs="Times New Roman"/>
                <w:color w:val="auto"/>
                <w:sz w:val="24"/>
                <w:lang w:val="en-US" w:eastAsia="zh-CN"/>
              </w:rPr>
              <w:t>注塑</w:t>
            </w:r>
            <w:r>
              <w:rPr>
                <w:rFonts w:hint="default" w:ascii="Times New Roman" w:hAnsi="Times New Roman" w:eastAsia="宋体" w:cs="Times New Roman"/>
                <w:color w:val="auto"/>
                <w:sz w:val="24"/>
              </w:rPr>
              <w:t>机上方设置的集气罩收集进入1套</w:t>
            </w:r>
            <w:r>
              <w:rPr>
                <w:rFonts w:hint="default" w:ascii="Times New Roman" w:hAnsi="Times New Roman" w:eastAsia="宋体" w:cs="Times New Roman"/>
                <w:color w:val="auto"/>
                <w:sz w:val="24"/>
                <w:lang w:val="en-US" w:eastAsia="zh-CN"/>
              </w:rPr>
              <w:t>三级活性炭吸附装置</w:t>
            </w:r>
            <w:r>
              <w:rPr>
                <w:rFonts w:hint="default" w:ascii="Times New Roman" w:hAnsi="Times New Roman" w:eastAsia="宋体" w:cs="Times New Roman"/>
                <w:color w:val="auto"/>
                <w:sz w:val="24"/>
              </w:rPr>
              <w:t>处理后经1根15m高排气筒（DA001）排放。根据《合成树脂工业污染物排放标准》（GB31572-2015含2024年修改单）5.4.2要求，排气筒高度不低于15 m（因安全考虑或有特殊工艺要求的，以及装置区污水池处理设施除外）。项目为塑料制品业，无特殊工艺要求，也不涉及装置区污水池处理设施，排气筒高度设置为15m满足要求。因此，项目排气筒设置是合理的。</w:t>
            </w:r>
          </w:p>
          <w:p w14:paraId="20426C8E">
            <w:pPr>
              <w:pStyle w:val="79"/>
              <w:keepNext w:val="0"/>
              <w:keepLines w:val="0"/>
              <w:suppressLineNumbers w:val="0"/>
              <w:adjustRightInd/>
              <w:spacing w:before="0" w:beforeAutospacing="0" w:after="0" w:afterAutospacing="0"/>
              <w:ind w:left="0" w:right="0" w:firstLine="482"/>
              <w:rPr>
                <w:rFonts w:hint="default" w:ascii="Times New Roman" w:hAnsi="Times New Roman"/>
                <w:caps w:val="0"/>
                <w:smallCaps w:val="0"/>
                <w:color w:val="auto"/>
                <w:sz w:val="24"/>
              </w:rPr>
            </w:pPr>
            <w:r>
              <w:rPr>
                <w:rFonts w:hint="default" w:ascii="Times New Roman" w:hAnsi="Times New Roman" w:eastAsia="宋体" w:cs="Times New Roman"/>
                <w:b/>
                <w:bCs/>
                <w:color w:val="auto"/>
                <w:kern w:val="0"/>
                <w:sz w:val="24"/>
                <w:szCs w:val="24"/>
                <w:lang w:val="en-US" w:eastAsia="zh-CN" w:bidi="ar"/>
              </w:rPr>
              <w:t>③</w:t>
            </w:r>
            <w:r>
              <w:rPr>
                <w:rFonts w:hint="default" w:ascii="Times New Roman" w:hAnsi="Times New Roman" w:eastAsia="宋体" w:cs="Times New Roman"/>
                <w:b/>
                <w:bCs/>
                <w:color w:val="auto"/>
              </w:rPr>
              <w:t>废气达标情况</w:t>
            </w:r>
          </w:p>
          <w:p w14:paraId="300B92A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b/>
                <w:bCs/>
                <w:caps w:val="0"/>
                <w:smallCaps w:val="0"/>
                <w:color w:val="auto"/>
                <w:sz w:val="24"/>
                <w:lang w:val="en-US" w:eastAsia="zh-CN"/>
              </w:rPr>
            </w:pPr>
            <w:r>
              <w:rPr>
                <w:rFonts w:hint="eastAsia" w:ascii="Times New Roman" w:hAnsi="Times New Roman"/>
                <w:b/>
                <w:bCs/>
                <w:caps w:val="0"/>
                <w:smallCaps w:val="0"/>
                <w:color w:val="auto"/>
                <w:sz w:val="24"/>
                <w:lang w:val="en-US" w:eastAsia="zh-CN"/>
              </w:rPr>
              <w:t>A.</w:t>
            </w:r>
            <w:r>
              <w:rPr>
                <w:rFonts w:hint="eastAsia"/>
                <w:b/>
                <w:bCs/>
                <w:caps w:val="0"/>
                <w:smallCaps w:val="0"/>
                <w:color w:val="auto"/>
                <w:sz w:val="24"/>
                <w:lang w:val="en-US" w:eastAsia="zh-CN"/>
              </w:rPr>
              <w:t>有组织达标分析</w:t>
            </w:r>
          </w:p>
          <w:p w14:paraId="1F041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b/>
                <w:bCs/>
                <w:color w:val="auto"/>
                <w:sz w:val="24"/>
                <w:lang w:val="en-US" w:eastAsia="zh-CN"/>
              </w:rPr>
            </w:pPr>
            <w:r>
              <w:rPr>
                <w:rFonts w:hint="eastAsia" w:ascii="Times New Roman" w:hAnsi="Times New Roman" w:eastAsia="Times New Roman" w:cs="宋体"/>
                <w:color w:val="auto"/>
                <w:sz w:val="24"/>
                <w:szCs w:val="24"/>
                <w:lang w:val="en-US" w:eastAsia="zh-CN"/>
              </w:rPr>
              <w:t>项目热熔、注塑产生的有机废气、异味经集气罩收集+三级活性炭吸附装置净化处理后通过15米的排气筒（DA001）排放。经上述计算结果分析，项目生产过程有组织排放挥发性有机物（</w:t>
            </w:r>
            <w:r>
              <w:rPr>
                <w:rFonts w:hint="eastAsia" w:ascii="Times New Roman" w:hAnsi="Times New Roman" w:eastAsia="Times New Roman" w:cs="宋体"/>
                <w:color w:val="auto"/>
                <w:sz w:val="24"/>
                <w:szCs w:val="24"/>
              </w:rPr>
              <w:t>以非甲烷总烃计）排放浓度为</w:t>
            </w:r>
            <w:r>
              <w:rPr>
                <w:rFonts w:hint="eastAsia" w:cs="Times New Roman"/>
                <w:color w:val="auto"/>
                <w:kern w:val="0"/>
                <w:sz w:val="24"/>
                <w:szCs w:val="24"/>
                <w:highlight w:val="none"/>
                <w:lang w:val="en-US" w:eastAsia="zh-CN" w:bidi="ar"/>
              </w:rPr>
              <w:t>14.9625</w:t>
            </w:r>
            <w:r>
              <w:rPr>
                <w:rFonts w:hint="eastAsia" w:ascii="Times New Roman" w:hAnsi="Times New Roman" w:eastAsia="Times New Roman" w:cs="宋体"/>
                <w:color w:val="auto"/>
                <w:sz w:val="24"/>
                <w:szCs w:val="24"/>
              </w:rPr>
              <w:t>mg/m</w:t>
            </w:r>
            <w:r>
              <w:rPr>
                <w:rFonts w:hint="eastAsia" w:ascii="Times New Roman" w:hAnsi="Times New Roman" w:eastAsia="Times New Roman" w:cs="宋体"/>
                <w:color w:val="auto"/>
                <w:sz w:val="24"/>
                <w:szCs w:val="24"/>
                <w:vertAlign w:val="superscript"/>
              </w:rPr>
              <w:t>3</w:t>
            </w:r>
            <w:r>
              <w:rPr>
                <w:rFonts w:hint="eastAsia" w:ascii="Times New Roman" w:hAnsi="Times New Roman" w:eastAsia="Times New Roman" w:cs="宋体"/>
                <w:color w:val="auto"/>
                <w:sz w:val="24"/>
                <w:szCs w:val="24"/>
              </w:rPr>
              <w:t>，满足</w:t>
            </w:r>
            <w:r>
              <w:rPr>
                <w:rFonts w:hint="eastAsia" w:ascii="Times New Roman" w:hAnsi="Times New Roman" w:eastAsia="宋体" w:cs="宋体"/>
                <w:color w:val="auto"/>
                <w:sz w:val="24"/>
                <w:szCs w:val="24"/>
                <w:lang w:eastAsia="zh-CN"/>
              </w:rPr>
              <w:t>《合成树脂工业污染物排放标准》（GB 31572-2015，含2024年修改单）</w:t>
            </w:r>
            <w:r>
              <w:rPr>
                <w:rFonts w:hint="eastAsia" w:ascii="Times New Roman" w:hAnsi="Times New Roman" w:eastAsia="Times New Roman" w:cs="宋体"/>
                <w:color w:val="auto"/>
                <w:sz w:val="24"/>
                <w:szCs w:val="24"/>
              </w:rPr>
              <w:t>表4中规定限值要求，即非甲烷总烃排放浓度≤100mg/m³。</w:t>
            </w:r>
            <w:r>
              <w:rPr>
                <w:rFonts w:hint="eastAsia" w:ascii="Times New Roman" w:hAnsi="Times New Roman" w:eastAsia="宋体" w:cs="宋体"/>
                <w:color w:val="auto"/>
                <w:sz w:val="24"/>
                <w:szCs w:val="24"/>
                <w:lang w:val="en-US" w:eastAsia="zh-CN"/>
              </w:rPr>
              <w:t>结合</w:t>
            </w:r>
            <w:r>
              <w:rPr>
                <w:rFonts w:hint="eastAsia" w:ascii="Times New Roman" w:hAnsi="Times New Roman" w:eastAsia="Times New Roman" w:cs="宋体"/>
                <w:color w:val="auto"/>
                <w:sz w:val="24"/>
                <w:szCs w:val="24"/>
              </w:rPr>
              <w:t>类比同类注塑项目竣工监测结果，</w:t>
            </w:r>
            <w:r>
              <w:rPr>
                <w:rFonts w:hint="eastAsia" w:ascii="Times New Roman" w:hAnsi="Times New Roman" w:eastAsia="Times New Roman" w:cs="宋体"/>
                <w:color w:val="auto"/>
                <w:sz w:val="24"/>
                <w:szCs w:val="24"/>
                <w:lang w:val="en-US" w:eastAsia="zh-CN"/>
              </w:rPr>
              <w:t>异味经活性炭净化处理后</w:t>
            </w:r>
            <w:r>
              <w:rPr>
                <w:rFonts w:hint="eastAsia" w:ascii="Times New Roman" w:hAnsi="Times New Roman" w:eastAsia="Times New Roman" w:cs="宋体"/>
                <w:bCs/>
                <w:color w:val="auto"/>
                <w:kern w:val="21"/>
                <w:sz w:val="24"/>
                <w:lang w:val="en-US" w:eastAsia="zh-CN"/>
              </w:rPr>
              <w:t>排放浓度可</w:t>
            </w:r>
            <w:r>
              <w:rPr>
                <w:rFonts w:hint="eastAsia" w:ascii="Times New Roman" w:hAnsi="Times New Roman" w:eastAsia="Times New Roman" w:cs="宋体"/>
                <w:bCs/>
                <w:color w:val="auto"/>
                <w:kern w:val="21"/>
                <w:sz w:val="24"/>
                <w:lang w:eastAsia="zh-CN"/>
              </w:rPr>
              <w:t>满足《恶臭污染物排放标准》（GB14554-93）表</w:t>
            </w:r>
            <w:r>
              <w:rPr>
                <w:rFonts w:hint="eastAsia" w:ascii="Times New Roman" w:hAnsi="Times New Roman" w:eastAsia="Times New Roman" w:cs="宋体"/>
                <w:bCs/>
                <w:color w:val="auto"/>
                <w:kern w:val="21"/>
                <w:sz w:val="24"/>
                <w:lang w:val="en-US" w:eastAsia="zh-CN"/>
              </w:rPr>
              <w:t>2</w:t>
            </w:r>
            <w:r>
              <w:rPr>
                <w:rFonts w:hint="eastAsia" w:ascii="Times New Roman" w:hAnsi="Times New Roman" w:eastAsia="Times New Roman" w:cs="宋体"/>
                <w:bCs/>
                <w:color w:val="auto"/>
                <w:kern w:val="21"/>
                <w:sz w:val="24"/>
                <w:lang w:eastAsia="zh-CN"/>
              </w:rPr>
              <w:t>排放标准值的要求。</w:t>
            </w:r>
            <w:r>
              <w:rPr>
                <w:rFonts w:hint="eastAsia" w:ascii="Times New Roman" w:hAnsi="Times New Roman" w:eastAsia="Times New Roman" w:cs="宋体"/>
                <w:color w:val="auto"/>
                <w:sz w:val="24"/>
                <w:szCs w:val="24"/>
              </w:rPr>
              <w:t>由此可知，在采取本环评提出的废气污染治理措施的前提下，废气有组织排放可实现达标排放，不会对周围大气环境产生明显影响。</w:t>
            </w:r>
          </w:p>
          <w:p w14:paraId="371F9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b/>
                <w:caps w:val="0"/>
                <w:smallCaps w:val="0"/>
                <w:color w:val="auto"/>
                <w:sz w:val="24"/>
                <w:szCs w:val="20"/>
                <w:lang w:val="en-US" w:eastAsia="zh-CN"/>
              </w:rPr>
            </w:pPr>
            <w:r>
              <w:rPr>
                <w:rFonts w:hint="eastAsia"/>
                <w:b/>
                <w:bCs/>
                <w:color w:val="auto"/>
                <w:sz w:val="24"/>
                <w:lang w:val="en-US" w:eastAsia="zh-CN"/>
              </w:rPr>
              <w:t>B</w:t>
            </w:r>
            <w:r>
              <w:rPr>
                <w:rFonts w:hint="eastAsia" w:ascii="Times New Roman" w:hAnsi="Times New Roman"/>
                <w:b/>
                <w:bCs/>
                <w:caps w:val="0"/>
                <w:smallCaps w:val="0"/>
                <w:color w:val="auto"/>
                <w:sz w:val="24"/>
                <w:lang w:val="en-US" w:eastAsia="zh-CN"/>
              </w:rPr>
              <w:t>.</w:t>
            </w:r>
            <w:r>
              <w:rPr>
                <w:rFonts w:hint="eastAsia"/>
                <w:b/>
                <w:bCs/>
                <w:caps w:val="0"/>
                <w:smallCaps w:val="0"/>
                <w:color w:val="auto"/>
                <w:sz w:val="24"/>
                <w:lang w:val="en-US" w:eastAsia="zh-CN"/>
              </w:rPr>
              <w:t>无组织达标分析</w:t>
            </w:r>
          </w:p>
          <w:p w14:paraId="7F16B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eastAsia="Times New Roman" w:cs="宋体"/>
                <w:color w:val="auto"/>
                <w:sz w:val="24"/>
                <w:szCs w:val="24"/>
              </w:rPr>
              <w:t>根据</w:t>
            </w:r>
            <w:r>
              <w:rPr>
                <w:rFonts w:hint="default" w:ascii="Times New Roman" w:hAnsi="Times New Roman" w:eastAsia="Times New Roman" w:cs="Times New Roman"/>
                <w:color w:val="auto"/>
                <w:sz w:val="24"/>
                <w:szCs w:val="24"/>
                <w:lang w:eastAsia="zh-CN"/>
              </w:rPr>
              <w:t>AERSCREEN估算模型预测</w:t>
            </w:r>
            <w:r>
              <w:rPr>
                <w:rFonts w:hint="default" w:ascii="Times New Roman" w:hAnsi="Times New Roman" w:eastAsia="宋体" w:cs="Times New Roman"/>
                <w:caps w:val="0"/>
                <w:smallCaps w:val="0"/>
                <w:color w:val="auto"/>
                <w:sz w:val="24"/>
                <w:highlight w:val="none"/>
              </w:rPr>
              <w:t>，项</w:t>
            </w:r>
            <w:r>
              <w:rPr>
                <w:rFonts w:hint="default" w:ascii="Times New Roman" w:hAnsi="Times New Roman" w:eastAsia="宋体" w:cs="Times New Roman"/>
                <w:b w:val="0"/>
                <w:bCs w:val="0"/>
                <w:caps w:val="0"/>
                <w:smallCaps w:val="0"/>
                <w:color w:val="auto"/>
                <w:sz w:val="24"/>
                <w:szCs w:val="24"/>
                <w:highlight w:val="none"/>
              </w:rPr>
              <w:t>目</w:t>
            </w:r>
            <w:r>
              <w:rPr>
                <w:rFonts w:hint="default" w:ascii="Times New Roman" w:hAnsi="Times New Roman" w:cs="Times New Roman"/>
                <w:b w:val="0"/>
                <w:bCs w:val="0"/>
                <w:caps w:val="0"/>
                <w:smallCaps w:val="0"/>
                <w:color w:val="auto"/>
                <w:sz w:val="24"/>
                <w:szCs w:val="24"/>
                <w:highlight w:val="none"/>
                <w:lang w:val="en-US" w:eastAsia="zh-CN"/>
              </w:rPr>
              <w:t>区厂界</w:t>
            </w:r>
            <w:r>
              <w:rPr>
                <w:rFonts w:hint="default" w:ascii="Times New Roman" w:hAnsi="Times New Roman" w:eastAsia="宋体" w:cs="Times New Roman"/>
                <w:b w:val="0"/>
                <w:bCs w:val="0"/>
                <w:caps w:val="0"/>
                <w:smallCaps w:val="0"/>
                <w:color w:val="auto"/>
                <w:sz w:val="24"/>
                <w:szCs w:val="24"/>
                <w:highlight w:val="none"/>
              </w:rPr>
              <w:t>非甲烷总烃下风向最大落地浓度为</w:t>
            </w:r>
            <w:r>
              <w:rPr>
                <w:rFonts w:hint="eastAsia" w:cs="Times New Roman"/>
                <w:b w:val="0"/>
                <w:bCs w:val="0"/>
                <w:caps w:val="0"/>
                <w:smallCaps w:val="0"/>
                <w:color w:val="auto"/>
                <w:sz w:val="24"/>
                <w:szCs w:val="24"/>
                <w:highlight w:val="none"/>
                <w:lang w:val="en-US" w:eastAsia="zh-CN"/>
              </w:rPr>
              <w:t>0.0529m</w:t>
            </w:r>
            <w:r>
              <w:rPr>
                <w:rFonts w:hint="default" w:ascii="Times New Roman" w:hAnsi="Times New Roman" w:eastAsia="宋体" w:cs="Times New Roman"/>
                <w:b w:val="0"/>
                <w:bCs w:val="0"/>
                <w:caps w:val="0"/>
                <w:smallCaps w:val="0"/>
                <w:color w:val="auto"/>
                <w:sz w:val="24"/>
                <w:szCs w:val="24"/>
                <w:highlight w:val="none"/>
                <w:lang w:val="en-US" w:eastAsia="zh-CN"/>
              </w:rPr>
              <w:t>g/m</w:t>
            </w:r>
            <w:r>
              <w:rPr>
                <w:rFonts w:hint="default" w:ascii="Times New Roman" w:hAnsi="Times New Roman" w:eastAsia="宋体" w:cs="Times New Roman"/>
                <w:b w:val="0"/>
                <w:bCs w:val="0"/>
                <w:caps w:val="0"/>
                <w:smallCaps w:val="0"/>
                <w:color w:val="auto"/>
                <w:sz w:val="24"/>
                <w:szCs w:val="24"/>
                <w:highlight w:val="none"/>
                <w:vertAlign w:val="superscript"/>
                <w:lang w:val="en-US" w:eastAsia="zh-CN"/>
              </w:rPr>
              <w:t>3</w:t>
            </w:r>
            <w:r>
              <w:rPr>
                <w:rFonts w:hint="default" w:ascii="Times New Roman" w:hAnsi="Times New Roman" w:eastAsia="宋体" w:cs="Times New Roman"/>
                <w:b w:val="0"/>
                <w:bCs w:val="0"/>
                <w:caps w:val="0"/>
                <w:smallCaps w:val="0"/>
                <w:color w:val="auto"/>
                <w:sz w:val="24"/>
                <w:szCs w:val="24"/>
                <w:highlight w:val="none"/>
              </w:rPr>
              <w:t>，</w:t>
            </w:r>
            <w:r>
              <w:rPr>
                <w:rFonts w:hint="default" w:ascii="Times New Roman" w:hAnsi="Times New Roman" w:cs="Times New Roman"/>
                <w:b w:val="0"/>
                <w:bCs w:val="0"/>
                <w:caps w:val="0"/>
                <w:smallCaps w:val="0"/>
                <w:color w:val="auto"/>
                <w:sz w:val="24"/>
                <w:szCs w:val="24"/>
                <w:highlight w:val="none"/>
                <w:lang w:val="en-US" w:eastAsia="zh-CN"/>
              </w:rPr>
              <w:t>颗粒物</w:t>
            </w:r>
            <w:r>
              <w:rPr>
                <w:rFonts w:hint="default" w:ascii="Times New Roman" w:hAnsi="Times New Roman" w:eastAsia="宋体" w:cs="Times New Roman"/>
                <w:b w:val="0"/>
                <w:bCs w:val="0"/>
                <w:caps w:val="0"/>
                <w:smallCaps w:val="0"/>
                <w:color w:val="auto"/>
                <w:sz w:val="24"/>
                <w:szCs w:val="24"/>
                <w:highlight w:val="none"/>
              </w:rPr>
              <w:t>下风向最大落地浓度为</w:t>
            </w:r>
            <w:r>
              <w:rPr>
                <w:rFonts w:hint="eastAsia" w:cs="Times New Roman"/>
                <w:b w:val="0"/>
                <w:bCs w:val="0"/>
                <w:caps w:val="0"/>
                <w:smallCaps w:val="0"/>
                <w:color w:val="auto"/>
                <w:sz w:val="24"/>
                <w:szCs w:val="24"/>
                <w:highlight w:val="none"/>
                <w:lang w:val="en-US" w:eastAsia="zh-CN"/>
              </w:rPr>
              <w:t>0.001559m</w:t>
            </w:r>
            <w:r>
              <w:rPr>
                <w:rFonts w:hint="default" w:ascii="Times New Roman" w:hAnsi="Times New Roman" w:eastAsia="宋体" w:cs="Times New Roman"/>
                <w:b w:val="0"/>
                <w:bCs w:val="0"/>
                <w:caps w:val="0"/>
                <w:smallCaps w:val="0"/>
                <w:color w:val="auto"/>
                <w:sz w:val="24"/>
                <w:szCs w:val="24"/>
                <w:highlight w:val="none"/>
                <w:lang w:val="en-US" w:eastAsia="zh-CN"/>
              </w:rPr>
              <w:t>g/m</w:t>
            </w:r>
            <w:r>
              <w:rPr>
                <w:rFonts w:hint="default" w:ascii="Times New Roman" w:hAnsi="Times New Roman" w:eastAsia="宋体" w:cs="Times New Roman"/>
                <w:b w:val="0"/>
                <w:bCs w:val="0"/>
                <w:caps w:val="0"/>
                <w:smallCaps w:val="0"/>
                <w:color w:val="auto"/>
                <w:sz w:val="24"/>
                <w:szCs w:val="24"/>
                <w:highlight w:val="none"/>
                <w:vertAlign w:val="superscript"/>
                <w:lang w:val="en-US" w:eastAsia="zh-CN"/>
              </w:rPr>
              <w:t>3</w:t>
            </w:r>
            <w:r>
              <w:rPr>
                <w:rFonts w:hint="default" w:ascii="Times New Roman" w:hAnsi="Times New Roman" w:eastAsia="宋体" w:cs="Times New Roman"/>
                <w:b w:val="0"/>
                <w:bCs w:val="0"/>
                <w:caps w:val="0"/>
                <w:smallCaps w:val="0"/>
                <w:color w:val="auto"/>
                <w:sz w:val="24"/>
                <w:szCs w:val="24"/>
                <w:highlight w:val="none"/>
              </w:rPr>
              <w:t>，位于下风向</w:t>
            </w:r>
            <w:r>
              <w:rPr>
                <w:rFonts w:hint="default" w:ascii="Times New Roman" w:hAnsi="Times New Roman" w:cs="Times New Roman"/>
                <w:b w:val="0"/>
                <w:bCs w:val="0"/>
                <w:caps w:val="0"/>
                <w:smallCaps w:val="0"/>
                <w:color w:val="auto"/>
                <w:sz w:val="24"/>
                <w:szCs w:val="24"/>
                <w:highlight w:val="none"/>
                <w:lang w:val="en-US" w:eastAsia="zh-CN"/>
              </w:rPr>
              <w:t>48</w:t>
            </w:r>
            <w:r>
              <w:rPr>
                <w:rFonts w:hint="default" w:ascii="Times New Roman" w:hAnsi="Times New Roman" w:eastAsia="宋体" w:cs="Times New Roman"/>
                <w:b w:val="0"/>
                <w:bCs w:val="0"/>
                <w:caps w:val="0"/>
                <w:smallCaps w:val="0"/>
                <w:color w:val="auto"/>
                <w:sz w:val="24"/>
                <w:szCs w:val="24"/>
                <w:highlight w:val="none"/>
              </w:rPr>
              <w:t>m处</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aps w:val="0"/>
                <w:smallCaps w:val="0"/>
                <w:color w:val="auto"/>
                <w:sz w:val="24"/>
                <w:highlight w:val="none"/>
              </w:rPr>
              <w:t>项目厂界无组织非甲烷总烃、颗粒物均能满足《合成树脂工业污染物排放标准》</w:t>
            </w:r>
            <w:r>
              <w:rPr>
                <w:rFonts w:hint="default" w:ascii="Times New Roman" w:hAnsi="Times New Roman" w:cs="Times New Roman"/>
                <w:caps w:val="0"/>
                <w:smallCaps w:val="0"/>
                <w:color w:val="auto"/>
                <w:sz w:val="24"/>
                <w:highlight w:val="none"/>
                <w:lang w:eastAsia="zh-CN"/>
              </w:rPr>
              <w:t>（GB 31572-2015，含2024年修改单）</w:t>
            </w:r>
            <w:r>
              <w:rPr>
                <w:rFonts w:hint="default" w:ascii="Times New Roman" w:hAnsi="Times New Roman" w:cs="Times New Roman"/>
                <w:caps w:val="0"/>
                <w:smallCaps w:val="0"/>
                <w:color w:val="auto"/>
                <w:sz w:val="24"/>
                <w:highlight w:val="none"/>
              </w:rPr>
              <w:t>表9规定的企业边界大气污染物浓度限值（非甲烷总烃4.0mg/m</w:t>
            </w:r>
            <w:r>
              <w:rPr>
                <w:rFonts w:hint="default" w:ascii="Times New Roman" w:hAnsi="Times New Roman" w:cs="Times New Roman"/>
                <w:caps w:val="0"/>
                <w:smallCaps w:val="0"/>
                <w:color w:val="auto"/>
                <w:sz w:val="24"/>
                <w:highlight w:val="none"/>
                <w:vertAlign w:val="superscript"/>
              </w:rPr>
              <w:t>3</w:t>
            </w:r>
            <w:r>
              <w:rPr>
                <w:rFonts w:hint="default" w:ascii="Times New Roman" w:hAnsi="Times New Roman" w:cs="Times New Roman"/>
                <w:caps w:val="0"/>
                <w:smallCaps w:val="0"/>
                <w:color w:val="auto"/>
                <w:sz w:val="24"/>
                <w:highlight w:val="none"/>
              </w:rPr>
              <w:t>、颗粒物1.0mg/m</w:t>
            </w:r>
            <w:r>
              <w:rPr>
                <w:rFonts w:hint="default" w:ascii="Times New Roman" w:hAnsi="Times New Roman" w:cs="Times New Roman"/>
                <w:caps w:val="0"/>
                <w:smallCaps w:val="0"/>
                <w:color w:val="auto"/>
                <w:sz w:val="24"/>
                <w:highlight w:val="none"/>
                <w:vertAlign w:val="superscript"/>
              </w:rPr>
              <w:t>3</w:t>
            </w:r>
            <w:r>
              <w:rPr>
                <w:rFonts w:hint="default" w:ascii="Times New Roman" w:hAnsi="Times New Roman" w:cs="Times New Roman"/>
                <w:caps w:val="0"/>
                <w:smallCaps w:val="0"/>
                <w:color w:val="auto"/>
                <w:sz w:val="24"/>
                <w:highlight w:val="none"/>
              </w:rPr>
              <w:t>）。结合同类注塑项目竣工</w:t>
            </w:r>
            <w:r>
              <w:rPr>
                <w:rFonts w:hint="eastAsia" w:ascii="Times New Roman" w:hAnsi="Times New Roman" w:eastAsia="Times New Roman" w:cs="宋体"/>
                <w:color w:val="auto"/>
                <w:sz w:val="24"/>
                <w:szCs w:val="24"/>
              </w:rPr>
              <w:t>监测结果</w:t>
            </w:r>
            <w:r>
              <w:rPr>
                <w:rFonts w:hint="default" w:ascii="Times New Roman" w:hAnsi="Times New Roman" w:cs="Times New Roman"/>
                <w:caps w:val="0"/>
                <w:smallCaps w:val="0"/>
                <w:color w:val="auto"/>
                <w:sz w:val="24"/>
                <w:highlight w:val="none"/>
              </w:rPr>
              <w:t>，项目无组织</w:t>
            </w:r>
            <w:r>
              <w:rPr>
                <w:rFonts w:hint="eastAsia" w:cs="Times New Roman"/>
                <w:caps w:val="0"/>
                <w:smallCaps w:val="0"/>
                <w:color w:val="auto"/>
                <w:sz w:val="24"/>
                <w:highlight w:val="none"/>
                <w:lang w:val="en-US" w:eastAsia="zh-CN"/>
              </w:rPr>
              <w:t>臭气浓度</w:t>
            </w:r>
            <w:r>
              <w:rPr>
                <w:rFonts w:hint="default" w:ascii="Times New Roman" w:hAnsi="Times New Roman" w:cs="Times New Roman"/>
                <w:caps w:val="0"/>
                <w:smallCaps w:val="0"/>
                <w:color w:val="auto"/>
                <w:sz w:val="24"/>
                <w:highlight w:val="none"/>
              </w:rPr>
              <w:t>厂界排放可稳定达标</w:t>
            </w:r>
            <w:r>
              <w:rPr>
                <w:rFonts w:hint="eastAsia" w:cs="Times New Roman"/>
                <w:caps w:val="0"/>
                <w:smallCaps w:val="0"/>
                <w:color w:val="auto"/>
                <w:sz w:val="24"/>
                <w:highlight w:val="none"/>
                <w:lang w:eastAsia="zh-CN"/>
              </w:rPr>
              <w:t>，</w:t>
            </w:r>
            <w:r>
              <w:rPr>
                <w:rFonts w:hint="eastAsia" w:cs="Times New Roman"/>
                <w:caps w:val="0"/>
                <w:smallCaps w:val="0"/>
                <w:color w:val="auto"/>
                <w:sz w:val="24"/>
                <w:highlight w:val="none"/>
                <w:lang w:val="en-US" w:eastAsia="zh-CN"/>
              </w:rPr>
              <w:t>厂界排放浓度可满足</w:t>
            </w:r>
            <w:r>
              <w:rPr>
                <w:rFonts w:hint="default" w:ascii="Times New Roman" w:hAnsi="Times New Roman" w:eastAsia="宋体" w:cs="Times New Roman"/>
                <w:color w:val="auto"/>
                <w:sz w:val="24"/>
                <w:szCs w:val="24"/>
                <w:lang w:eastAsia="zh-CN"/>
              </w:rPr>
              <w:t>《恶臭污染物排放标准》（GB14554-93）</w:t>
            </w:r>
            <w:r>
              <w:rPr>
                <w:rFonts w:hint="default" w:ascii="Times New Roman" w:hAnsi="Times New Roman" w:eastAsia="宋体" w:cs="Times New Roman"/>
                <w:color w:val="auto"/>
                <w:sz w:val="24"/>
                <w:szCs w:val="24"/>
                <w:lang w:val="en-US" w:eastAsia="zh-CN"/>
              </w:rPr>
              <w:t>表1</w:t>
            </w:r>
            <w:r>
              <w:rPr>
                <w:rFonts w:hint="default" w:ascii="Times New Roman" w:hAnsi="Times New Roman" w:eastAsia="宋体" w:cs="Times New Roman"/>
                <w:color w:val="auto"/>
                <w:sz w:val="24"/>
                <w:szCs w:val="24"/>
                <w:lang w:eastAsia="zh-CN"/>
              </w:rPr>
              <w:t>中“臭气浓度”新扩改建二级标准</w:t>
            </w:r>
            <w:r>
              <w:rPr>
                <w:rFonts w:hint="eastAsia" w:ascii="Times New Roman" w:hAnsi="Times New Roman" w:eastAsia="宋体" w:cs="Times New Roman"/>
                <w:color w:val="auto"/>
                <w:sz w:val="24"/>
                <w:szCs w:val="24"/>
                <w:lang w:val="en-US" w:eastAsia="zh-CN"/>
              </w:rPr>
              <w:t>要求</w:t>
            </w:r>
            <w:r>
              <w:rPr>
                <w:rFonts w:hint="default" w:ascii="Times New Roman" w:hAnsi="Times New Roman" w:cs="Times New Roman"/>
                <w:caps w:val="0"/>
                <w:smallCaps w:val="0"/>
                <w:color w:val="auto"/>
                <w:sz w:val="24"/>
                <w:highlight w:val="none"/>
              </w:rPr>
              <w:t>。</w:t>
            </w:r>
          </w:p>
          <w:p w14:paraId="1FD9C19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eastAsia" w:cs="Times New Roman"/>
                <w:caps w:val="0"/>
                <w:smallCaps w:val="0"/>
                <w:color w:val="auto"/>
                <w:sz w:val="24"/>
                <w:highlight w:val="none"/>
                <w:lang w:val="en-US" w:eastAsia="zh-CN"/>
              </w:rPr>
              <w:t>综上分析，</w:t>
            </w:r>
            <w:r>
              <w:rPr>
                <w:rFonts w:hint="default" w:ascii="Times New Roman" w:hAnsi="Times New Roman" w:cs="Times New Roman"/>
                <w:caps w:val="0"/>
                <w:smallCaps w:val="0"/>
                <w:color w:val="auto"/>
                <w:sz w:val="24"/>
                <w:highlight w:val="none"/>
              </w:rPr>
              <w:t>本项目废气</w:t>
            </w:r>
            <w:r>
              <w:rPr>
                <w:rFonts w:hint="eastAsia" w:cs="Times New Roman"/>
                <w:caps w:val="0"/>
                <w:smallCaps w:val="0"/>
                <w:color w:val="auto"/>
                <w:sz w:val="24"/>
                <w:highlight w:val="none"/>
                <w:lang w:val="en-US" w:eastAsia="zh-CN"/>
              </w:rPr>
              <w:t>在采取相应的环保措施后</w:t>
            </w:r>
            <w:r>
              <w:rPr>
                <w:rFonts w:hint="default" w:ascii="Times New Roman" w:hAnsi="Times New Roman" w:cs="Times New Roman"/>
                <w:caps w:val="0"/>
                <w:smallCaps w:val="0"/>
                <w:color w:val="auto"/>
                <w:sz w:val="24"/>
                <w:highlight w:val="none"/>
              </w:rPr>
              <w:t>对周边大气环境影响</w:t>
            </w:r>
            <w:r>
              <w:rPr>
                <w:rFonts w:hint="eastAsia" w:cs="Times New Roman"/>
                <w:caps w:val="0"/>
                <w:smallCaps w:val="0"/>
                <w:color w:val="auto"/>
                <w:sz w:val="24"/>
                <w:highlight w:val="none"/>
                <w:lang w:val="en-US" w:eastAsia="zh-CN"/>
              </w:rPr>
              <w:t>不大</w:t>
            </w:r>
            <w:r>
              <w:rPr>
                <w:rFonts w:hint="default" w:ascii="Times New Roman" w:hAnsi="Times New Roman" w:cs="Times New Roman"/>
                <w:caps w:val="0"/>
                <w:smallCaps w:val="0"/>
                <w:color w:val="auto"/>
                <w:sz w:val="24"/>
                <w:highlight w:val="none"/>
              </w:rPr>
              <w:t>。</w:t>
            </w:r>
          </w:p>
          <w:p w14:paraId="502F90BA">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b/>
                <w:bCs/>
                <w:color w:val="auto"/>
                <w:kern w:val="0"/>
                <w:sz w:val="24"/>
                <w:lang w:val="en-US" w:eastAsia="zh-CN" w:bidi="ar"/>
              </w:rPr>
              <w:t>⑤食堂油</w:t>
            </w:r>
            <w:r>
              <w:rPr>
                <w:rFonts w:hint="default" w:ascii="Times New Roman" w:hAnsi="Times New Roman" w:eastAsia="宋体" w:cs="Times New Roman"/>
                <w:b/>
                <w:bCs/>
                <w:color w:val="auto"/>
                <w:kern w:val="0"/>
                <w:sz w:val="24"/>
                <w:szCs w:val="24"/>
                <w:lang w:val="en-US" w:eastAsia="zh-CN" w:bidi="ar"/>
              </w:rPr>
              <w:t>烟</w:t>
            </w:r>
            <w:r>
              <w:rPr>
                <w:rFonts w:hint="default" w:ascii="Times New Roman" w:hAnsi="Times New Roman" w:eastAsia="宋体" w:cs="Times New Roman"/>
                <w:b/>
                <w:bCs/>
                <w:color w:val="auto"/>
                <w:sz w:val="24"/>
                <w:szCs w:val="24"/>
                <w:lang w:val="en-US" w:eastAsia="zh-CN"/>
              </w:rPr>
              <w:t>达标</w:t>
            </w:r>
            <w:r>
              <w:rPr>
                <w:rFonts w:hint="default" w:ascii="Times New Roman" w:hAnsi="Times New Roman" w:eastAsia="宋体" w:cs="Times New Roman"/>
                <w:b/>
                <w:bCs/>
                <w:color w:val="auto"/>
                <w:sz w:val="24"/>
                <w:szCs w:val="24"/>
              </w:rPr>
              <w:t>影响分析</w:t>
            </w:r>
          </w:p>
          <w:p w14:paraId="3A8DC4D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szCs w:val="24"/>
                <w:lang w:bidi="ar"/>
              </w:rPr>
              <w:t>食堂油烟经配套的油烟净化</w:t>
            </w:r>
            <w:r>
              <w:rPr>
                <w:rFonts w:hint="default" w:ascii="Times New Roman" w:hAnsi="Times New Roman" w:eastAsia="宋体" w:cs="Times New Roman"/>
                <w:color w:val="auto"/>
                <w:kern w:val="0"/>
                <w:sz w:val="24"/>
                <w:lang w:bidi="ar"/>
              </w:rPr>
              <w:t>器处理后由排烟管道引至屋顶排放，经净化处理后项目油烟排放浓度约为</w:t>
            </w:r>
            <w:r>
              <w:rPr>
                <w:rFonts w:hint="default" w:ascii="Times New Roman" w:hAnsi="Times New Roman" w:eastAsia="宋体" w:cs="Times New Roman"/>
                <w:color w:val="auto"/>
                <w:kern w:val="0"/>
                <w:sz w:val="24"/>
                <w:lang w:val="en-US" w:eastAsia="zh-CN" w:bidi="ar"/>
              </w:rPr>
              <w:t>1.132</w:t>
            </w:r>
            <w:r>
              <w:rPr>
                <w:rFonts w:hint="default" w:ascii="Times New Roman" w:hAnsi="Times New Roman" w:eastAsia="宋体" w:cs="Times New Roman"/>
                <w:color w:val="auto"/>
                <w:kern w:val="0"/>
                <w:sz w:val="24"/>
                <w:lang w:bidi="ar"/>
              </w:rPr>
              <w:t>mg/m³，达到《饮食业油烟排放标准（试行）》（GB18483-2001）中的有关规定即排放浓度标准。</w:t>
            </w:r>
          </w:p>
          <w:p w14:paraId="6641BE41">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lang w:val="en-US" w:eastAsia="zh-CN" w:bidi="ar"/>
              </w:rPr>
            </w:pPr>
            <w:r>
              <w:rPr>
                <w:rFonts w:hint="default" w:ascii="Times New Roman" w:hAnsi="Times New Roman" w:eastAsia="宋体" w:cs="Times New Roman"/>
                <w:b/>
                <w:bCs/>
                <w:color w:val="auto"/>
                <w:kern w:val="0"/>
                <w:sz w:val="24"/>
                <w:lang w:val="en-US" w:eastAsia="zh-CN" w:bidi="ar"/>
              </w:rPr>
              <w:t>⑥环境影响分析</w:t>
            </w:r>
          </w:p>
          <w:p w14:paraId="41B3A965">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val="en-US" w:eastAsia="zh-CN" w:bidi="ar"/>
              </w:rPr>
              <w:t>项目采用的废气治理措施为可行技术，项目</w:t>
            </w:r>
            <w:r>
              <w:rPr>
                <w:rFonts w:hint="eastAsia" w:cs="Times New Roman"/>
                <w:color w:val="auto"/>
                <w:kern w:val="0"/>
                <w:sz w:val="24"/>
                <w:lang w:val="en-US" w:eastAsia="zh-CN" w:bidi="ar"/>
              </w:rPr>
              <w:t>有组织</w:t>
            </w:r>
            <w:r>
              <w:rPr>
                <w:rFonts w:hint="default" w:ascii="Times New Roman" w:hAnsi="Times New Roman" w:eastAsia="宋体" w:cs="Times New Roman"/>
                <w:color w:val="auto"/>
                <w:kern w:val="0"/>
                <w:sz w:val="24"/>
                <w:lang w:val="en-US" w:eastAsia="zh-CN" w:bidi="ar"/>
              </w:rPr>
              <w:t>挥发性有机废气（非甲烷总烃）</w:t>
            </w:r>
            <w:r>
              <w:rPr>
                <w:rFonts w:hint="eastAsia" w:cs="Times New Roman"/>
                <w:color w:val="auto"/>
                <w:kern w:val="0"/>
                <w:sz w:val="24"/>
                <w:lang w:val="en-US" w:eastAsia="zh-CN" w:bidi="ar"/>
              </w:rPr>
              <w:t>及</w:t>
            </w:r>
            <w:r>
              <w:rPr>
                <w:rFonts w:hint="default" w:ascii="Times New Roman" w:hAnsi="Times New Roman" w:eastAsia="宋体" w:cs="Times New Roman"/>
                <w:color w:val="auto"/>
                <w:kern w:val="0"/>
                <w:sz w:val="24"/>
                <w:lang w:val="en-US" w:eastAsia="zh-CN" w:bidi="ar"/>
              </w:rPr>
              <w:t>臭气浓度、</w:t>
            </w:r>
            <w:r>
              <w:rPr>
                <w:rFonts w:hint="eastAsia" w:cs="Times New Roman"/>
                <w:color w:val="auto"/>
                <w:kern w:val="0"/>
                <w:sz w:val="24"/>
                <w:lang w:val="en-US" w:eastAsia="zh-CN" w:bidi="ar"/>
              </w:rPr>
              <w:t>无组织非甲烷总烃、</w:t>
            </w:r>
            <w:r>
              <w:rPr>
                <w:rFonts w:hint="default" w:ascii="Times New Roman" w:hAnsi="Times New Roman" w:eastAsia="宋体" w:cs="Times New Roman"/>
                <w:color w:val="auto"/>
                <w:kern w:val="0"/>
                <w:sz w:val="24"/>
                <w:lang w:val="en-US" w:eastAsia="zh-CN" w:bidi="ar"/>
              </w:rPr>
              <w:t>颗粒物、</w:t>
            </w:r>
            <w:r>
              <w:rPr>
                <w:rFonts w:hint="eastAsia" w:cs="Times New Roman"/>
                <w:color w:val="auto"/>
                <w:kern w:val="0"/>
                <w:sz w:val="24"/>
                <w:lang w:val="en-US" w:eastAsia="zh-CN" w:bidi="ar"/>
              </w:rPr>
              <w:t>臭气浓度、</w:t>
            </w:r>
            <w:r>
              <w:rPr>
                <w:rFonts w:hint="default" w:ascii="Times New Roman" w:hAnsi="Times New Roman" w:eastAsia="宋体" w:cs="Times New Roman"/>
                <w:color w:val="auto"/>
                <w:kern w:val="0"/>
                <w:sz w:val="24"/>
                <w:lang w:val="en-US" w:eastAsia="zh-CN" w:bidi="ar"/>
              </w:rPr>
              <w:t>食堂油烟均可达标排放。项目周边空气扩散条件较好，污染物排放后不会形成污染聚集。根据</w:t>
            </w:r>
            <w:r>
              <w:rPr>
                <w:rFonts w:hint="default" w:ascii="Times New Roman" w:hAnsi="Times New Roman" w:eastAsia="宋体" w:cs="Times New Roman"/>
                <w:color w:val="auto"/>
                <w:kern w:val="0"/>
                <w:sz w:val="24"/>
                <w:lang w:val="zh-CN" w:bidi="ar"/>
              </w:rPr>
              <w:t>寻甸县监测站2025年1月1日-2025年12月31日的监测数据，</w:t>
            </w:r>
            <w:r>
              <w:rPr>
                <w:rFonts w:hint="default" w:ascii="Times New Roman" w:hAnsi="Times New Roman" w:eastAsia="宋体" w:cs="Times New Roman"/>
                <w:color w:val="auto"/>
                <w:kern w:val="0"/>
                <w:sz w:val="24"/>
                <w:lang w:val="en-US" w:eastAsia="zh-CN" w:bidi="ar"/>
              </w:rPr>
              <w:t xml:space="preserve">各污染物浓度值均可满足《环境空气质量标准》(GB3095-2026)二级标准限值要求，区域环境良好。根据现场勘查，项目周围 500m 范围内无大气保护目标。 </w:t>
            </w:r>
          </w:p>
          <w:p w14:paraId="495330A8">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val="en-US" w:eastAsia="zh-CN" w:bidi="ar"/>
              </w:rPr>
              <w:t>综上所述，</w:t>
            </w:r>
            <w:r>
              <w:rPr>
                <w:rFonts w:hint="default" w:ascii="Times New Roman" w:hAnsi="Times New Roman" w:eastAsia="宋体" w:cs="Times New Roman"/>
                <w:color w:val="auto"/>
                <w:kern w:val="0"/>
                <w:sz w:val="24"/>
                <w:lang w:bidi="ar"/>
              </w:rPr>
              <w:t>采取措施后本项目正常工况产生的大气污染物对环境影响较小</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项目废气排放对周边环境影响可以接受。</w:t>
            </w:r>
          </w:p>
          <w:p w14:paraId="4B09CD85">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lang w:bidi="ar"/>
              </w:rPr>
            </w:pPr>
            <w:r>
              <w:rPr>
                <w:rFonts w:hint="default" w:ascii="Times New Roman" w:hAnsi="Times New Roman" w:eastAsia="宋体" w:cs="Times New Roman"/>
                <w:b/>
                <w:bCs/>
                <w:color w:val="auto"/>
                <w:kern w:val="0"/>
                <w:sz w:val="24"/>
                <w:lang w:bidi="ar"/>
              </w:rPr>
              <w:t>（</w:t>
            </w:r>
            <w:r>
              <w:rPr>
                <w:rFonts w:hint="default" w:ascii="Times New Roman" w:hAnsi="Times New Roman" w:eastAsia="宋体" w:cs="Times New Roman"/>
                <w:b/>
                <w:bCs/>
                <w:color w:val="auto"/>
                <w:kern w:val="0"/>
                <w:sz w:val="24"/>
                <w:lang w:val="en-US" w:eastAsia="zh-CN" w:bidi="ar"/>
              </w:rPr>
              <w:t>10</w:t>
            </w:r>
            <w:r>
              <w:rPr>
                <w:rFonts w:hint="default" w:ascii="Times New Roman" w:hAnsi="Times New Roman" w:eastAsia="宋体" w:cs="Times New Roman"/>
                <w:b/>
                <w:bCs/>
                <w:color w:val="auto"/>
                <w:kern w:val="0"/>
                <w:sz w:val="24"/>
                <w:lang w:bidi="ar"/>
              </w:rPr>
              <w:t>）项目废气监测计划</w:t>
            </w:r>
          </w:p>
          <w:p w14:paraId="76DD0015">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szCs w:val="24"/>
                <w:lang w:val="en-US" w:eastAsia="zh-CN" w:bidi="ar"/>
              </w:rPr>
              <w:t>对照《固定污染源排污许可分类管理名录（2019 年版）》，本项目属于</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二十四、橡胶和塑料制品业29，62.塑料制品 292</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其他</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为登记管理</w:t>
            </w:r>
            <w:r>
              <w:rPr>
                <w:rFonts w:hint="eastAsia" w:cs="Times New Roman"/>
                <w:color w:val="auto"/>
                <w:kern w:val="0"/>
                <w:sz w:val="24"/>
                <w:szCs w:val="24"/>
                <w:lang w:val="en-US" w:eastAsia="zh-CN" w:bidi="ar"/>
              </w:rPr>
              <w:t>，不需要申领排污许可证。</w:t>
            </w:r>
            <w:r>
              <w:rPr>
                <w:rFonts w:hint="eastAsia" w:cs="Times New Roman"/>
                <w:color w:val="auto"/>
                <w:kern w:val="0"/>
                <w:sz w:val="24"/>
                <w:lang w:val="en-US" w:eastAsia="zh-CN" w:bidi="ar"/>
              </w:rPr>
              <w:t>项目运营期废气自行监测结合项目产排污特点，参照《排污许可证申请与核发技术规范 橡胶和塑料制品工业》（HJ1122‑2020）第二部分塑料制品工业中简化管理排污单位废气监测点位、监测指标及最低监测频次相关要求制定，项目废气监测计划如下。</w:t>
            </w:r>
          </w:p>
          <w:p w14:paraId="522AD1E9">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10</w:t>
            </w:r>
            <w:r>
              <w:rPr>
                <w:rFonts w:hint="default" w:ascii="Times New Roman" w:hAnsi="Times New Roman" w:eastAsia="宋体" w:cs="Times New Roman"/>
                <w:b/>
                <w:bCs/>
                <w:color w:val="auto"/>
                <w:sz w:val="21"/>
                <w:szCs w:val="21"/>
              </w:rPr>
              <w:t xml:space="preserve">  废气监测计划一览表</w:t>
            </w:r>
          </w:p>
          <w:tbl>
            <w:tblPr>
              <w:tblStyle w:val="36"/>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6"/>
              <w:gridCol w:w="1247"/>
              <w:gridCol w:w="1035"/>
              <w:gridCol w:w="1372"/>
              <w:gridCol w:w="1240"/>
              <w:gridCol w:w="3636"/>
            </w:tblGrid>
            <w:tr w14:paraId="4AB5F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tcBorders>
                    <w:top w:val="single" w:color="auto" w:sz="6" w:space="0"/>
                    <w:left w:val="single" w:color="auto" w:sz="6" w:space="0"/>
                    <w:bottom w:val="single" w:color="auto" w:sz="6" w:space="0"/>
                    <w:right w:val="single" w:color="auto" w:sz="6" w:space="0"/>
                  </w:tcBorders>
                  <w:noWrap w:val="0"/>
                  <w:vAlign w:val="center"/>
                </w:tcPr>
                <w:p w14:paraId="1B417A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类别</w:t>
                  </w:r>
                </w:p>
              </w:tc>
              <w:tc>
                <w:tcPr>
                  <w:tcW w:w="666" w:type="pct"/>
                  <w:tcBorders>
                    <w:top w:val="single" w:color="auto" w:sz="6" w:space="0"/>
                    <w:left w:val="single" w:color="auto" w:sz="6" w:space="0"/>
                    <w:bottom w:val="single" w:color="auto" w:sz="6" w:space="0"/>
                    <w:right w:val="single" w:color="auto" w:sz="6" w:space="0"/>
                  </w:tcBorders>
                  <w:noWrap w:val="0"/>
                  <w:vAlign w:val="center"/>
                </w:tcPr>
                <w:p w14:paraId="6CC5A93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监测点位</w:t>
                  </w:r>
                </w:p>
              </w:tc>
              <w:tc>
                <w:tcPr>
                  <w:tcW w:w="553" w:type="pct"/>
                  <w:tcBorders>
                    <w:top w:val="single" w:color="auto" w:sz="6" w:space="0"/>
                    <w:left w:val="single" w:color="auto" w:sz="6" w:space="0"/>
                    <w:bottom w:val="single" w:color="auto" w:sz="6" w:space="0"/>
                    <w:right w:val="single" w:color="auto" w:sz="6" w:space="0"/>
                  </w:tcBorders>
                  <w:noWrap w:val="0"/>
                  <w:vAlign w:val="center"/>
                </w:tcPr>
                <w:p w14:paraId="754127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点数</w:t>
                  </w:r>
                </w:p>
              </w:tc>
              <w:tc>
                <w:tcPr>
                  <w:tcW w:w="733" w:type="pct"/>
                  <w:tcBorders>
                    <w:top w:val="single" w:color="auto" w:sz="6" w:space="0"/>
                    <w:left w:val="single" w:color="auto" w:sz="6" w:space="0"/>
                    <w:bottom w:val="single" w:color="auto" w:sz="6" w:space="0"/>
                    <w:right w:val="single" w:color="auto" w:sz="6" w:space="0"/>
                  </w:tcBorders>
                  <w:noWrap w:val="0"/>
                  <w:vAlign w:val="center"/>
                </w:tcPr>
                <w:p w14:paraId="2CC8B6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监测项目</w:t>
                  </w:r>
                </w:p>
              </w:tc>
              <w:tc>
                <w:tcPr>
                  <w:tcW w:w="662" w:type="pct"/>
                  <w:tcBorders>
                    <w:top w:val="single" w:color="auto" w:sz="6" w:space="0"/>
                    <w:left w:val="single" w:color="auto" w:sz="6" w:space="0"/>
                    <w:bottom w:val="single" w:color="auto" w:sz="6" w:space="0"/>
                    <w:right w:val="single" w:color="auto" w:sz="6" w:space="0"/>
                  </w:tcBorders>
                  <w:noWrap w:val="0"/>
                  <w:vAlign w:val="center"/>
                </w:tcPr>
                <w:p w14:paraId="3EDC4EF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监测频率</w:t>
                  </w:r>
                </w:p>
              </w:tc>
              <w:tc>
                <w:tcPr>
                  <w:tcW w:w="1942" w:type="pct"/>
                  <w:tcBorders>
                    <w:top w:val="single" w:color="auto" w:sz="6" w:space="0"/>
                    <w:left w:val="single" w:color="auto" w:sz="6" w:space="0"/>
                    <w:bottom w:val="single" w:color="auto" w:sz="6" w:space="0"/>
                    <w:right w:val="single" w:color="auto" w:sz="6" w:space="0"/>
                  </w:tcBorders>
                  <w:noWrap w:val="0"/>
                  <w:vAlign w:val="center"/>
                </w:tcPr>
                <w:p w14:paraId="6452DFD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eastAsia" w:cs="Times New Roman"/>
                      <w:b/>
                      <w:bCs/>
                      <w:color w:val="auto"/>
                      <w:szCs w:val="21"/>
                      <w:lang w:val="en-US" w:eastAsia="zh-CN"/>
                    </w:rPr>
                    <w:t>执行标准</w:t>
                  </w:r>
                </w:p>
              </w:tc>
            </w:tr>
            <w:tr w14:paraId="07916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vMerge w:val="restart"/>
                  <w:tcBorders>
                    <w:left w:val="single" w:color="auto" w:sz="6" w:space="0"/>
                    <w:right w:val="single" w:color="auto" w:sz="6" w:space="0"/>
                  </w:tcBorders>
                  <w:noWrap w:val="0"/>
                  <w:vAlign w:val="center"/>
                </w:tcPr>
                <w:p w14:paraId="0AB8093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废气</w:t>
                  </w:r>
                </w:p>
              </w:tc>
              <w:tc>
                <w:tcPr>
                  <w:tcW w:w="666" w:type="pct"/>
                  <w:vMerge w:val="restart"/>
                  <w:tcBorders>
                    <w:top w:val="single" w:color="auto" w:sz="6" w:space="0"/>
                    <w:left w:val="single" w:color="auto" w:sz="6" w:space="0"/>
                    <w:right w:val="single" w:color="auto" w:sz="6" w:space="0"/>
                  </w:tcBorders>
                  <w:noWrap w:val="0"/>
                  <w:vAlign w:val="center"/>
                </w:tcPr>
                <w:p w14:paraId="062B20B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DA001排气筒</w:t>
                  </w:r>
                </w:p>
              </w:tc>
              <w:tc>
                <w:tcPr>
                  <w:tcW w:w="553" w:type="pct"/>
                  <w:vMerge w:val="restart"/>
                  <w:tcBorders>
                    <w:top w:val="single" w:color="auto" w:sz="6" w:space="0"/>
                    <w:left w:val="single" w:color="auto" w:sz="6" w:space="0"/>
                    <w:right w:val="single" w:color="auto" w:sz="6" w:space="0"/>
                  </w:tcBorders>
                  <w:noWrap w:val="0"/>
                  <w:vAlign w:val="center"/>
                </w:tcPr>
                <w:p w14:paraId="478FA02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个</w:t>
                  </w:r>
                </w:p>
              </w:tc>
              <w:tc>
                <w:tcPr>
                  <w:tcW w:w="733" w:type="pct"/>
                  <w:tcBorders>
                    <w:top w:val="single" w:color="auto" w:sz="6" w:space="0"/>
                    <w:left w:val="single" w:color="auto" w:sz="6" w:space="0"/>
                    <w:bottom w:val="single" w:color="auto" w:sz="6" w:space="0"/>
                    <w:right w:val="single" w:color="auto" w:sz="6" w:space="0"/>
                  </w:tcBorders>
                  <w:noWrap w:val="0"/>
                  <w:vAlign w:val="center"/>
                </w:tcPr>
                <w:p w14:paraId="038172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662" w:type="pct"/>
                  <w:tcBorders>
                    <w:top w:val="single" w:color="auto" w:sz="6" w:space="0"/>
                    <w:left w:val="single" w:color="auto" w:sz="6" w:space="0"/>
                    <w:right w:val="single" w:color="auto" w:sz="6" w:space="0"/>
                  </w:tcBorders>
                  <w:noWrap w:val="0"/>
                  <w:vAlign w:val="center"/>
                </w:tcPr>
                <w:p w14:paraId="77EF14A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Times New Roman" w:cs="宋体"/>
                      <w:color w:val="auto"/>
                      <w:sz w:val="21"/>
                      <w:szCs w:val="21"/>
                    </w:rPr>
                    <w:t>1次/</w:t>
                  </w:r>
                  <w:r>
                    <w:rPr>
                      <w:rFonts w:hint="eastAsia" w:eastAsia="宋体" w:cs="宋体"/>
                      <w:color w:val="auto"/>
                      <w:sz w:val="21"/>
                      <w:szCs w:val="21"/>
                      <w:lang w:val="en-US" w:eastAsia="zh-CN"/>
                    </w:rPr>
                    <w:t>半</w:t>
                  </w:r>
                  <w:r>
                    <w:rPr>
                      <w:rFonts w:hint="eastAsia" w:ascii="Times New Roman" w:hAnsi="Times New Roman" w:eastAsia="Times New Roman" w:cs="宋体"/>
                      <w:color w:val="auto"/>
                      <w:sz w:val="21"/>
                      <w:szCs w:val="21"/>
                    </w:rPr>
                    <w:t>年</w:t>
                  </w:r>
                </w:p>
              </w:tc>
              <w:tc>
                <w:tcPr>
                  <w:tcW w:w="1942" w:type="pct"/>
                  <w:tcBorders>
                    <w:top w:val="single" w:color="auto" w:sz="6" w:space="0"/>
                    <w:left w:val="single" w:color="auto" w:sz="6" w:space="0"/>
                    <w:right w:val="single" w:color="auto" w:sz="6" w:space="0"/>
                  </w:tcBorders>
                  <w:noWrap w:val="0"/>
                  <w:vAlign w:val="center"/>
                </w:tcPr>
                <w:p w14:paraId="2A5BB1C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r>
                    <w:rPr>
                      <w:rFonts w:hint="default" w:ascii="Times New Roman" w:hAnsi="Times New Roman" w:eastAsia="宋体" w:cs="Times New Roman"/>
                      <w:color w:val="auto"/>
                      <w:sz w:val="21"/>
                      <w:szCs w:val="21"/>
                      <w:lang w:eastAsia="zh-CN"/>
                    </w:rPr>
                    <w:t>《合成树脂工业污染物排放标准》（GB31572-2015含2024年修改单）表4标准限值</w:t>
                  </w:r>
                </w:p>
              </w:tc>
            </w:tr>
            <w:tr w14:paraId="3E755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vMerge w:val="continue"/>
                  <w:tcBorders>
                    <w:left w:val="single" w:color="auto" w:sz="6" w:space="0"/>
                    <w:right w:val="single" w:color="auto" w:sz="6" w:space="0"/>
                  </w:tcBorders>
                  <w:noWrap w:val="0"/>
                  <w:vAlign w:val="center"/>
                </w:tcPr>
                <w:p w14:paraId="489439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666" w:type="pct"/>
                  <w:vMerge w:val="continue"/>
                  <w:tcBorders>
                    <w:left w:val="single" w:color="auto" w:sz="6" w:space="0"/>
                    <w:right w:val="single" w:color="auto" w:sz="6" w:space="0"/>
                  </w:tcBorders>
                  <w:noWrap w:val="0"/>
                  <w:vAlign w:val="center"/>
                </w:tcPr>
                <w:p w14:paraId="285377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553" w:type="pct"/>
                  <w:vMerge w:val="continue"/>
                  <w:tcBorders>
                    <w:left w:val="single" w:color="auto" w:sz="6" w:space="0"/>
                    <w:right w:val="single" w:color="auto" w:sz="6" w:space="0"/>
                  </w:tcBorders>
                  <w:noWrap w:val="0"/>
                  <w:vAlign w:val="center"/>
                </w:tcPr>
                <w:p w14:paraId="017C3A1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733" w:type="pct"/>
                  <w:tcBorders>
                    <w:top w:val="single" w:color="auto" w:sz="6" w:space="0"/>
                    <w:left w:val="single" w:color="auto" w:sz="6" w:space="0"/>
                    <w:bottom w:val="single" w:color="auto" w:sz="6" w:space="0"/>
                    <w:right w:val="single" w:color="auto" w:sz="6" w:space="0"/>
                  </w:tcBorders>
                  <w:noWrap w:val="0"/>
                  <w:vAlign w:val="center"/>
                </w:tcPr>
                <w:p w14:paraId="279DC9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臭气浓度</w:t>
                  </w:r>
                </w:p>
              </w:tc>
              <w:tc>
                <w:tcPr>
                  <w:tcW w:w="662" w:type="pct"/>
                  <w:tcBorders>
                    <w:top w:val="single" w:color="auto" w:sz="6" w:space="0"/>
                    <w:left w:val="single" w:color="auto" w:sz="6" w:space="0"/>
                    <w:right w:val="single" w:color="auto" w:sz="6" w:space="0"/>
                  </w:tcBorders>
                  <w:noWrap w:val="0"/>
                  <w:vAlign w:val="center"/>
                </w:tcPr>
                <w:p w14:paraId="34DF34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Times New Roman" w:cs="宋体"/>
                      <w:color w:val="auto"/>
                      <w:sz w:val="21"/>
                      <w:szCs w:val="21"/>
                    </w:rPr>
                    <w:t>1次/年</w:t>
                  </w:r>
                </w:p>
              </w:tc>
              <w:tc>
                <w:tcPr>
                  <w:tcW w:w="1942" w:type="pct"/>
                  <w:tcBorders>
                    <w:top w:val="single" w:color="auto" w:sz="6" w:space="0"/>
                    <w:left w:val="single" w:color="auto" w:sz="6" w:space="0"/>
                    <w:right w:val="single" w:color="auto" w:sz="6" w:space="0"/>
                  </w:tcBorders>
                  <w:noWrap w:val="0"/>
                  <w:vAlign w:val="center"/>
                </w:tcPr>
                <w:p w14:paraId="549410DB">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r>
                    <w:rPr>
                      <w:rFonts w:hint="default" w:ascii="Times New Roman" w:hAnsi="Times New Roman" w:eastAsia="宋体" w:cs="Times New Roman"/>
                      <w:color w:val="auto"/>
                      <w:sz w:val="21"/>
                      <w:szCs w:val="21"/>
                      <w:lang w:eastAsia="zh-CN"/>
                    </w:rPr>
                    <w:t>《恶臭污染物排放标准》（GB14554-93）表2中臭气浓度排放标准</w:t>
                  </w:r>
                </w:p>
              </w:tc>
            </w:tr>
            <w:tr w14:paraId="4AC5C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vMerge w:val="continue"/>
                  <w:tcBorders>
                    <w:left w:val="single" w:color="auto" w:sz="6" w:space="0"/>
                    <w:right w:val="single" w:color="auto" w:sz="6" w:space="0"/>
                  </w:tcBorders>
                  <w:noWrap w:val="0"/>
                  <w:vAlign w:val="center"/>
                </w:tcPr>
                <w:p w14:paraId="7862EC2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666" w:type="pct"/>
                  <w:vMerge w:val="restart"/>
                  <w:tcBorders>
                    <w:top w:val="single" w:color="auto" w:sz="6" w:space="0"/>
                    <w:left w:val="single" w:color="auto" w:sz="6" w:space="0"/>
                    <w:right w:val="single" w:color="auto" w:sz="6" w:space="0"/>
                  </w:tcBorders>
                  <w:noWrap w:val="0"/>
                  <w:vAlign w:val="center"/>
                </w:tcPr>
                <w:p w14:paraId="135A99B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w:t>
                  </w:r>
                </w:p>
              </w:tc>
              <w:tc>
                <w:tcPr>
                  <w:tcW w:w="553" w:type="pct"/>
                  <w:vMerge w:val="restart"/>
                  <w:tcBorders>
                    <w:top w:val="single" w:color="auto" w:sz="6" w:space="0"/>
                    <w:left w:val="single" w:color="auto" w:sz="6" w:space="0"/>
                    <w:right w:val="single" w:color="auto" w:sz="6" w:space="0"/>
                  </w:tcBorders>
                  <w:noWrap w:val="0"/>
                  <w:vAlign w:val="center"/>
                </w:tcPr>
                <w:p w14:paraId="5B75E3A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上风向1个点，下风向3个点</w:t>
                  </w:r>
                </w:p>
              </w:tc>
              <w:tc>
                <w:tcPr>
                  <w:tcW w:w="733" w:type="pct"/>
                  <w:tcBorders>
                    <w:top w:val="single" w:color="auto" w:sz="6" w:space="0"/>
                    <w:left w:val="single" w:color="auto" w:sz="6" w:space="0"/>
                    <w:bottom w:val="single" w:color="auto" w:sz="6" w:space="0"/>
                    <w:right w:val="single" w:color="auto" w:sz="6" w:space="0"/>
                  </w:tcBorders>
                  <w:noWrap w:val="0"/>
                  <w:vAlign w:val="center"/>
                </w:tcPr>
                <w:p w14:paraId="288D153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非甲烷总烃</w:t>
                  </w:r>
                </w:p>
              </w:tc>
              <w:tc>
                <w:tcPr>
                  <w:tcW w:w="662" w:type="pct"/>
                  <w:tcBorders>
                    <w:top w:val="single" w:color="auto" w:sz="6" w:space="0"/>
                    <w:left w:val="single" w:color="auto" w:sz="6" w:space="0"/>
                    <w:bottom w:val="single" w:color="auto" w:sz="6" w:space="0"/>
                    <w:right w:val="single" w:color="auto" w:sz="6" w:space="0"/>
                  </w:tcBorders>
                  <w:noWrap w:val="0"/>
                  <w:vAlign w:val="center"/>
                </w:tcPr>
                <w:p w14:paraId="33529E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Times New Roman" w:cs="宋体"/>
                      <w:color w:val="auto"/>
                      <w:sz w:val="21"/>
                      <w:szCs w:val="21"/>
                    </w:rPr>
                    <w:t>1次/年</w:t>
                  </w:r>
                </w:p>
              </w:tc>
              <w:tc>
                <w:tcPr>
                  <w:tcW w:w="1942" w:type="pct"/>
                  <w:vMerge w:val="restart"/>
                  <w:tcBorders>
                    <w:top w:val="single" w:color="auto" w:sz="6" w:space="0"/>
                    <w:left w:val="single" w:color="auto" w:sz="6" w:space="0"/>
                    <w:right w:val="single" w:color="auto" w:sz="6" w:space="0"/>
                  </w:tcBorders>
                  <w:noWrap w:val="0"/>
                  <w:vAlign w:val="center"/>
                </w:tcPr>
                <w:p w14:paraId="708A474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r>
                    <w:rPr>
                      <w:rFonts w:hint="default" w:ascii="Times New Roman" w:hAnsi="Times New Roman" w:eastAsia="宋体" w:cs="Times New Roman"/>
                      <w:color w:val="auto"/>
                      <w:sz w:val="21"/>
                      <w:szCs w:val="21"/>
                    </w:rPr>
                    <w:t>《合成树脂工业污染物排放标准》（GB31572-2015含2024年修改单）表9 企业边界大气污染物浓度限值</w:t>
                  </w:r>
                </w:p>
              </w:tc>
            </w:tr>
            <w:tr w14:paraId="353BF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vMerge w:val="continue"/>
                  <w:tcBorders>
                    <w:left w:val="single" w:color="auto" w:sz="6" w:space="0"/>
                    <w:right w:val="single" w:color="auto" w:sz="6" w:space="0"/>
                  </w:tcBorders>
                  <w:noWrap w:val="0"/>
                  <w:vAlign w:val="center"/>
                </w:tcPr>
                <w:p w14:paraId="56043F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666" w:type="pct"/>
                  <w:vMerge w:val="continue"/>
                  <w:tcBorders>
                    <w:left w:val="single" w:color="auto" w:sz="6" w:space="0"/>
                    <w:right w:val="single" w:color="auto" w:sz="6" w:space="0"/>
                  </w:tcBorders>
                  <w:noWrap w:val="0"/>
                  <w:vAlign w:val="center"/>
                </w:tcPr>
                <w:p w14:paraId="3E9519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553" w:type="pct"/>
                  <w:vMerge w:val="continue"/>
                  <w:tcBorders>
                    <w:left w:val="single" w:color="auto" w:sz="6" w:space="0"/>
                    <w:right w:val="single" w:color="auto" w:sz="6" w:space="0"/>
                  </w:tcBorders>
                  <w:noWrap w:val="0"/>
                  <w:vAlign w:val="center"/>
                </w:tcPr>
                <w:p w14:paraId="528A0E4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733" w:type="pct"/>
                  <w:tcBorders>
                    <w:top w:val="single" w:color="auto" w:sz="6" w:space="0"/>
                    <w:left w:val="single" w:color="auto" w:sz="6" w:space="0"/>
                    <w:bottom w:val="single" w:color="auto" w:sz="6" w:space="0"/>
                    <w:right w:val="single" w:color="auto" w:sz="6" w:space="0"/>
                  </w:tcBorders>
                  <w:noWrap w:val="0"/>
                  <w:vAlign w:val="center"/>
                </w:tcPr>
                <w:p w14:paraId="2641319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颗粒物</w:t>
                  </w:r>
                </w:p>
              </w:tc>
              <w:tc>
                <w:tcPr>
                  <w:tcW w:w="662" w:type="pct"/>
                  <w:tcBorders>
                    <w:top w:val="single" w:color="auto" w:sz="6" w:space="0"/>
                    <w:left w:val="single" w:color="auto" w:sz="6" w:space="0"/>
                    <w:bottom w:val="single" w:color="auto" w:sz="6" w:space="0"/>
                    <w:right w:val="single" w:color="auto" w:sz="6" w:space="0"/>
                  </w:tcBorders>
                  <w:noWrap w:val="0"/>
                  <w:vAlign w:val="center"/>
                </w:tcPr>
                <w:p w14:paraId="691C3BA0">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r>
                    <w:rPr>
                      <w:rFonts w:hint="eastAsia" w:ascii="Times New Roman" w:hAnsi="Times New Roman" w:eastAsia="Times New Roman" w:cs="宋体"/>
                      <w:color w:val="auto"/>
                      <w:sz w:val="21"/>
                      <w:szCs w:val="21"/>
                    </w:rPr>
                    <w:t>1次/年</w:t>
                  </w:r>
                </w:p>
              </w:tc>
              <w:tc>
                <w:tcPr>
                  <w:tcW w:w="1942" w:type="pct"/>
                  <w:vMerge w:val="continue"/>
                  <w:tcBorders>
                    <w:left w:val="single" w:color="auto" w:sz="6" w:space="0"/>
                    <w:bottom w:val="single" w:color="auto" w:sz="6" w:space="0"/>
                    <w:right w:val="single" w:color="auto" w:sz="6" w:space="0"/>
                  </w:tcBorders>
                  <w:noWrap w:val="0"/>
                  <w:vAlign w:val="center"/>
                </w:tcPr>
                <w:p w14:paraId="4A7A509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p>
              </w:tc>
            </w:tr>
            <w:tr w14:paraId="1A282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vMerge w:val="continue"/>
                  <w:tcBorders>
                    <w:left w:val="single" w:color="auto" w:sz="6" w:space="0"/>
                    <w:right w:val="single" w:color="auto" w:sz="6" w:space="0"/>
                  </w:tcBorders>
                  <w:noWrap w:val="0"/>
                  <w:vAlign w:val="center"/>
                </w:tcPr>
                <w:p w14:paraId="58D7AC3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666" w:type="pct"/>
                  <w:vMerge w:val="continue"/>
                  <w:tcBorders>
                    <w:left w:val="single" w:color="auto" w:sz="6" w:space="0"/>
                    <w:bottom w:val="single" w:color="auto" w:sz="6" w:space="0"/>
                    <w:right w:val="single" w:color="auto" w:sz="6" w:space="0"/>
                  </w:tcBorders>
                  <w:noWrap w:val="0"/>
                  <w:vAlign w:val="center"/>
                </w:tcPr>
                <w:p w14:paraId="6342D21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553" w:type="pct"/>
                  <w:vMerge w:val="continue"/>
                  <w:tcBorders>
                    <w:left w:val="single" w:color="auto" w:sz="6" w:space="0"/>
                    <w:bottom w:val="single" w:color="auto" w:sz="6" w:space="0"/>
                    <w:right w:val="single" w:color="auto" w:sz="6" w:space="0"/>
                  </w:tcBorders>
                  <w:noWrap w:val="0"/>
                  <w:vAlign w:val="center"/>
                </w:tcPr>
                <w:p w14:paraId="1F91FF8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733" w:type="pct"/>
                  <w:tcBorders>
                    <w:top w:val="single" w:color="auto" w:sz="6" w:space="0"/>
                    <w:left w:val="single" w:color="auto" w:sz="6" w:space="0"/>
                    <w:bottom w:val="single" w:color="auto" w:sz="6" w:space="0"/>
                    <w:right w:val="single" w:color="auto" w:sz="6" w:space="0"/>
                  </w:tcBorders>
                  <w:noWrap w:val="0"/>
                  <w:vAlign w:val="center"/>
                </w:tcPr>
                <w:p w14:paraId="30B1B1E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臭气浓度</w:t>
                  </w:r>
                </w:p>
              </w:tc>
              <w:tc>
                <w:tcPr>
                  <w:tcW w:w="662" w:type="pct"/>
                  <w:tcBorders>
                    <w:top w:val="single" w:color="auto" w:sz="6" w:space="0"/>
                    <w:left w:val="single" w:color="auto" w:sz="6" w:space="0"/>
                    <w:bottom w:val="single" w:color="auto" w:sz="6" w:space="0"/>
                    <w:right w:val="single" w:color="auto" w:sz="6" w:space="0"/>
                  </w:tcBorders>
                  <w:noWrap w:val="0"/>
                  <w:vAlign w:val="center"/>
                </w:tcPr>
                <w:p w14:paraId="56099027">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r>
                    <w:rPr>
                      <w:rFonts w:hint="eastAsia" w:ascii="Times New Roman" w:hAnsi="Times New Roman" w:eastAsia="Times New Roman" w:cs="宋体"/>
                      <w:color w:val="auto"/>
                      <w:sz w:val="21"/>
                      <w:szCs w:val="21"/>
                    </w:rPr>
                    <w:t>1次/年</w:t>
                  </w:r>
                </w:p>
              </w:tc>
              <w:tc>
                <w:tcPr>
                  <w:tcW w:w="1942" w:type="pct"/>
                  <w:tcBorders>
                    <w:top w:val="single" w:color="auto" w:sz="6" w:space="0"/>
                    <w:left w:val="single" w:color="auto" w:sz="6" w:space="0"/>
                    <w:bottom w:val="single" w:color="auto" w:sz="6" w:space="0"/>
                    <w:right w:val="single" w:color="auto" w:sz="6" w:space="0"/>
                  </w:tcBorders>
                  <w:noWrap w:val="0"/>
                  <w:vAlign w:val="center"/>
                </w:tcPr>
                <w:p w14:paraId="4A77AEF6">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宋体"/>
                      <w:color w:val="auto"/>
                      <w:sz w:val="21"/>
                      <w:szCs w:val="21"/>
                    </w:rPr>
                  </w:pPr>
                  <w:r>
                    <w:rPr>
                      <w:rFonts w:hint="default" w:ascii="Times New Roman" w:hAnsi="Times New Roman" w:eastAsia="宋体" w:cs="Times New Roman"/>
                      <w:color w:val="auto"/>
                      <w:sz w:val="21"/>
                      <w:szCs w:val="21"/>
                    </w:rPr>
                    <w:t>《恶臭污染物排放标准》（GB14554-93）表1中标准限值</w:t>
                  </w:r>
                </w:p>
              </w:tc>
            </w:tr>
            <w:tr w14:paraId="4913A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41" w:type="pct"/>
                  <w:vMerge w:val="continue"/>
                  <w:tcBorders>
                    <w:left w:val="single" w:color="auto" w:sz="6" w:space="0"/>
                    <w:right w:val="single" w:color="auto" w:sz="6" w:space="0"/>
                  </w:tcBorders>
                  <w:noWrap w:val="0"/>
                  <w:vAlign w:val="center"/>
                </w:tcPr>
                <w:p w14:paraId="2AA1B22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666" w:type="pct"/>
                  <w:tcBorders>
                    <w:top w:val="single" w:color="auto" w:sz="6" w:space="0"/>
                    <w:left w:val="single" w:color="auto" w:sz="6" w:space="0"/>
                    <w:bottom w:val="single" w:color="auto" w:sz="6" w:space="0"/>
                    <w:right w:val="single" w:color="auto" w:sz="6" w:space="0"/>
                  </w:tcBorders>
                  <w:noWrap w:val="0"/>
                  <w:vAlign w:val="center"/>
                </w:tcPr>
                <w:p w14:paraId="053AFFF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厂区内</w:t>
                  </w:r>
                </w:p>
              </w:tc>
              <w:tc>
                <w:tcPr>
                  <w:tcW w:w="553" w:type="pct"/>
                  <w:tcBorders>
                    <w:top w:val="single" w:color="auto" w:sz="6" w:space="0"/>
                    <w:left w:val="single" w:color="auto" w:sz="6" w:space="0"/>
                    <w:bottom w:val="single" w:color="auto" w:sz="6" w:space="0"/>
                    <w:right w:val="single" w:color="auto" w:sz="6" w:space="0"/>
                  </w:tcBorders>
                  <w:noWrap w:val="0"/>
                  <w:vAlign w:val="center"/>
                </w:tcPr>
                <w:p w14:paraId="0D7AE62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1个</w:t>
                  </w:r>
                </w:p>
              </w:tc>
              <w:tc>
                <w:tcPr>
                  <w:tcW w:w="733" w:type="pct"/>
                  <w:tcBorders>
                    <w:top w:val="single" w:color="auto" w:sz="6" w:space="0"/>
                    <w:left w:val="single" w:color="auto" w:sz="6" w:space="0"/>
                    <w:bottom w:val="single" w:color="auto" w:sz="6" w:space="0"/>
                    <w:right w:val="single" w:color="auto" w:sz="6" w:space="0"/>
                  </w:tcBorders>
                  <w:noWrap w:val="0"/>
                  <w:vAlign w:val="center"/>
                </w:tcPr>
                <w:p w14:paraId="7A7225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非甲烷总烃</w:t>
                  </w:r>
                </w:p>
              </w:tc>
              <w:tc>
                <w:tcPr>
                  <w:tcW w:w="662" w:type="pct"/>
                  <w:tcBorders>
                    <w:top w:val="single" w:color="auto" w:sz="6" w:space="0"/>
                    <w:left w:val="single" w:color="auto" w:sz="6" w:space="0"/>
                    <w:right w:val="single" w:color="auto" w:sz="6" w:space="0"/>
                  </w:tcBorders>
                  <w:noWrap w:val="0"/>
                  <w:vAlign w:val="center"/>
                </w:tcPr>
                <w:p w14:paraId="3A381B0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1次/年</w:t>
                  </w:r>
                </w:p>
              </w:tc>
              <w:tc>
                <w:tcPr>
                  <w:tcW w:w="1942" w:type="pct"/>
                  <w:tcBorders>
                    <w:top w:val="single" w:color="auto" w:sz="6" w:space="0"/>
                    <w:left w:val="single" w:color="auto" w:sz="6" w:space="0"/>
                    <w:right w:val="single" w:color="auto" w:sz="6" w:space="0"/>
                  </w:tcBorders>
                  <w:noWrap w:val="0"/>
                  <w:vAlign w:val="center"/>
                </w:tcPr>
                <w:p w14:paraId="2D3D10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《挥发性有机物无组织排放控制标准》（GB37822-2019）</w:t>
                  </w:r>
                  <w:r>
                    <w:rPr>
                      <w:rFonts w:hint="default" w:ascii="Times New Roman" w:hAnsi="Times New Roman" w:eastAsia="宋体" w:cs="Times New Roman"/>
                      <w:color w:val="auto"/>
                      <w:sz w:val="21"/>
                      <w:szCs w:val="21"/>
                      <w:lang w:val="en-US" w:eastAsia="zh-CN"/>
                    </w:rPr>
                    <w:t>表A.1</w:t>
                  </w:r>
                  <w:r>
                    <w:rPr>
                      <w:rFonts w:hint="default" w:ascii="Times New Roman" w:hAnsi="Times New Roman" w:eastAsia="宋体" w:cs="Times New Roman"/>
                      <w:color w:val="auto"/>
                      <w:sz w:val="21"/>
                      <w:szCs w:val="21"/>
                    </w:rPr>
                    <w:t>中的排放限值</w:t>
                  </w:r>
                </w:p>
              </w:tc>
            </w:tr>
          </w:tbl>
          <w:p w14:paraId="18DDAAC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2、废水</w:t>
            </w:r>
          </w:p>
          <w:p w14:paraId="59EBC91F">
            <w:pPr>
              <w:pStyle w:val="60"/>
              <w:keepNext w:val="0"/>
              <w:keepLines w:val="0"/>
              <w:suppressLineNumbers w:val="0"/>
              <w:spacing w:before="0" w:beforeAutospacing="0" w:after="0" w:afterAutospacing="0"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）项目</w:t>
            </w:r>
            <w:r>
              <w:rPr>
                <w:rFonts w:hint="default" w:ascii="Times New Roman" w:hAnsi="Times New Roman" w:eastAsia="宋体" w:cs="Times New Roman"/>
                <w:b/>
                <w:bCs/>
                <w:color w:val="auto"/>
                <w:kern w:val="0"/>
                <w:sz w:val="24"/>
                <w:lang w:bidi="ar"/>
              </w:rPr>
              <w:t>废水污染源强分析</w:t>
            </w:r>
          </w:p>
          <w:p w14:paraId="7CBA8A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运营期不设</w:t>
            </w:r>
            <w:r>
              <w:rPr>
                <w:rFonts w:hint="default" w:ascii="Times New Roman" w:hAnsi="Times New Roman" w:eastAsia="宋体" w:cs="Times New Roman"/>
                <w:color w:val="auto"/>
                <w:sz w:val="24"/>
                <w:szCs w:val="24"/>
                <w:lang w:val="en-US" w:eastAsia="zh-CN"/>
              </w:rPr>
              <w:t>宿舍，</w:t>
            </w:r>
            <w:r>
              <w:rPr>
                <w:rFonts w:hint="default" w:ascii="Times New Roman" w:hAnsi="Times New Roman" w:eastAsia="宋体" w:cs="Times New Roman"/>
                <w:color w:val="auto"/>
                <w:sz w:val="24"/>
                <w:szCs w:val="24"/>
              </w:rPr>
              <w:t>项目内</w:t>
            </w:r>
            <w:r>
              <w:rPr>
                <w:rFonts w:hint="default" w:ascii="Times New Roman" w:hAnsi="Times New Roman" w:eastAsia="宋体" w:cs="Times New Roman"/>
                <w:color w:val="auto"/>
                <w:sz w:val="24"/>
                <w:szCs w:val="24"/>
                <w:lang w:val="en-US" w:eastAsia="zh-CN"/>
              </w:rPr>
              <w:t>依托</w:t>
            </w:r>
            <w:r>
              <w:rPr>
                <w:rFonts w:hint="default" w:ascii="Times New Roman" w:hAnsi="Times New Roman" w:eastAsia="宋体" w:cs="Times New Roman"/>
                <w:caps w:val="0"/>
                <w:smallCaps w:val="0"/>
                <w:color w:val="auto"/>
                <w:kern w:val="2"/>
                <w:sz w:val="24"/>
                <w:szCs w:val="24"/>
                <w:lang w:val="en-US" w:eastAsia="zh-CN" w:bidi="ar-SA"/>
              </w:rPr>
              <w:t>云南鹏达冠得有限公司配套的食堂为员工提供午餐</w:t>
            </w:r>
            <w:r>
              <w:rPr>
                <w:rFonts w:hint="default" w:ascii="Times New Roman" w:hAnsi="Times New Roman" w:eastAsia="宋体" w:cs="Times New Roman"/>
                <w:color w:val="auto"/>
                <w:sz w:val="24"/>
                <w:szCs w:val="24"/>
              </w:rPr>
              <w:t>，用水主要为冷却用水、</w:t>
            </w:r>
            <w:r>
              <w:rPr>
                <w:rFonts w:hint="default" w:ascii="Times New Roman" w:hAnsi="Times New Roman" w:eastAsia="宋体" w:cs="Times New Roman"/>
                <w:color w:val="auto"/>
                <w:sz w:val="24"/>
                <w:szCs w:val="24"/>
                <w:lang w:val="en-US" w:eastAsia="zh-CN"/>
              </w:rPr>
              <w:t>生活</w:t>
            </w:r>
            <w:r>
              <w:rPr>
                <w:rFonts w:hint="default" w:ascii="Times New Roman" w:hAnsi="Times New Roman" w:eastAsia="宋体" w:cs="Times New Roman"/>
                <w:color w:val="auto"/>
                <w:sz w:val="24"/>
                <w:szCs w:val="24"/>
              </w:rPr>
              <w:t>用</w:t>
            </w:r>
            <w:r>
              <w:rPr>
                <w:rFonts w:hint="default" w:ascii="Times New Roman" w:hAnsi="Times New Roman" w:eastAsia="宋体" w:cs="Times New Roman"/>
                <w:color w:val="auto"/>
                <w:sz w:val="24"/>
                <w:szCs w:val="24"/>
                <w:lang w:val="en-US" w:eastAsia="zh-CN"/>
              </w:rPr>
              <w:t>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办公用水、食堂用水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。项目运营期产生的废水主要为</w:t>
            </w:r>
            <w:r>
              <w:rPr>
                <w:rFonts w:hint="default" w:ascii="Times New Roman" w:hAnsi="Times New Roman" w:eastAsia="宋体" w:cs="Times New Roman"/>
                <w:color w:val="auto"/>
                <w:sz w:val="24"/>
                <w:szCs w:val="24"/>
                <w:lang w:val="en-US" w:eastAsia="zh-CN"/>
              </w:rPr>
              <w:t>生活污水</w:t>
            </w:r>
            <w:r>
              <w:rPr>
                <w:rFonts w:hint="eastAsia" w:cs="Times New Roman"/>
                <w:color w:val="auto"/>
                <w:sz w:val="24"/>
                <w:szCs w:val="24"/>
                <w:lang w:val="en-US" w:eastAsia="zh-CN"/>
              </w:rPr>
              <w:t>、间接冷却循环废水</w:t>
            </w:r>
            <w:r>
              <w:rPr>
                <w:rFonts w:hint="default" w:ascii="Times New Roman" w:hAnsi="Times New Roman" w:eastAsia="宋体" w:cs="Times New Roman"/>
                <w:color w:val="auto"/>
                <w:sz w:val="24"/>
                <w:szCs w:val="24"/>
              </w:rPr>
              <w:t>。</w:t>
            </w:r>
          </w:p>
          <w:p w14:paraId="471EB57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①生活污水</w:t>
            </w:r>
          </w:p>
          <w:p w14:paraId="584CF86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根据工程分析，项目</w:t>
            </w:r>
            <w:r>
              <w:rPr>
                <w:rFonts w:hint="default" w:ascii="Times New Roman" w:hAnsi="Times New Roman" w:eastAsia="宋体" w:cs="Times New Roman"/>
                <w:color w:val="auto"/>
                <w:sz w:val="24"/>
                <w:szCs w:val="24"/>
                <w:lang w:val="en-US" w:eastAsia="zh-CN"/>
              </w:rPr>
              <w:t>生活污水产生量为0.</w:t>
            </w:r>
            <w:r>
              <w:rPr>
                <w:rFonts w:hint="eastAsia" w:ascii="Times New Roman" w:hAnsi="Times New Roman" w:eastAsia="宋体" w:cs="Times New Roman"/>
                <w:color w:val="auto"/>
                <w:sz w:val="24"/>
                <w:szCs w:val="24"/>
                <w:lang w:val="en-US" w:eastAsia="zh-CN"/>
              </w:rPr>
              <w:t>96</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288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lang w:val="en-US" w:eastAsia="zh-CN"/>
              </w:rPr>
              <w:t>生活污水</w:t>
            </w:r>
            <w:r>
              <w:rPr>
                <w:rFonts w:hint="default" w:ascii="Times New Roman" w:hAnsi="Times New Roman" w:eastAsia="宋体" w:cs="Times New Roman"/>
                <w:color w:val="auto"/>
                <w:sz w:val="24"/>
                <w:szCs w:val="24"/>
              </w:rPr>
              <w:t>主要污染物为</w:t>
            </w:r>
            <w:r>
              <w:rPr>
                <w:rFonts w:hint="default" w:ascii="Times New Roman" w:hAnsi="Times New Roman" w:eastAsia="宋体" w:cs="Times New Roman"/>
                <w:color w:val="auto"/>
                <w:sz w:val="24"/>
                <w:szCs w:val="24"/>
                <w:lang w:val="en-US" w:eastAsia="zh-CN"/>
              </w:rPr>
              <w:t>COD、BOD</w:t>
            </w:r>
            <w:r>
              <w:rPr>
                <w:rFonts w:hint="default" w:ascii="Times New Roman" w:hAnsi="Times New Roman" w:eastAsia="宋体" w:cs="Times New Roman"/>
                <w:color w:val="auto"/>
                <w:sz w:val="24"/>
                <w:szCs w:val="24"/>
                <w:vertAlign w:val="subscript"/>
                <w:lang w:val="en-US" w:eastAsia="zh-CN"/>
              </w:rPr>
              <w:t>5</w:t>
            </w:r>
            <w:r>
              <w:rPr>
                <w:rFonts w:hint="default" w:ascii="Times New Roman" w:hAnsi="Times New Roman" w:eastAsia="宋体" w:cs="Times New Roman"/>
                <w:color w:val="auto"/>
                <w:sz w:val="24"/>
                <w:szCs w:val="24"/>
                <w:lang w:val="en-US" w:eastAsia="zh-CN"/>
              </w:rPr>
              <w:t>、氨氮、总磷、动植物油等</w:t>
            </w:r>
            <w:r>
              <w:rPr>
                <w:rFonts w:hint="default" w:ascii="Times New Roman" w:hAnsi="Times New Roman" w:eastAsia="宋体" w:cs="Times New Roman"/>
                <w:color w:val="auto"/>
                <w:sz w:val="24"/>
                <w:szCs w:val="24"/>
              </w:rPr>
              <w:t>，生活污水</w:t>
            </w:r>
            <w:r>
              <w:rPr>
                <w:rFonts w:hint="default" w:ascii="Times New Roman" w:hAnsi="Times New Roman" w:eastAsia="宋体" w:cs="Times New Roman"/>
                <w:color w:val="auto"/>
                <w:sz w:val="24"/>
                <w:szCs w:val="24"/>
                <w:lang w:val="en-US" w:eastAsia="zh-CN"/>
              </w:rPr>
              <w:t>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已建污水处理系统（化粪池+</w:t>
            </w:r>
            <w:r>
              <w:rPr>
                <w:rFonts w:hint="default" w:ascii="Times New Roman" w:hAnsi="Times New Roman" w:eastAsia="宋体" w:cs="Times New Roman"/>
                <w:color w:val="auto"/>
                <w:kern w:val="0"/>
                <w:sz w:val="24"/>
                <w:szCs w:val="24"/>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处理达标后</w:t>
            </w:r>
            <w:r>
              <w:rPr>
                <w:rFonts w:hint="default" w:ascii="Times New Roman" w:hAnsi="Times New Roman" w:eastAsia="宋体" w:cs="Times New Roman"/>
                <w:color w:val="auto"/>
                <w:sz w:val="24"/>
                <w:szCs w:val="24"/>
              </w:rPr>
              <w:t>用于</w:t>
            </w:r>
            <w:r>
              <w:rPr>
                <w:rFonts w:hint="default" w:ascii="Times New Roman" w:hAnsi="Times New Roman" w:eastAsia="宋体" w:cs="Times New Roman"/>
                <w:color w:val="auto"/>
                <w:kern w:val="0"/>
                <w:sz w:val="24"/>
                <w:szCs w:val="24"/>
                <w:lang w:val="en-US" w:eastAsia="zh-CN" w:bidi="ar"/>
              </w:rPr>
              <w:t>绿化浇灌及道路洒水</w:t>
            </w:r>
            <w:r>
              <w:rPr>
                <w:rFonts w:hint="default" w:ascii="Times New Roman" w:hAnsi="Times New Roman" w:eastAsia="宋体" w:cs="Times New Roman"/>
                <w:color w:val="auto"/>
                <w:sz w:val="24"/>
                <w:szCs w:val="24"/>
              </w:rPr>
              <w:t>，不外排。</w:t>
            </w:r>
          </w:p>
          <w:p w14:paraId="59D656CD">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sz w:val="24"/>
              </w:rPr>
              <w:t>项目生活污水</w:t>
            </w:r>
            <w:r>
              <w:rPr>
                <w:rFonts w:hint="default" w:ascii="Times New Roman" w:hAnsi="Times New Roman" w:eastAsia="宋体" w:cs="Times New Roman"/>
                <w:color w:val="auto"/>
                <w:kern w:val="0"/>
                <w:sz w:val="24"/>
                <w:lang w:bidi="ar"/>
              </w:rPr>
              <w:t>污染因子主要为pH、</w:t>
            </w:r>
            <w:r>
              <w:rPr>
                <w:rFonts w:hint="default" w:ascii="Times New Roman" w:hAnsi="Times New Roman" w:eastAsia="宋体" w:cs="Times New Roman"/>
                <w:color w:val="auto"/>
                <w:sz w:val="24"/>
              </w:rPr>
              <w:t>COD、BOD</w:t>
            </w:r>
            <w:r>
              <w:rPr>
                <w:rFonts w:hint="default" w:ascii="Times New Roman" w:hAnsi="Times New Roman" w:eastAsia="宋体" w:cs="Times New Roman"/>
                <w:color w:val="auto"/>
                <w:sz w:val="24"/>
                <w:vertAlign w:val="subscript"/>
              </w:rPr>
              <w:t>5</w:t>
            </w:r>
            <w:r>
              <w:rPr>
                <w:rFonts w:hint="default" w:ascii="Times New Roman" w:hAnsi="Times New Roman" w:eastAsia="宋体" w:cs="Times New Roman"/>
                <w:color w:val="auto"/>
                <w:sz w:val="24"/>
              </w:rPr>
              <w:t>、总磷</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氨氮</w:t>
            </w:r>
            <w:r>
              <w:rPr>
                <w:rFonts w:hint="default" w:ascii="Times New Roman" w:hAnsi="Times New Roman" w:eastAsia="宋体" w:cs="Times New Roman"/>
                <w:color w:val="auto"/>
                <w:sz w:val="24"/>
                <w:lang w:val="en-US" w:eastAsia="zh-CN"/>
              </w:rPr>
              <w:t>以及</w:t>
            </w:r>
            <w:r>
              <w:rPr>
                <w:rFonts w:hint="default" w:ascii="Times New Roman" w:hAnsi="Times New Roman" w:eastAsia="宋体" w:cs="Times New Roman"/>
                <w:color w:val="auto"/>
                <w:sz w:val="24"/>
              </w:rPr>
              <w:t>动植物油</w:t>
            </w:r>
            <w:r>
              <w:rPr>
                <w:rFonts w:hint="default" w:ascii="Times New Roman" w:hAnsi="Times New Roman" w:eastAsia="宋体" w:cs="Times New Roman"/>
                <w:color w:val="auto"/>
                <w:kern w:val="0"/>
                <w:sz w:val="24"/>
                <w:lang w:bidi="ar"/>
              </w:rPr>
              <w:t>等</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根据</w:t>
            </w:r>
            <w:r>
              <w:rPr>
                <w:rFonts w:hint="default" w:ascii="Times New Roman" w:hAnsi="Times New Roman" w:eastAsia="宋体" w:cs="宋体"/>
                <w:color w:val="auto"/>
                <w:spacing w:val="-4"/>
                <w:sz w:val="24"/>
                <w:szCs w:val="24"/>
                <w:lang w:val="en-US" w:eastAsia="zh-CN"/>
              </w:rPr>
              <w:t>《第二次全国生活污染源产排污系数手册（试用版）》表6-6中“</w:t>
            </w:r>
            <w:r>
              <w:rPr>
                <w:rFonts w:hint="eastAsia" w:cs="宋体"/>
                <w:color w:val="auto"/>
                <w:spacing w:val="-4"/>
                <w:sz w:val="24"/>
                <w:szCs w:val="24"/>
                <w:lang w:val="en-US" w:eastAsia="zh-CN"/>
              </w:rPr>
              <w:t>镇区</w:t>
            </w:r>
            <w:r>
              <w:rPr>
                <w:rFonts w:hint="default" w:ascii="Times New Roman" w:hAnsi="Times New Roman" w:eastAsia="宋体" w:cs="宋体"/>
                <w:color w:val="auto"/>
                <w:spacing w:val="-4"/>
                <w:sz w:val="24"/>
                <w:szCs w:val="24"/>
                <w:lang w:val="en-US" w:eastAsia="zh-CN"/>
              </w:rPr>
              <w:t>”产污系数平均值得知：生活污水水质浓度为COD</w:t>
            </w:r>
            <w:r>
              <w:rPr>
                <w:rFonts w:hint="eastAsia" w:cs="宋体"/>
                <w:color w:val="auto"/>
                <w:spacing w:val="-4"/>
                <w:sz w:val="24"/>
                <w:szCs w:val="24"/>
                <w:lang w:val="en-US" w:eastAsia="zh-CN"/>
              </w:rPr>
              <w:t xml:space="preserve"> 315</w:t>
            </w:r>
            <w:r>
              <w:rPr>
                <w:rFonts w:hint="default" w:ascii="Times New Roman" w:hAnsi="Times New Roman" w:eastAsia="宋体" w:cs="宋体"/>
                <w:color w:val="auto"/>
                <w:spacing w:val="-4"/>
                <w:sz w:val="24"/>
                <w:szCs w:val="24"/>
                <w:lang w:val="en-US" w:eastAsia="zh-CN"/>
              </w:rPr>
              <w:t>mg/L、BOD</w:t>
            </w:r>
            <w:r>
              <w:rPr>
                <w:rFonts w:hint="default" w:ascii="Times New Roman" w:hAnsi="Times New Roman" w:eastAsia="宋体" w:cs="宋体"/>
                <w:color w:val="auto"/>
                <w:spacing w:val="-4"/>
                <w:sz w:val="24"/>
                <w:szCs w:val="24"/>
                <w:vertAlign w:val="subscript"/>
                <w:lang w:val="en-US" w:eastAsia="zh-CN"/>
              </w:rPr>
              <w:t>5</w:t>
            </w:r>
            <w:r>
              <w:rPr>
                <w:rFonts w:hint="eastAsia" w:ascii="Times New Roman" w:hAnsi="Times New Roman" w:eastAsia="宋体" w:cs="宋体"/>
                <w:color w:val="auto"/>
                <w:spacing w:val="-4"/>
                <w:sz w:val="24"/>
                <w:szCs w:val="24"/>
                <w:lang w:val="en-US" w:eastAsia="zh-CN"/>
              </w:rPr>
              <w:t>1</w:t>
            </w:r>
            <w:r>
              <w:rPr>
                <w:rFonts w:hint="eastAsia" w:cs="宋体"/>
                <w:color w:val="auto"/>
                <w:spacing w:val="-4"/>
                <w:sz w:val="24"/>
                <w:szCs w:val="24"/>
                <w:lang w:val="en-US" w:eastAsia="zh-CN"/>
              </w:rPr>
              <w:t>36</w:t>
            </w:r>
            <w:r>
              <w:rPr>
                <w:rFonts w:hint="default" w:ascii="Times New Roman" w:hAnsi="Times New Roman" w:eastAsia="宋体" w:cs="宋体"/>
                <w:color w:val="auto"/>
                <w:spacing w:val="-4"/>
                <w:sz w:val="24"/>
                <w:szCs w:val="24"/>
                <w:lang w:val="en-US" w:eastAsia="zh-CN"/>
              </w:rPr>
              <w:t>mg/L、氨氮</w:t>
            </w:r>
            <w:r>
              <w:rPr>
                <w:rFonts w:hint="eastAsia" w:cs="宋体"/>
                <w:color w:val="auto"/>
                <w:spacing w:val="-4"/>
                <w:sz w:val="24"/>
                <w:szCs w:val="24"/>
                <w:lang w:val="en-US" w:eastAsia="zh-CN"/>
              </w:rPr>
              <w:t>31.4</w:t>
            </w:r>
            <w:r>
              <w:rPr>
                <w:rFonts w:hint="default" w:ascii="Times New Roman" w:hAnsi="Times New Roman" w:eastAsia="宋体" w:cs="宋体"/>
                <w:color w:val="auto"/>
                <w:spacing w:val="-4"/>
                <w:sz w:val="24"/>
                <w:szCs w:val="24"/>
                <w:lang w:val="en-US" w:eastAsia="zh-CN"/>
              </w:rPr>
              <w:t>mg/L、总磷</w:t>
            </w:r>
            <w:r>
              <w:rPr>
                <w:rFonts w:hint="eastAsia" w:cs="宋体"/>
                <w:color w:val="auto"/>
                <w:spacing w:val="-4"/>
                <w:sz w:val="24"/>
                <w:szCs w:val="24"/>
                <w:lang w:val="en-US" w:eastAsia="zh-CN"/>
              </w:rPr>
              <w:t>4.04</w:t>
            </w:r>
            <w:r>
              <w:rPr>
                <w:rFonts w:hint="default" w:ascii="Times New Roman" w:hAnsi="Times New Roman" w:eastAsia="宋体" w:cs="宋体"/>
                <w:color w:val="auto"/>
                <w:spacing w:val="-4"/>
                <w:sz w:val="24"/>
                <w:szCs w:val="24"/>
                <w:lang w:val="en-US" w:eastAsia="zh-CN"/>
              </w:rPr>
              <w:t>mg/L、动植物油：</w:t>
            </w:r>
            <w:r>
              <w:rPr>
                <w:rFonts w:hint="eastAsia" w:ascii="Times New Roman" w:hAnsi="Times New Roman" w:eastAsia="宋体" w:cs="宋体"/>
                <w:color w:val="auto"/>
                <w:spacing w:val="-4"/>
                <w:sz w:val="24"/>
                <w:szCs w:val="24"/>
                <w:lang w:val="en-US" w:eastAsia="zh-CN"/>
              </w:rPr>
              <w:t>4.</w:t>
            </w:r>
            <w:r>
              <w:rPr>
                <w:rFonts w:hint="eastAsia" w:cs="宋体"/>
                <w:color w:val="auto"/>
                <w:spacing w:val="-4"/>
                <w:sz w:val="24"/>
                <w:szCs w:val="24"/>
                <w:lang w:val="en-US" w:eastAsia="zh-CN"/>
              </w:rPr>
              <w:t>66</w:t>
            </w:r>
            <w:r>
              <w:rPr>
                <w:rFonts w:hint="default" w:ascii="Times New Roman" w:hAnsi="Times New Roman" w:eastAsia="宋体" w:cs="宋体"/>
                <w:color w:val="auto"/>
                <w:spacing w:val="-4"/>
                <w:sz w:val="24"/>
                <w:szCs w:val="24"/>
                <w:lang w:val="en-US" w:eastAsia="zh-CN"/>
              </w:rPr>
              <w:t>mg/L</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kern w:val="0"/>
                <w:sz w:val="24"/>
                <w:lang w:bidi="ar"/>
              </w:rPr>
              <w:t>项目生活污水中污染物种类详见表4-</w:t>
            </w:r>
            <w:r>
              <w:rPr>
                <w:rFonts w:hint="default" w:ascii="Times New Roman" w:hAnsi="Times New Roman" w:eastAsia="宋体" w:cs="Times New Roman"/>
                <w:color w:val="auto"/>
                <w:kern w:val="0"/>
                <w:sz w:val="24"/>
                <w:lang w:val="en-US" w:eastAsia="zh-CN" w:bidi="ar"/>
              </w:rPr>
              <w:t>1</w:t>
            </w:r>
            <w:r>
              <w:rPr>
                <w:rFonts w:hint="eastAsia" w:cs="Times New Roman"/>
                <w:color w:val="auto"/>
                <w:kern w:val="0"/>
                <w:sz w:val="24"/>
                <w:lang w:val="en-US" w:eastAsia="zh-CN" w:bidi="ar"/>
              </w:rPr>
              <w:t>1</w:t>
            </w:r>
            <w:r>
              <w:rPr>
                <w:rFonts w:hint="default" w:ascii="Times New Roman" w:hAnsi="Times New Roman" w:eastAsia="宋体" w:cs="Times New Roman"/>
                <w:color w:val="auto"/>
                <w:kern w:val="0"/>
                <w:sz w:val="24"/>
                <w:lang w:bidi="ar"/>
              </w:rPr>
              <w:t>。</w:t>
            </w:r>
          </w:p>
          <w:p w14:paraId="7D7C539C">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kern w:val="0"/>
                <w:szCs w:val="21"/>
                <w:lang w:bidi="ar"/>
              </w:rPr>
            </w:pPr>
            <w:r>
              <w:rPr>
                <w:rFonts w:hint="default" w:ascii="Times New Roman" w:hAnsi="Times New Roman" w:eastAsia="宋体" w:cs="Times New Roman"/>
                <w:b/>
                <w:bCs/>
                <w:color w:val="auto"/>
                <w:kern w:val="0"/>
                <w:szCs w:val="21"/>
                <w:lang w:bidi="ar"/>
              </w:rPr>
              <w:t>表4-</w:t>
            </w:r>
            <w:r>
              <w:rPr>
                <w:rFonts w:hint="default" w:ascii="Times New Roman" w:hAnsi="Times New Roman" w:eastAsia="宋体" w:cs="Times New Roman"/>
                <w:b/>
                <w:bCs/>
                <w:color w:val="auto"/>
                <w:kern w:val="0"/>
                <w:szCs w:val="21"/>
                <w:lang w:val="en-US" w:eastAsia="zh-CN" w:bidi="ar"/>
              </w:rPr>
              <w:t>1</w:t>
            </w:r>
            <w:r>
              <w:rPr>
                <w:rFonts w:hint="eastAsia" w:cs="Times New Roman"/>
                <w:b/>
                <w:bCs/>
                <w:color w:val="auto"/>
                <w:kern w:val="0"/>
                <w:szCs w:val="21"/>
                <w:lang w:val="en-US" w:eastAsia="zh-CN" w:bidi="ar"/>
              </w:rPr>
              <w:t>1</w:t>
            </w:r>
            <w:r>
              <w:rPr>
                <w:rFonts w:hint="default" w:ascii="Times New Roman" w:hAnsi="Times New Roman" w:eastAsia="宋体" w:cs="Times New Roman"/>
                <w:b/>
                <w:bCs/>
                <w:color w:val="auto"/>
                <w:kern w:val="0"/>
                <w:szCs w:val="21"/>
                <w:lang w:bidi="ar"/>
              </w:rPr>
              <w:t xml:space="preserve">  项目生活污水污染物源强核算表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1051"/>
              <w:gridCol w:w="1260"/>
              <w:gridCol w:w="985"/>
              <w:gridCol w:w="916"/>
              <w:gridCol w:w="874"/>
              <w:gridCol w:w="1075"/>
              <w:gridCol w:w="1163"/>
              <w:gridCol w:w="1253"/>
            </w:tblGrid>
            <w:tr w14:paraId="72F8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418" w:type="pct"/>
                  <w:vMerge w:val="restart"/>
                  <w:noWrap w:val="0"/>
                  <w:vAlign w:val="center"/>
                </w:tcPr>
                <w:p w14:paraId="4C5B1E6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废水种类</w:t>
                  </w:r>
                </w:p>
              </w:tc>
              <w:tc>
                <w:tcPr>
                  <w:tcW w:w="562" w:type="pct"/>
                  <w:vMerge w:val="restart"/>
                  <w:noWrap w:val="0"/>
                  <w:vAlign w:val="center"/>
                </w:tcPr>
                <w:p w14:paraId="41FE291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废水量（m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/a）</w:t>
                  </w:r>
                </w:p>
              </w:tc>
              <w:tc>
                <w:tcPr>
                  <w:tcW w:w="673" w:type="pct"/>
                  <w:vMerge w:val="restart"/>
                  <w:noWrap w:val="0"/>
                  <w:vAlign w:val="center"/>
                </w:tcPr>
                <w:p w14:paraId="4518900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指标</w:t>
                  </w:r>
                </w:p>
              </w:tc>
              <w:tc>
                <w:tcPr>
                  <w:tcW w:w="3346" w:type="pct"/>
                  <w:gridSpan w:val="6"/>
                  <w:noWrap w:val="0"/>
                  <w:vAlign w:val="center"/>
                </w:tcPr>
                <w:p w14:paraId="2E7CFA0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污染物名称</w:t>
                  </w:r>
                </w:p>
              </w:tc>
            </w:tr>
            <w:tr w14:paraId="6AD7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18" w:type="pct"/>
                  <w:vMerge w:val="continue"/>
                  <w:noWrap w:val="0"/>
                  <w:vAlign w:val="center"/>
                </w:tcPr>
                <w:p w14:paraId="46F21FB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62" w:type="pct"/>
                  <w:vMerge w:val="continue"/>
                  <w:noWrap w:val="0"/>
                  <w:vAlign w:val="center"/>
                </w:tcPr>
                <w:p w14:paraId="75539F7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673" w:type="pct"/>
                  <w:vMerge w:val="continue"/>
                  <w:noWrap w:val="0"/>
                  <w:vAlign w:val="center"/>
                </w:tcPr>
                <w:p w14:paraId="50F6933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p>
              </w:tc>
              <w:tc>
                <w:tcPr>
                  <w:tcW w:w="526" w:type="pct"/>
                  <w:noWrap w:val="0"/>
                  <w:vAlign w:val="center"/>
                </w:tcPr>
                <w:p w14:paraId="782B8A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lang w:val="en-US" w:eastAsia="zh-CN" w:bidi="ar"/>
                    </w:rPr>
                    <w:t>pH</w:t>
                  </w:r>
                </w:p>
              </w:tc>
              <w:tc>
                <w:tcPr>
                  <w:tcW w:w="489" w:type="pct"/>
                  <w:shd w:val="clear" w:color="auto" w:fill="auto"/>
                  <w:noWrap w:val="0"/>
                  <w:vAlign w:val="center"/>
                </w:tcPr>
                <w:p w14:paraId="0D51F3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Cs w:val="21"/>
                      <w:lang w:val="en-US" w:eastAsia="zh-CN" w:bidi="ar"/>
                    </w:rPr>
                    <w:t>COD</w:t>
                  </w:r>
                </w:p>
              </w:tc>
              <w:tc>
                <w:tcPr>
                  <w:tcW w:w="467" w:type="pct"/>
                  <w:shd w:val="clear" w:color="auto" w:fill="auto"/>
                  <w:noWrap w:val="0"/>
                  <w:vAlign w:val="center"/>
                </w:tcPr>
                <w:p w14:paraId="7673E6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Cs w:val="21"/>
                    </w:rPr>
                    <w:t>BOD</w:t>
                  </w:r>
                  <w:r>
                    <w:rPr>
                      <w:rFonts w:hint="default" w:ascii="Times New Roman" w:hAnsi="Times New Roman" w:eastAsia="宋体" w:cs="Times New Roman"/>
                      <w:b/>
                      <w:bCs/>
                      <w:color w:val="auto"/>
                      <w:szCs w:val="21"/>
                      <w:vertAlign w:val="subscript"/>
                    </w:rPr>
                    <w:t>5</w:t>
                  </w:r>
                </w:p>
              </w:tc>
              <w:tc>
                <w:tcPr>
                  <w:tcW w:w="574" w:type="pct"/>
                  <w:shd w:val="clear" w:color="auto" w:fill="auto"/>
                  <w:noWrap w:val="0"/>
                  <w:vAlign w:val="center"/>
                </w:tcPr>
                <w:p w14:paraId="722B84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Cs w:val="21"/>
                      <w:lang w:val="en-US" w:eastAsia="zh-CN"/>
                    </w:rPr>
                    <w:t>总磷</w:t>
                  </w:r>
                </w:p>
              </w:tc>
              <w:tc>
                <w:tcPr>
                  <w:tcW w:w="621" w:type="pct"/>
                  <w:shd w:val="clear" w:color="auto" w:fill="auto"/>
                  <w:noWrap w:val="0"/>
                  <w:vAlign w:val="center"/>
                </w:tcPr>
                <w:p w14:paraId="0696FF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szCs w:val="21"/>
                    </w:rPr>
                    <w:t>NH</w:t>
                  </w:r>
                  <w:r>
                    <w:rPr>
                      <w:rFonts w:hint="default" w:ascii="Times New Roman" w:hAnsi="Times New Roman" w:eastAsia="宋体" w:cs="Times New Roman"/>
                      <w:b/>
                      <w:bCs/>
                      <w:color w:val="auto"/>
                      <w:szCs w:val="21"/>
                      <w:vertAlign w:val="subscript"/>
                    </w:rPr>
                    <w:t>3</w:t>
                  </w:r>
                  <w:r>
                    <w:rPr>
                      <w:rFonts w:hint="default" w:ascii="Times New Roman" w:hAnsi="Times New Roman" w:eastAsia="宋体" w:cs="Times New Roman"/>
                      <w:b/>
                      <w:bCs/>
                      <w:color w:val="auto"/>
                      <w:szCs w:val="21"/>
                    </w:rPr>
                    <w:t>-N</w:t>
                  </w:r>
                </w:p>
              </w:tc>
              <w:tc>
                <w:tcPr>
                  <w:tcW w:w="667" w:type="pct"/>
                  <w:shd w:val="clear" w:color="auto" w:fill="auto"/>
                  <w:noWrap w:val="0"/>
                  <w:vAlign w:val="center"/>
                </w:tcPr>
                <w:p w14:paraId="6C683A7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lang w:val="en-US" w:eastAsia="zh-CN"/>
                    </w:rPr>
                    <w:t>动植物油</w:t>
                  </w:r>
                </w:p>
              </w:tc>
            </w:tr>
            <w:tr w14:paraId="69C4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418" w:type="pct"/>
                  <w:vMerge w:val="restart"/>
                  <w:noWrap w:val="0"/>
                  <w:vAlign w:val="center"/>
                </w:tcPr>
                <w:p w14:paraId="77B76D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生活污水</w:t>
                  </w:r>
                </w:p>
              </w:tc>
              <w:tc>
                <w:tcPr>
                  <w:tcW w:w="562" w:type="pct"/>
                  <w:vMerge w:val="restart"/>
                  <w:noWrap w:val="0"/>
                  <w:vAlign w:val="center"/>
                </w:tcPr>
                <w:p w14:paraId="6D105B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kern w:val="0"/>
                      <w:szCs w:val="21"/>
                      <w:lang w:val="en-US" w:eastAsia="zh-CN" w:bidi="ar"/>
                    </w:rPr>
                    <w:t>288</w:t>
                  </w:r>
                </w:p>
              </w:tc>
              <w:tc>
                <w:tcPr>
                  <w:tcW w:w="673" w:type="pct"/>
                  <w:noWrap w:val="0"/>
                  <w:vAlign w:val="center"/>
                </w:tcPr>
                <w:p w14:paraId="3B30E9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产生浓度（mg/L）</w:t>
                  </w:r>
                </w:p>
              </w:tc>
              <w:tc>
                <w:tcPr>
                  <w:tcW w:w="526" w:type="pct"/>
                  <w:noWrap w:val="0"/>
                  <w:vAlign w:val="center"/>
                </w:tcPr>
                <w:p w14:paraId="24B765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6~9（无量纲）</w:t>
                  </w:r>
                </w:p>
              </w:tc>
              <w:tc>
                <w:tcPr>
                  <w:tcW w:w="489" w:type="pct"/>
                  <w:shd w:val="clear" w:color="auto" w:fill="auto"/>
                  <w:noWrap w:val="0"/>
                  <w:vAlign w:val="center"/>
                </w:tcPr>
                <w:p w14:paraId="6B9357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宋体"/>
                      <w:color w:val="auto"/>
                      <w:spacing w:val="-4"/>
                      <w:sz w:val="21"/>
                      <w:szCs w:val="21"/>
                      <w:lang w:val="en-US" w:eastAsia="zh-CN"/>
                    </w:rPr>
                    <w:t>315</w:t>
                  </w:r>
                </w:p>
              </w:tc>
              <w:tc>
                <w:tcPr>
                  <w:tcW w:w="467" w:type="pct"/>
                  <w:shd w:val="clear" w:color="auto" w:fill="auto"/>
                  <w:noWrap w:val="0"/>
                  <w:vAlign w:val="center"/>
                </w:tcPr>
                <w:p w14:paraId="037E29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136</w:t>
                  </w:r>
                </w:p>
              </w:tc>
              <w:tc>
                <w:tcPr>
                  <w:tcW w:w="574" w:type="pct"/>
                  <w:shd w:val="clear" w:color="auto" w:fill="auto"/>
                  <w:noWrap w:val="0"/>
                  <w:vAlign w:val="center"/>
                </w:tcPr>
                <w:p w14:paraId="2B0C01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4.04</w:t>
                  </w:r>
                </w:p>
              </w:tc>
              <w:tc>
                <w:tcPr>
                  <w:tcW w:w="621" w:type="pct"/>
                  <w:shd w:val="clear" w:color="auto" w:fill="auto"/>
                  <w:noWrap w:val="0"/>
                  <w:vAlign w:val="center"/>
                </w:tcPr>
                <w:p w14:paraId="6E1D5A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rPr>
                    <w:t>31.4</w:t>
                  </w:r>
                </w:p>
              </w:tc>
              <w:tc>
                <w:tcPr>
                  <w:tcW w:w="667" w:type="pct"/>
                  <w:shd w:val="clear" w:color="auto" w:fill="auto"/>
                  <w:noWrap w:val="0"/>
                  <w:vAlign w:val="center"/>
                </w:tcPr>
                <w:p w14:paraId="19308C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4.66</w:t>
                  </w:r>
                </w:p>
              </w:tc>
            </w:tr>
            <w:tr w14:paraId="2E6C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18" w:type="pct"/>
                  <w:vMerge w:val="continue"/>
                  <w:noWrap w:val="0"/>
                  <w:vAlign w:val="center"/>
                </w:tcPr>
                <w:p w14:paraId="17268B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562" w:type="pct"/>
                  <w:vMerge w:val="continue"/>
                  <w:noWrap w:val="0"/>
                  <w:vAlign w:val="center"/>
                </w:tcPr>
                <w:p w14:paraId="3DB832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673" w:type="pct"/>
                  <w:noWrap w:val="0"/>
                  <w:vAlign w:val="center"/>
                </w:tcPr>
                <w:p w14:paraId="2D0ECE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产生量（t/a）</w:t>
                  </w:r>
                </w:p>
              </w:tc>
              <w:tc>
                <w:tcPr>
                  <w:tcW w:w="526" w:type="pct"/>
                  <w:noWrap w:val="0"/>
                  <w:vAlign w:val="center"/>
                </w:tcPr>
                <w:p w14:paraId="7420EE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val="en-US" w:eastAsia="zh-CN" w:bidi="ar"/>
                    </w:rPr>
                    <w:t>/</w:t>
                  </w:r>
                </w:p>
              </w:tc>
              <w:tc>
                <w:tcPr>
                  <w:tcW w:w="489" w:type="pct"/>
                  <w:shd w:val="clear" w:color="auto" w:fill="auto"/>
                  <w:noWrap w:val="0"/>
                  <w:vAlign w:val="center"/>
                </w:tcPr>
                <w:p w14:paraId="04754E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0.0907</w:t>
                  </w:r>
                </w:p>
              </w:tc>
              <w:tc>
                <w:tcPr>
                  <w:tcW w:w="467" w:type="pct"/>
                  <w:shd w:val="clear" w:color="auto" w:fill="auto"/>
                  <w:noWrap w:val="0"/>
                  <w:vAlign w:val="center"/>
                </w:tcPr>
                <w:p w14:paraId="681C4F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0.0392</w:t>
                  </w:r>
                </w:p>
              </w:tc>
              <w:tc>
                <w:tcPr>
                  <w:tcW w:w="574" w:type="pct"/>
                  <w:shd w:val="clear" w:color="auto" w:fill="auto"/>
                  <w:noWrap w:val="0"/>
                  <w:vAlign w:val="center"/>
                </w:tcPr>
                <w:p w14:paraId="0E358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0.0012</w:t>
                  </w:r>
                </w:p>
              </w:tc>
              <w:tc>
                <w:tcPr>
                  <w:tcW w:w="621" w:type="pct"/>
                  <w:shd w:val="clear" w:color="auto" w:fill="auto"/>
                  <w:noWrap w:val="0"/>
                  <w:vAlign w:val="center"/>
                </w:tcPr>
                <w:p w14:paraId="290E59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0.009</w:t>
                  </w:r>
                  <w:r>
                    <w:rPr>
                      <w:rFonts w:hint="eastAsia" w:ascii="Times New Roman" w:hAnsi="Times New Roman" w:eastAsia="宋体" w:cs="Times New Roman"/>
                      <w:i w:val="0"/>
                      <w:iCs w:val="0"/>
                      <w:color w:val="auto"/>
                      <w:kern w:val="0"/>
                      <w:sz w:val="21"/>
                      <w:szCs w:val="21"/>
                      <w:u w:val="none"/>
                      <w:lang w:val="en-US" w:eastAsia="zh-CN" w:bidi="ar"/>
                    </w:rPr>
                    <w:t>0</w:t>
                  </w:r>
                </w:p>
              </w:tc>
              <w:tc>
                <w:tcPr>
                  <w:tcW w:w="667" w:type="pct"/>
                  <w:shd w:val="clear" w:color="auto" w:fill="auto"/>
                  <w:noWrap w:val="0"/>
                  <w:vAlign w:val="center"/>
                </w:tcPr>
                <w:p w14:paraId="038C56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0.0013</w:t>
                  </w:r>
                </w:p>
              </w:tc>
            </w:tr>
          </w:tbl>
          <w:p w14:paraId="1E35F9B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②间接冷却循环废水</w:t>
            </w:r>
          </w:p>
          <w:p w14:paraId="71BF89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sz w:val="24"/>
                <w:szCs w:val="24"/>
              </w:rPr>
              <w:t>根据工程分析，项目</w:t>
            </w:r>
            <w:r>
              <w:rPr>
                <w:rFonts w:hint="eastAsia" w:cs="Times New Roman"/>
                <w:color w:val="auto"/>
                <w:sz w:val="24"/>
                <w:szCs w:val="24"/>
                <w:lang w:val="en-US" w:eastAsia="zh-CN"/>
              </w:rPr>
              <w:t>间接冷却循环废水</w:t>
            </w:r>
            <w:r>
              <w:rPr>
                <w:rFonts w:hint="default" w:ascii="Times New Roman" w:hAnsi="Times New Roman" w:eastAsia="宋体" w:cs="Times New Roman"/>
                <w:color w:val="auto"/>
                <w:sz w:val="24"/>
                <w:szCs w:val="24"/>
                <w:lang w:val="en-US" w:eastAsia="zh-CN"/>
              </w:rPr>
              <w:t>产生量为</w:t>
            </w:r>
            <w:r>
              <w:rPr>
                <w:rFonts w:hint="eastAsia" w:cs="Times New Roman"/>
                <w:color w:val="auto"/>
                <w:sz w:val="24"/>
                <w:szCs w:val="24"/>
                <w:lang w:val="en-US" w:eastAsia="zh-CN"/>
              </w:rPr>
              <w:t>391.5</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/a。</w:t>
            </w:r>
            <w:r>
              <w:rPr>
                <w:rFonts w:hint="eastAsia" w:cs="Times New Roman"/>
                <w:color w:val="auto"/>
                <w:sz w:val="24"/>
                <w:szCs w:val="24"/>
                <w:lang w:val="en-US" w:eastAsia="zh-CN"/>
              </w:rPr>
              <w:t>间接冷却循环废水</w:t>
            </w:r>
            <w:r>
              <w:rPr>
                <w:rFonts w:hint="default" w:ascii="Times New Roman" w:hAnsi="Times New Roman" w:eastAsia="宋体" w:cs="Times New Roman"/>
                <w:color w:val="auto"/>
                <w:sz w:val="24"/>
                <w:szCs w:val="24"/>
              </w:rPr>
              <w:t>主要污染物为</w:t>
            </w:r>
            <w:r>
              <w:rPr>
                <w:rFonts w:hint="eastAsia" w:cs="Times New Roman"/>
                <w:color w:val="auto"/>
                <w:sz w:val="24"/>
                <w:szCs w:val="24"/>
                <w:lang w:val="en-US" w:eastAsia="zh-CN"/>
              </w:rPr>
              <w:t>SS</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w:t>
            </w:r>
            <w:r>
              <w:rPr>
                <w:rFonts w:hint="default" w:ascii="Times New Roman" w:hAnsi="Times New Roman" w:eastAsia="宋体" w:cs="Times New Roman"/>
                <w:color w:val="auto"/>
                <w:kern w:val="0"/>
                <w:sz w:val="24"/>
                <w:szCs w:val="24"/>
                <w:lang w:val="en-US" w:eastAsia="zh-CN" w:bidi="ar"/>
              </w:rPr>
              <w:t>一体化污水处理设施处理后</w:t>
            </w:r>
            <w:r>
              <w:rPr>
                <w:rFonts w:hint="default" w:ascii="Times New Roman" w:hAnsi="Times New Roman" w:eastAsia="宋体" w:cs="Times New Roman"/>
                <w:color w:val="auto"/>
                <w:sz w:val="24"/>
                <w:szCs w:val="24"/>
              </w:rPr>
              <w:t>用于</w:t>
            </w:r>
            <w:r>
              <w:rPr>
                <w:rFonts w:hint="default" w:ascii="Times New Roman" w:hAnsi="Times New Roman" w:eastAsia="宋体" w:cs="Times New Roman"/>
                <w:color w:val="auto"/>
                <w:kern w:val="0"/>
                <w:sz w:val="24"/>
                <w:szCs w:val="24"/>
                <w:lang w:val="en-US" w:eastAsia="zh-CN" w:bidi="ar"/>
              </w:rPr>
              <w:t>绿化浇灌及道路洒水</w:t>
            </w:r>
            <w:r>
              <w:rPr>
                <w:rFonts w:hint="default" w:ascii="Times New Roman" w:hAnsi="Times New Roman" w:eastAsia="宋体" w:cs="Times New Roman"/>
                <w:color w:val="auto"/>
                <w:sz w:val="24"/>
                <w:szCs w:val="24"/>
              </w:rPr>
              <w:t>，不外排。依据《污染源源强核算技术指南 准则》（HJ884-2018），无对应行业产排污系数，</w:t>
            </w:r>
            <w:r>
              <w:rPr>
                <w:rFonts w:hint="eastAsia" w:cs="Times New Roman"/>
                <w:color w:val="auto"/>
                <w:sz w:val="24"/>
                <w:szCs w:val="24"/>
                <w:lang w:val="en-US" w:eastAsia="zh-CN"/>
              </w:rPr>
              <w:t>故本次环评不对</w:t>
            </w:r>
            <w:r>
              <w:rPr>
                <w:rFonts w:hint="default" w:ascii="Times New Roman" w:hAnsi="Times New Roman" w:eastAsia="宋体" w:cs="Times New Roman"/>
                <w:color w:val="auto"/>
                <w:sz w:val="24"/>
                <w:szCs w:val="24"/>
              </w:rPr>
              <w:t>项目间接冷却</w:t>
            </w:r>
            <w:r>
              <w:rPr>
                <w:rFonts w:hint="eastAsia" w:cs="Times New Roman"/>
                <w:color w:val="auto"/>
                <w:sz w:val="24"/>
                <w:szCs w:val="24"/>
                <w:lang w:val="en-US" w:eastAsia="zh-CN"/>
              </w:rPr>
              <w:t>循环废水</w:t>
            </w:r>
            <w:r>
              <w:rPr>
                <w:rFonts w:hint="default" w:ascii="Times New Roman" w:hAnsi="Times New Roman" w:eastAsia="宋体" w:cs="Times New Roman"/>
                <w:color w:val="auto"/>
                <w:sz w:val="24"/>
                <w:szCs w:val="24"/>
              </w:rPr>
              <w:t>水质进行核算</w:t>
            </w:r>
            <w:r>
              <w:rPr>
                <w:rFonts w:hint="eastAsia" w:cs="Times New Roman"/>
                <w:color w:val="auto"/>
                <w:sz w:val="24"/>
                <w:szCs w:val="24"/>
                <w:lang w:eastAsia="zh-CN"/>
              </w:rPr>
              <w:t>。</w:t>
            </w:r>
          </w:p>
          <w:p w14:paraId="0ACE6D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项目废水治理措施</w:t>
            </w:r>
            <w:r>
              <w:rPr>
                <w:rFonts w:hint="default" w:ascii="Times New Roman" w:hAnsi="Times New Roman" w:eastAsia="宋体" w:cs="Times New Roman"/>
                <w:b/>
                <w:bCs/>
                <w:color w:val="auto"/>
                <w:sz w:val="24"/>
                <w:szCs w:val="24"/>
                <w:lang w:val="en-US" w:eastAsia="zh-CN"/>
              </w:rPr>
              <w:t>依托</w:t>
            </w:r>
            <w:r>
              <w:rPr>
                <w:rFonts w:hint="default" w:ascii="Times New Roman" w:hAnsi="Times New Roman" w:eastAsia="宋体" w:cs="Times New Roman"/>
                <w:b/>
                <w:bCs/>
                <w:color w:val="auto"/>
                <w:sz w:val="24"/>
                <w:szCs w:val="24"/>
              </w:rPr>
              <w:t>可行性</w:t>
            </w:r>
          </w:p>
          <w:p w14:paraId="405C633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项目生活污水</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szCs w:val="24"/>
                <w:lang w:val="en-US" w:eastAsia="zh-CN"/>
              </w:rPr>
              <w:t>间接循环冷却废水</w:t>
            </w:r>
            <w:r>
              <w:rPr>
                <w:rFonts w:hint="default" w:ascii="Times New Roman" w:hAnsi="Times New Roman" w:cs="Times New Roman"/>
                <w:color w:val="auto"/>
                <w:sz w:val="24"/>
                <w:szCs w:val="24"/>
              </w:rPr>
              <w:t>处理设备设施主要有：</w:t>
            </w:r>
            <w:r>
              <w:rPr>
                <w:rFonts w:hint="eastAsia" w:ascii="Times New Roman" w:hAnsi="Times New Roman" w:cs="Times New Roman"/>
                <w:color w:val="auto"/>
                <w:sz w:val="24"/>
                <w:szCs w:val="24"/>
                <w:lang w:val="en-US" w:eastAsia="zh-CN"/>
              </w:rPr>
              <w:t>依托</w:t>
            </w:r>
            <w:r>
              <w:rPr>
                <w:rFonts w:hint="default" w:ascii="Times New Roman" w:hAnsi="Times New Roman" w:eastAsia="宋体" w:cs="Times New Roman"/>
                <w:color w:val="auto"/>
                <w:kern w:val="0"/>
                <w:sz w:val="24"/>
                <w:szCs w:val="24"/>
                <w:lang w:val="en-US" w:eastAsia="zh-CN" w:bidi="ar"/>
              </w:rPr>
              <w:t>油水分离器</w:t>
            </w:r>
            <w:r>
              <w:rPr>
                <w:rFonts w:hint="default" w:ascii="Times New Roman" w:hAnsi="Times New Roman" w:cs="Times New Roman"/>
                <w:color w:val="auto"/>
                <w:sz w:val="24"/>
                <w:szCs w:val="24"/>
              </w:rPr>
              <w:t>1个</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.5m</w:t>
            </w:r>
            <w:r>
              <w:rPr>
                <w:rFonts w:hint="default" w:ascii="Times New Roman" w:hAnsi="Times New Roman" w:cs="Times New Roman"/>
                <w:color w:val="auto"/>
                <w:sz w:val="24"/>
                <w:szCs w:val="24"/>
                <w:vertAlign w:val="superscript"/>
              </w:rPr>
              <w:t>3</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依托</w:t>
            </w:r>
            <w:r>
              <w:rPr>
                <w:rFonts w:hint="default" w:ascii="Times New Roman" w:hAnsi="Times New Roman" w:cs="Times New Roman"/>
                <w:color w:val="auto"/>
                <w:sz w:val="24"/>
                <w:szCs w:val="24"/>
              </w:rPr>
              <w:t>化粪池</w:t>
            </w:r>
            <w:r>
              <w:rPr>
                <w:rFonts w:hint="eastAsia" w:ascii="Times New Roman" w:hAnsi="Times New Roman" w:cs="Times New Roman"/>
                <w:color w:val="auto"/>
                <w:sz w:val="24"/>
                <w:szCs w:val="24"/>
                <w:lang w:val="en-US" w:eastAsia="zh-CN"/>
              </w:rPr>
              <w:t>1座</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val="en-US" w:eastAsia="zh-CN"/>
              </w:rPr>
              <w:t>5m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依托</w:t>
            </w:r>
            <w:r>
              <w:rPr>
                <w:rFonts w:hint="default" w:ascii="Times New Roman" w:hAnsi="Times New Roman" w:eastAsia="宋体" w:cs="Times New Roman"/>
                <w:color w:val="auto"/>
                <w:kern w:val="0"/>
                <w:sz w:val="24"/>
                <w:szCs w:val="24"/>
                <w:lang w:val="en-US" w:eastAsia="zh-CN" w:bidi="ar"/>
              </w:rPr>
              <w:t>一体化污水处理设施</w:t>
            </w:r>
            <w:r>
              <w:rPr>
                <w:rFonts w:hint="eastAsia" w:ascii="Times New Roman" w:hAnsi="Times New Roman" w:eastAsia="宋体" w:cs="Times New Roman"/>
                <w:color w:val="auto"/>
                <w:kern w:val="0"/>
                <w:sz w:val="24"/>
                <w:szCs w:val="24"/>
                <w:lang w:val="en-US" w:eastAsia="zh-CN" w:bidi="ar"/>
              </w:rPr>
              <w:t>一座</w:t>
            </w:r>
            <w:r>
              <w:rPr>
                <w:rFonts w:hint="eastAsia" w:ascii="Times New Roman" w:hAnsi="Times New Roman" w:cs="Times New Roman"/>
                <w:color w:val="auto"/>
                <w:sz w:val="24"/>
                <w:szCs w:val="24"/>
                <w:lang w:val="en-US" w:eastAsia="zh-CN"/>
              </w:rPr>
              <w:t>（8</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val="en-US" w:eastAsia="zh-CN"/>
              </w:rPr>
              <w:t>。</w:t>
            </w:r>
          </w:p>
          <w:p w14:paraId="6ED0FE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lang w:val="en-US" w:eastAsia="zh-CN"/>
              </w:rPr>
            </w:pPr>
            <w:r>
              <w:rPr>
                <w:rFonts w:hint="default" w:ascii="Times New Roman" w:hAnsi="Times New Roman" w:cs="Times New Roman"/>
                <w:b w:val="0"/>
                <w:bCs w:val="0"/>
                <w:color w:val="auto"/>
                <w:sz w:val="24"/>
                <w:lang w:val="en-US" w:eastAsia="zh-CN"/>
              </w:rPr>
              <w:t>①</w:t>
            </w:r>
            <w:r>
              <w:rPr>
                <w:rFonts w:hint="default" w:ascii="Times New Roman" w:hAnsi="Times New Roman" w:eastAsia="宋体" w:cs="Times New Roman"/>
                <w:color w:val="auto"/>
                <w:kern w:val="0"/>
                <w:sz w:val="24"/>
                <w:szCs w:val="24"/>
                <w:lang w:val="en-US" w:eastAsia="zh-CN" w:bidi="ar"/>
              </w:rPr>
              <w:t>油水分离器</w:t>
            </w:r>
          </w:p>
          <w:p w14:paraId="7A11D0A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eastAsia="zh-CN"/>
              </w:rPr>
            </w:pPr>
            <w:r>
              <w:rPr>
                <w:rFonts w:hint="default" w:ascii="Times New Roman" w:hAnsi="Times New Roman" w:cs="Times New Roman"/>
                <w:color w:val="auto"/>
                <w:sz w:val="24"/>
                <w:lang w:val="en-US" w:eastAsia="zh-CN"/>
              </w:rPr>
              <w:t>项目依托厂区内</w:t>
            </w:r>
            <w:r>
              <w:rPr>
                <w:rFonts w:hint="eastAsia" w:ascii="Times New Roman" w:hAnsi="Times New Roman" w:cs="Times New Roman"/>
                <w:color w:val="auto"/>
                <w:sz w:val="24"/>
                <w:lang w:val="en-US" w:eastAsia="zh-CN"/>
              </w:rPr>
              <w:t>已建</w:t>
            </w:r>
            <w:r>
              <w:rPr>
                <w:rFonts w:hint="default" w:ascii="Times New Roman" w:hAnsi="Times New Roman" w:cs="Times New Roman"/>
                <w:color w:val="auto"/>
                <w:sz w:val="24"/>
                <w:lang w:val="en-US" w:eastAsia="zh-CN"/>
              </w:rPr>
              <w:t>的</w:t>
            </w:r>
            <w:r>
              <w:rPr>
                <w:rFonts w:hint="default" w:ascii="Times New Roman" w:hAnsi="Times New Roman" w:eastAsia="宋体" w:cs="Times New Roman"/>
                <w:color w:val="auto"/>
                <w:kern w:val="0"/>
                <w:sz w:val="24"/>
                <w:szCs w:val="24"/>
                <w:lang w:val="en-US" w:eastAsia="zh-CN" w:bidi="ar"/>
              </w:rPr>
              <w:t>油水分离器</w:t>
            </w:r>
            <w:r>
              <w:rPr>
                <w:rFonts w:hint="default" w:ascii="Times New Roman" w:hAnsi="Times New Roman" w:cs="Times New Roman"/>
                <w:color w:val="auto"/>
                <w:sz w:val="24"/>
                <w:lang w:val="en-US" w:eastAsia="zh-CN"/>
              </w:rPr>
              <w:t>进行处理</w:t>
            </w:r>
            <w:r>
              <w:rPr>
                <w:rFonts w:hint="default" w:ascii="Times New Roman" w:hAnsi="Times New Roman" w:cs="Times New Roman"/>
                <w:color w:val="auto"/>
                <w:sz w:val="24"/>
              </w:rPr>
              <w:t>项目</w:t>
            </w:r>
            <w:r>
              <w:rPr>
                <w:rFonts w:hint="default" w:ascii="Times New Roman" w:hAnsi="Times New Roman" w:cs="Times New Roman"/>
                <w:bCs/>
                <w:color w:val="auto"/>
                <w:spacing w:val="-10"/>
                <w:sz w:val="24"/>
              </w:rPr>
              <w:t>食堂废水</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依托</w:t>
            </w:r>
            <w:r>
              <w:rPr>
                <w:rFonts w:hint="default" w:ascii="Times New Roman" w:hAnsi="Times New Roman" w:eastAsia="宋体" w:cs="Times New Roman"/>
                <w:color w:val="auto"/>
                <w:kern w:val="0"/>
                <w:sz w:val="24"/>
                <w:szCs w:val="24"/>
                <w:lang w:val="en-US" w:eastAsia="zh-CN" w:bidi="ar"/>
              </w:rPr>
              <w:t>油水分离器</w:t>
            </w:r>
            <w:r>
              <w:rPr>
                <w:rFonts w:hint="eastAsia" w:ascii="Times New Roman" w:hAnsi="Times New Roman" w:eastAsia="宋体" w:cs="Times New Roman"/>
                <w:color w:val="auto"/>
                <w:sz w:val="24"/>
                <w:lang w:val="en-US" w:eastAsia="zh-CN"/>
              </w:rPr>
              <w:t>0</w:t>
            </w:r>
            <w:r>
              <w:rPr>
                <w:rFonts w:hint="default" w:ascii="Times New Roman" w:hAnsi="Times New Roman" w:cs="Times New Roman"/>
                <w:color w:val="auto"/>
                <w:sz w:val="24"/>
              </w:rPr>
              <w:t>.5m</w:t>
            </w:r>
            <w:r>
              <w:rPr>
                <w:rFonts w:hint="default" w:ascii="Times New Roman" w:hAnsi="Times New Roman" w:cs="Times New Roman"/>
                <w:color w:val="auto"/>
                <w:sz w:val="24"/>
                <w:vertAlign w:val="superscript"/>
              </w:rPr>
              <w:t>3</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kern w:val="0"/>
                <w:sz w:val="24"/>
                <w:szCs w:val="24"/>
                <w:lang w:val="en-US" w:eastAsia="zh-CN" w:bidi="ar"/>
              </w:rPr>
              <w:t>建成</w:t>
            </w:r>
            <w:r>
              <w:rPr>
                <w:rFonts w:hint="default" w:ascii="Times New Roman" w:hAnsi="Times New Roman" w:eastAsia="宋体" w:cs="Times New Roman"/>
                <w:color w:val="auto"/>
                <w:kern w:val="0"/>
                <w:sz w:val="24"/>
                <w:szCs w:val="24"/>
                <w:lang w:val="en-US" w:eastAsia="zh-CN" w:bidi="ar"/>
              </w:rPr>
              <w:t>后</w:t>
            </w:r>
            <w:r>
              <w:rPr>
                <w:rFonts w:hint="eastAsia" w:ascii="Times New Roman" w:hAnsi="Times New Roman" w:eastAsia="宋体" w:cs="Times New Roman"/>
                <w:color w:val="auto"/>
                <w:kern w:val="0"/>
                <w:sz w:val="24"/>
                <w:szCs w:val="24"/>
                <w:lang w:val="en-US" w:eastAsia="zh-CN" w:bidi="ar"/>
              </w:rPr>
              <w:t>食堂废水总量</w:t>
            </w:r>
            <w:r>
              <w:rPr>
                <w:rFonts w:hint="default" w:ascii="Times New Roman" w:hAnsi="Times New Roman" w:eastAsia="宋体" w:cs="Times New Roman"/>
                <w:color w:val="auto"/>
                <w:kern w:val="0"/>
                <w:sz w:val="24"/>
                <w:szCs w:val="24"/>
                <w:lang w:val="en-US" w:eastAsia="zh-CN" w:bidi="ar"/>
              </w:rPr>
              <w:t>核算：</w:t>
            </w:r>
            <w:r>
              <w:rPr>
                <w:rFonts w:hint="default" w:ascii="Times New Roman" w:hAnsi="Times New Roman" w:cs="Times New Roman"/>
                <w:color w:val="auto"/>
                <w:sz w:val="24"/>
                <w:lang w:val="en-US" w:eastAsia="zh-CN"/>
              </w:rPr>
              <w:t>根据调查，</w:t>
            </w:r>
            <w:r>
              <w:rPr>
                <w:rFonts w:hint="default" w:ascii="Times New Roman" w:hAnsi="Times New Roman" w:eastAsia="宋体" w:cs="Times New Roman"/>
                <w:color w:val="auto"/>
                <w:kern w:val="0"/>
                <w:sz w:val="24"/>
                <w:szCs w:val="24"/>
                <w:lang w:val="en-US" w:eastAsia="zh-CN" w:bidi="ar"/>
              </w:rPr>
              <w:t>云南鹏达冠得有限公司现有劳动定员15人，</w:t>
            </w:r>
            <w:r>
              <w:rPr>
                <w:rFonts w:hint="eastAsia" w:ascii="Times New Roman" w:hAnsi="Times New Roman" w:eastAsia="宋体" w:cs="Times New Roman"/>
                <w:color w:val="auto"/>
                <w:kern w:val="0"/>
                <w:sz w:val="24"/>
                <w:szCs w:val="24"/>
                <w:lang w:val="en-US" w:eastAsia="zh-CN" w:bidi="ar"/>
              </w:rPr>
              <w:t>食堂</w:t>
            </w:r>
            <w:r>
              <w:rPr>
                <w:rFonts w:hint="default" w:ascii="Times New Roman" w:hAnsi="Times New Roman" w:eastAsia="宋体" w:cs="Times New Roman"/>
                <w:color w:val="auto"/>
                <w:kern w:val="0"/>
                <w:sz w:val="24"/>
                <w:szCs w:val="24"/>
                <w:lang w:val="en-US" w:eastAsia="zh-CN" w:bidi="ar"/>
              </w:rPr>
              <w:t>废水产生量约</w:t>
            </w:r>
            <w:r>
              <w:rPr>
                <w:rFonts w:hint="eastAsia" w:ascii="Times New Roman" w:hAnsi="Times New Roman" w:eastAsia="宋体" w:cs="Times New Roman"/>
                <w:color w:val="auto"/>
                <w:kern w:val="0"/>
                <w:sz w:val="24"/>
                <w:szCs w:val="24"/>
                <w:lang w:val="en-US" w:eastAsia="zh-CN" w:bidi="ar"/>
              </w:rPr>
              <w:t>84</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/a（0.</w:t>
            </w:r>
            <w:r>
              <w:rPr>
                <w:rFonts w:hint="eastAsia" w:ascii="Times New Roman" w:hAnsi="Times New Roman" w:eastAsia="宋体" w:cs="Times New Roman"/>
                <w:color w:val="auto"/>
                <w:kern w:val="0"/>
                <w:sz w:val="24"/>
                <w:szCs w:val="24"/>
                <w:lang w:val="en-US" w:eastAsia="zh-CN" w:bidi="ar"/>
              </w:rPr>
              <w:t>28</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/d）；本项目</w:t>
            </w:r>
            <w:r>
              <w:rPr>
                <w:rFonts w:hint="eastAsia" w:ascii="Times New Roman" w:hAnsi="Times New Roman" w:eastAsia="宋体" w:cs="Times New Roman"/>
                <w:color w:val="auto"/>
                <w:kern w:val="0"/>
                <w:sz w:val="24"/>
                <w:szCs w:val="24"/>
                <w:lang w:val="en-US" w:eastAsia="zh-CN" w:bidi="ar"/>
              </w:rPr>
              <w:t>食堂废水</w:t>
            </w:r>
            <w:r>
              <w:rPr>
                <w:rFonts w:hint="default" w:ascii="Times New Roman" w:hAnsi="Times New Roman" w:eastAsia="宋体" w:cs="Times New Roman"/>
                <w:color w:val="auto"/>
                <w:kern w:val="0"/>
                <w:sz w:val="24"/>
                <w:szCs w:val="24"/>
                <w:lang w:val="en-US" w:eastAsia="zh-CN" w:bidi="ar"/>
              </w:rPr>
              <w:t>产生量</w:t>
            </w:r>
            <w:r>
              <w:rPr>
                <w:rFonts w:hint="eastAsia" w:ascii="Times New Roman" w:hAnsi="Times New Roman" w:eastAsia="宋体" w:cs="Times New Roman"/>
                <w:color w:val="auto"/>
                <w:kern w:val="0"/>
                <w:sz w:val="24"/>
                <w:szCs w:val="24"/>
                <w:lang w:val="en-US" w:eastAsia="zh-CN" w:bidi="ar"/>
              </w:rPr>
              <w:t>112</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ascii="Times New Roman" w:hAnsi="Times New Roman" w:eastAsia="宋体" w:cs="Times New Roman"/>
                <w:color w:val="auto"/>
                <w:kern w:val="0"/>
                <w:sz w:val="24"/>
                <w:szCs w:val="24"/>
                <w:lang w:val="en-US" w:eastAsia="zh-CN" w:bidi="ar"/>
              </w:rPr>
              <w:t>0.37</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eastAsia="宋体" w:cs="Times New Roman"/>
                <w:color w:val="auto"/>
                <w:kern w:val="0"/>
                <w:sz w:val="24"/>
                <w:szCs w:val="24"/>
                <w:lang w:val="en-US" w:eastAsia="zh-CN" w:bidi="ar"/>
              </w:rPr>
              <w:t>项目建成后食堂废水总量为196</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ascii="Times New Roman" w:hAnsi="Times New Roman" w:eastAsia="宋体" w:cs="Times New Roman"/>
                <w:color w:val="auto"/>
                <w:kern w:val="0"/>
                <w:sz w:val="24"/>
                <w:szCs w:val="24"/>
                <w:lang w:val="en-US" w:eastAsia="zh-CN" w:bidi="ar"/>
              </w:rPr>
              <w:t>0.65</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p>
          <w:p w14:paraId="4B99AF95">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根据</w:t>
            </w:r>
            <w:r>
              <w:rPr>
                <w:rFonts w:hint="eastAsia"/>
                <w:color w:val="auto"/>
                <w:sz w:val="24"/>
              </w:rPr>
              <w:t>《中华人民共和国城镇建设行业标准</w:t>
            </w:r>
            <w:r>
              <w:rPr>
                <w:rFonts w:hint="eastAsia"/>
                <w:color w:val="auto"/>
                <w:sz w:val="24"/>
                <w:lang w:eastAsia="zh-CN"/>
              </w:rPr>
              <w:t>：</w:t>
            </w:r>
            <w:r>
              <w:rPr>
                <w:rFonts w:hint="eastAsia"/>
                <w:color w:val="auto"/>
                <w:sz w:val="24"/>
              </w:rPr>
              <w:t>餐饮废水隔油器</w:t>
            </w:r>
            <w:r>
              <w:rPr>
                <w:rFonts w:hint="default"/>
                <w:color w:val="auto"/>
                <w:sz w:val="24"/>
              </w:rPr>
              <w:t>（</w:t>
            </w:r>
            <w:r>
              <w:rPr>
                <w:rFonts w:hint="eastAsia"/>
                <w:color w:val="auto"/>
                <w:sz w:val="24"/>
              </w:rPr>
              <w:t>CJ/T 295-2015</w:t>
            </w:r>
            <w:r>
              <w:rPr>
                <w:rFonts w:hint="default"/>
                <w:color w:val="auto"/>
                <w:sz w:val="24"/>
              </w:rPr>
              <w:t>）</w:t>
            </w:r>
            <w:r>
              <w:rPr>
                <w:rFonts w:hint="eastAsia"/>
                <w:color w:val="auto"/>
                <w:sz w:val="24"/>
              </w:rPr>
              <w:t>》</w:t>
            </w:r>
            <w:r>
              <w:rPr>
                <w:rFonts w:hint="default"/>
                <w:color w:val="auto"/>
                <w:sz w:val="24"/>
              </w:rPr>
              <w:t>，</w:t>
            </w:r>
            <w:r>
              <w:rPr>
                <w:rFonts w:hint="default" w:ascii="Times New Roman" w:hAnsi="Times New Roman" w:eastAsia="宋体" w:cs="Times New Roman"/>
                <w:color w:val="auto"/>
                <w:kern w:val="0"/>
                <w:sz w:val="24"/>
                <w:szCs w:val="24"/>
                <w:lang w:val="en-US" w:eastAsia="zh-CN" w:bidi="ar"/>
              </w:rPr>
              <w:t>油水分离器</w:t>
            </w:r>
            <w:r>
              <w:rPr>
                <w:rFonts w:hint="default"/>
                <w:color w:val="auto"/>
                <w:sz w:val="24"/>
              </w:rPr>
              <w:t>设计符合下列规定：</w:t>
            </w:r>
          </w:p>
          <w:p w14:paraId="2E5E2127">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a、</w:t>
            </w:r>
            <w:r>
              <w:rPr>
                <w:rFonts w:hint="eastAsia"/>
                <w:color w:val="auto"/>
                <w:sz w:val="24"/>
              </w:rPr>
              <w:t>油水分离区应设气浮装置，潜水电机转速950 r/min~1450 r/min</w:t>
            </w:r>
            <w:r>
              <w:rPr>
                <w:rFonts w:hint="eastAsia"/>
                <w:color w:val="auto"/>
                <w:sz w:val="24"/>
                <w:lang w:eastAsia="zh-CN"/>
              </w:rPr>
              <w:t>，</w:t>
            </w:r>
            <w:r>
              <w:rPr>
                <w:rFonts w:hint="eastAsia"/>
                <w:color w:val="auto"/>
                <w:sz w:val="24"/>
              </w:rPr>
              <w:t>气水比宜为1:4~1:6</w:t>
            </w:r>
            <w:r>
              <w:rPr>
                <w:rFonts w:hint="default"/>
                <w:color w:val="auto"/>
                <w:sz w:val="24"/>
              </w:rPr>
              <w:t>；</w:t>
            </w:r>
          </w:p>
          <w:p w14:paraId="268AC022">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b、</w:t>
            </w:r>
            <w:r>
              <w:rPr>
                <w:rFonts w:hint="eastAsia"/>
                <w:color w:val="auto"/>
                <w:sz w:val="24"/>
              </w:rPr>
              <w:t>餐饮废水油水分离区停留时间不宜少于3min</w:t>
            </w:r>
            <w:r>
              <w:rPr>
                <w:rFonts w:hint="default"/>
                <w:color w:val="auto"/>
                <w:sz w:val="24"/>
              </w:rPr>
              <w:t>；</w:t>
            </w:r>
          </w:p>
          <w:p w14:paraId="372CE46C">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default"/>
                <w:color w:val="auto"/>
                <w:sz w:val="24"/>
              </w:rPr>
              <w:t>c、</w:t>
            </w:r>
            <w:r>
              <w:rPr>
                <w:rFonts w:hint="eastAsia"/>
                <w:color w:val="auto"/>
                <w:sz w:val="24"/>
                <w:lang w:val="en-US" w:eastAsia="zh-CN"/>
              </w:rPr>
              <w:t>油水分离区域</w:t>
            </w:r>
            <w:r>
              <w:rPr>
                <w:rFonts w:hint="eastAsia"/>
                <w:color w:val="auto"/>
                <w:sz w:val="24"/>
              </w:rPr>
              <w:t>水温控制在20°C~60°C。油水分离区应设电加热装置，浮油收集装置</w:t>
            </w:r>
            <w:r>
              <w:rPr>
                <w:rFonts w:hint="default"/>
                <w:color w:val="auto"/>
                <w:sz w:val="24"/>
              </w:rPr>
              <w:t>。</w:t>
            </w:r>
          </w:p>
          <w:p w14:paraId="2D167AF3">
            <w:pPr>
              <w:keepNext w:val="0"/>
              <w:keepLines w:val="0"/>
              <w:suppressLineNumbers w:val="0"/>
              <w:spacing w:before="0" w:beforeAutospacing="0" w:after="0" w:afterAutospacing="0" w:line="360" w:lineRule="auto"/>
              <w:ind w:left="0" w:right="0" w:firstLine="480" w:firstLineChars="200"/>
              <w:rPr>
                <w:rFonts w:hint="default"/>
                <w:color w:val="auto"/>
                <w:sz w:val="24"/>
                <w:szCs w:val="24"/>
              </w:rPr>
            </w:pPr>
            <w:r>
              <w:rPr>
                <w:rFonts w:hint="eastAsia" w:ascii="Times New Roman" w:hAnsi="Times New Roman" w:cs="Times New Roman"/>
                <w:color w:val="auto"/>
                <w:sz w:val="24"/>
                <w:lang w:val="en-US" w:eastAsia="zh-CN"/>
              </w:rPr>
              <w:t>依托</w:t>
            </w:r>
            <w:r>
              <w:rPr>
                <w:rFonts w:hint="eastAsia"/>
                <w:color w:val="auto"/>
                <w:sz w:val="24"/>
              </w:rPr>
              <w:t>油水分离</w:t>
            </w:r>
            <w:r>
              <w:rPr>
                <w:rFonts w:hint="eastAsia"/>
                <w:color w:val="auto"/>
                <w:sz w:val="24"/>
                <w:lang w:val="en-US" w:eastAsia="zh-CN"/>
              </w:rPr>
              <w:t>器已</w:t>
            </w:r>
            <w:r>
              <w:rPr>
                <w:rFonts w:hint="eastAsia" w:ascii="Times New Roman" w:hAnsi="Times New Roman" w:cs="Times New Roman"/>
                <w:color w:val="auto"/>
                <w:sz w:val="24"/>
                <w:lang w:val="en-US" w:eastAsia="zh-CN"/>
              </w:rPr>
              <w:t>按照</w:t>
            </w:r>
            <w:r>
              <w:rPr>
                <w:rFonts w:hint="eastAsia"/>
                <w:color w:val="auto"/>
                <w:sz w:val="24"/>
              </w:rPr>
              <w:t>《中华人民共和国城镇建设行业标准</w:t>
            </w:r>
            <w:r>
              <w:rPr>
                <w:rFonts w:hint="eastAsia"/>
                <w:color w:val="auto"/>
                <w:sz w:val="24"/>
                <w:lang w:eastAsia="zh-CN"/>
              </w:rPr>
              <w:t>：</w:t>
            </w:r>
            <w:r>
              <w:rPr>
                <w:rFonts w:hint="eastAsia"/>
                <w:color w:val="auto"/>
                <w:sz w:val="24"/>
              </w:rPr>
              <w:t>餐饮废水隔油器</w:t>
            </w:r>
            <w:r>
              <w:rPr>
                <w:rFonts w:hint="default"/>
                <w:color w:val="auto"/>
                <w:sz w:val="24"/>
              </w:rPr>
              <w:t>（</w:t>
            </w:r>
            <w:r>
              <w:rPr>
                <w:rFonts w:hint="eastAsia"/>
                <w:color w:val="auto"/>
                <w:sz w:val="24"/>
              </w:rPr>
              <w:t>CJ/T 295-2015</w:t>
            </w:r>
            <w:r>
              <w:rPr>
                <w:rFonts w:hint="default"/>
                <w:color w:val="auto"/>
                <w:sz w:val="24"/>
              </w:rPr>
              <w:t>）</w:t>
            </w:r>
            <w:r>
              <w:rPr>
                <w:rFonts w:hint="eastAsia"/>
                <w:color w:val="auto"/>
                <w:sz w:val="24"/>
              </w:rPr>
              <w:t>》</w:t>
            </w:r>
            <w:r>
              <w:rPr>
                <w:rFonts w:hint="eastAsia"/>
                <w:color w:val="auto"/>
                <w:sz w:val="24"/>
                <w:szCs w:val="24"/>
                <w:lang w:val="en-US" w:eastAsia="zh-CN"/>
              </w:rPr>
              <w:t>进行</w:t>
            </w:r>
            <w:r>
              <w:rPr>
                <w:rFonts w:hint="default" w:ascii="Times New Roman" w:hAnsi="Times New Roman" w:cs="Times New Roman"/>
                <w:color w:val="auto"/>
                <w:sz w:val="24"/>
                <w:szCs w:val="24"/>
              </w:rPr>
              <w:t>设计要求</w:t>
            </w:r>
            <w:r>
              <w:rPr>
                <w:rFonts w:hint="eastAsia" w:ascii="Times New Roman" w:hAnsi="Times New Roman" w:cs="Times New Roman"/>
                <w:color w:val="auto"/>
                <w:sz w:val="24"/>
                <w:szCs w:val="24"/>
                <w:lang w:val="en-US" w:eastAsia="zh-CN"/>
              </w:rPr>
              <w:t>进行设置，其容积0.5m</w:t>
            </w:r>
            <w:r>
              <w:rPr>
                <w:rFonts w:hint="eastAsia" w:ascii="Times New Roman" w:hAnsi="Times New Roman" w:cs="Times New Roman"/>
                <w:color w:val="auto"/>
                <w:sz w:val="24"/>
                <w:szCs w:val="24"/>
                <w:vertAlign w:val="superscript"/>
                <w:lang w:val="en-US" w:eastAsia="zh-CN"/>
              </w:rPr>
              <w:t>3</w:t>
            </w:r>
            <w:r>
              <w:rPr>
                <w:rFonts w:hint="eastAsia" w:ascii="Times New Roman" w:hAnsi="Times New Roman" w:cs="Times New Roman"/>
                <w:color w:val="auto"/>
                <w:sz w:val="24"/>
                <w:szCs w:val="24"/>
                <w:lang w:val="en-US" w:eastAsia="zh-CN"/>
              </w:rPr>
              <w:t>，项目食堂废水产生时间约3h，废水产生速率约0.2167m</w:t>
            </w:r>
            <w:r>
              <w:rPr>
                <w:rFonts w:hint="eastAsia" w:ascii="Times New Roman" w:hAnsi="Times New Roman" w:cs="Times New Roman"/>
                <w:color w:val="auto"/>
                <w:sz w:val="24"/>
                <w:szCs w:val="24"/>
                <w:vertAlign w:val="superscript"/>
                <w:lang w:val="en-US" w:eastAsia="zh-CN"/>
              </w:rPr>
              <w:t>3</w:t>
            </w:r>
            <w:r>
              <w:rPr>
                <w:rFonts w:hint="eastAsia" w:ascii="Times New Roman" w:hAnsi="Times New Roman" w:cs="Times New Roman"/>
                <w:color w:val="auto"/>
                <w:sz w:val="24"/>
                <w:szCs w:val="24"/>
                <w:lang w:val="en-US" w:eastAsia="zh-CN"/>
              </w:rPr>
              <w:t>/h，经计算其</w:t>
            </w:r>
            <w:r>
              <w:rPr>
                <w:rFonts w:hint="eastAsia"/>
                <w:color w:val="auto"/>
                <w:sz w:val="24"/>
                <w:szCs w:val="24"/>
              </w:rPr>
              <w:t>油水分离区停留时间</w:t>
            </w:r>
            <w:r>
              <w:rPr>
                <w:rFonts w:hint="eastAsia" w:ascii="Times New Roman" w:hAnsi="Times New Roman" w:cs="Times New Roman"/>
                <w:color w:val="auto"/>
                <w:sz w:val="24"/>
                <w:szCs w:val="24"/>
                <w:lang w:val="en-US" w:eastAsia="zh-CN"/>
              </w:rPr>
              <w:t>约为</w:t>
            </w:r>
            <w:r>
              <w:rPr>
                <w:rFonts w:hint="eastAsia" w:ascii="Times New Roman" w:hAnsi="Times New Roman" w:cs="Times New Roman"/>
                <w:color w:val="auto"/>
                <w:sz w:val="24"/>
                <w:szCs w:val="24"/>
                <w:highlight w:val="none"/>
                <w:lang w:val="en-US" w:eastAsia="zh-CN"/>
              </w:rPr>
              <w:t>2.31h</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lang w:val="en-US" w:eastAsia="zh-CN"/>
              </w:rPr>
              <w:t>大于</w:t>
            </w:r>
            <w:r>
              <w:rPr>
                <w:rFonts w:hint="eastAsia"/>
                <w:color w:val="auto"/>
                <w:sz w:val="24"/>
                <w:szCs w:val="24"/>
              </w:rPr>
              <w:t>3min</w:t>
            </w:r>
            <w:r>
              <w:rPr>
                <w:rFonts w:hint="eastAsia" w:ascii="Times New Roman" w:hAnsi="Times New Roman" w:cs="Times New Roman"/>
                <w:color w:val="auto"/>
                <w:sz w:val="24"/>
                <w:szCs w:val="24"/>
                <w:lang w:val="en-US" w:eastAsia="zh-CN"/>
              </w:rPr>
              <w:t>的要求。</w:t>
            </w:r>
          </w:p>
          <w:p w14:paraId="03DCD3B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color w:val="auto"/>
                <w:sz w:val="24"/>
                <w:szCs w:val="24"/>
                <w:lang w:val="en-US" w:eastAsia="zh-CN"/>
              </w:rPr>
              <w:t>综上，项目依托</w:t>
            </w:r>
            <w:r>
              <w:rPr>
                <w:rFonts w:hint="default" w:ascii="Times New Roman" w:hAnsi="Times New Roman" w:eastAsia="宋体" w:cs="Times New Roman"/>
                <w:color w:val="auto"/>
                <w:kern w:val="0"/>
                <w:sz w:val="24"/>
                <w:szCs w:val="24"/>
                <w:lang w:val="en-US" w:eastAsia="zh-CN" w:bidi="ar"/>
              </w:rPr>
              <w:t>油水分离器</w:t>
            </w:r>
            <w:r>
              <w:rPr>
                <w:rFonts w:hint="eastAsia"/>
                <w:color w:val="auto"/>
                <w:sz w:val="24"/>
                <w:szCs w:val="24"/>
                <w:lang w:val="en-US" w:eastAsia="zh-CN"/>
              </w:rPr>
              <w:t>符合</w:t>
            </w:r>
            <w:r>
              <w:rPr>
                <w:rFonts w:hint="eastAsia"/>
                <w:color w:val="auto"/>
                <w:sz w:val="24"/>
                <w:szCs w:val="24"/>
              </w:rPr>
              <w:t>《中华人民共和国城镇建设行业标准</w:t>
            </w:r>
            <w:r>
              <w:rPr>
                <w:rFonts w:hint="eastAsia"/>
                <w:color w:val="auto"/>
                <w:sz w:val="24"/>
                <w:szCs w:val="24"/>
                <w:lang w:eastAsia="zh-CN"/>
              </w:rPr>
              <w:t>：</w:t>
            </w:r>
            <w:r>
              <w:rPr>
                <w:rFonts w:hint="eastAsia"/>
                <w:color w:val="auto"/>
                <w:sz w:val="24"/>
                <w:szCs w:val="24"/>
              </w:rPr>
              <w:t>餐饮废水隔油器</w:t>
            </w:r>
            <w:r>
              <w:rPr>
                <w:rFonts w:hint="default"/>
                <w:color w:val="auto"/>
                <w:sz w:val="24"/>
                <w:szCs w:val="24"/>
              </w:rPr>
              <w:t>（</w:t>
            </w:r>
            <w:r>
              <w:rPr>
                <w:rFonts w:hint="eastAsia"/>
                <w:color w:val="auto"/>
                <w:sz w:val="24"/>
                <w:szCs w:val="24"/>
              </w:rPr>
              <w:t>CJ/T 295-2015</w:t>
            </w:r>
            <w:r>
              <w:rPr>
                <w:rFonts w:hint="default"/>
                <w:color w:val="auto"/>
                <w:sz w:val="24"/>
                <w:szCs w:val="24"/>
              </w:rPr>
              <w:t>）</w:t>
            </w:r>
            <w:r>
              <w:rPr>
                <w:rFonts w:hint="eastAsia"/>
                <w:color w:val="auto"/>
                <w:sz w:val="24"/>
                <w:szCs w:val="24"/>
              </w:rPr>
              <w:t>》</w:t>
            </w:r>
            <w:r>
              <w:rPr>
                <w:rFonts w:hint="default" w:ascii="Times New Roman" w:hAnsi="Times New Roman" w:cs="Times New Roman"/>
                <w:color w:val="auto"/>
                <w:sz w:val="24"/>
                <w:szCs w:val="24"/>
              </w:rPr>
              <w:t>要求</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油水分离器</w:t>
            </w:r>
            <w:r>
              <w:rPr>
                <w:rFonts w:hint="eastAsia" w:ascii="Times New Roman" w:hAnsi="Times New Roman" w:cs="Times New Roman"/>
                <w:color w:val="auto"/>
                <w:sz w:val="24"/>
                <w:szCs w:val="24"/>
                <w:lang w:val="en-US" w:eastAsia="zh-CN"/>
              </w:rPr>
              <w:t>设置合理可行，本项目依托其处理产生的食堂废水可行。</w:t>
            </w:r>
          </w:p>
          <w:p w14:paraId="78D97BB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②化粪池</w:t>
            </w:r>
          </w:p>
          <w:p w14:paraId="4B0E7DF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项目依托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w:t>
            </w:r>
            <w:r>
              <w:rPr>
                <w:rFonts w:hint="default" w:ascii="Times New Roman" w:hAnsi="Times New Roman" w:cs="Times New Roman"/>
                <w:color w:val="auto"/>
                <w:sz w:val="24"/>
                <w:lang w:val="en-US" w:eastAsia="zh-CN"/>
              </w:rPr>
              <w:t>的化粪池</w:t>
            </w:r>
            <w:r>
              <w:rPr>
                <w:rFonts w:hint="eastAsia" w:ascii="Times New Roman" w:hAnsi="Times New Roman" w:cs="Times New Roman"/>
                <w:color w:val="auto"/>
                <w:sz w:val="24"/>
                <w:lang w:val="en-US" w:eastAsia="zh-CN"/>
              </w:rPr>
              <w:t>预处理产生的</w:t>
            </w:r>
            <w:r>
              <w:rPr>
                <w:rFonts w:hint="default" w:ascii="Times New Roman" w:hAnsi="Times New Roman" w:cs="Times New Roman"/>
                <w:color w:val="auto"/>
                <w:sz w:val="24"/>
                <w:lang w:val="en-US" w:eastAsia="zh-CN"/>
              </w:rPr>
              <w:t>生活</w:t>
            </w:r>
            <w:r>
              <w:rPr>
                <w:rFonts w:hint="eastAsia" w:ascii="Times New Roman" w:hAnsi="Times New Roman" w:cs="Times New Roman"/>
                <w:color w:val="auto"/>
                <w:sz w:val="24"/>
                <w:lang w:val="en-US" w:eastAsia="zh-CN"/>
              </w:rPr>
              <w:t>污水，</w:t>
            </w:r>
            <w:r>
              <w:rPr>
                <w:rFonts w:hint="default" w:ascii="Times New Roman" w:hAnsi="Times New Roman" w:cs="Times New Roman"/>
                <w:color w:val="auto"/>
                <w:sz w:val="24"/>
                <w:szCs w:val="24"/>
                <w:lang w:val="en-US" w:eastAsia="zh-CN"/>
              </w:rPr>
              <w:t>依托</w:t>
            </w:r>
            <w:r>
              <w:rPr>
                <w:rFonts w:hint="default" w:ascii="Times New Roman" w:hAnsi="Times New Roman" w:cs="Times New Roman"/>
                <w:color w:val="auto"/>
                <w:sz w:val="24"/>
                <w:szCs w:val="24"/>
              </w:rPr>
              <w:t>化粪池</w:t>
            </w:r>
            <w:r>
              <w:rPr>
                <w:rFonts w:hint="default" w:ascii="Times New Roman" w:hAnsi="Times New Roman" w:eastAsia="宋体" w:cs="Times New Roman"/>
                <w:color w:val="auto"/>
                <w:sz w:val="24"/>
                <w:szCs w:val="24"/>
                <w:lang w:val="en-US" w:eastAsia="zh-CN"/>
              </w:rPr>
              <w:t>5m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cs="Times New Roman"/>
                <w:color w:val="auto"/>
                <w:sz w:val="24"/>
                <w:lang w:val="en-US" w:eastAsia="zh-CN"/>
              </w:rPr>
              <w:t>。</w:t>
            </w:r>
          </w:p>
          <w:p w14:paraId="5BB53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依托后实际接纳污水量核算：</w:t>
            </w:r>
            <w:r>
              <w:rPr>
                <w:rFonts w:hint="default" w:ascii="Times New Roman" w:hAnsi="Times New Roman" w:cs="Times New Roman"/>
                <w:color w:val="auto"/>
                <w:sz w:val="24"/>
                <w:lang w:val="en-US" w:eastAsia="zh-CN"/>
              </w:rPr>
              <w:t>根据调查，</w:t>
            </w:r>
            <w:r>
              <w:rPr>
                <w:rFonts w:hint="default" w:ascii="Times New Roman" w:hAnsi="Times New Roman" w:eastAsia="宋体" w:cs="Times New Roman"/>
                <w:color w:val="auto"/>
                <w:kern w:val="0"/>
                <w:sz w:val="24"/>
                <w:szCs w:val="24"/>
                <w:lang w:val="en-US" w:eastAsia="zh-CN" w:bidi="ar"/>
              </w:rPr>
              <w:t>云南鹏达冠得有限公司现有劳动定员15人，生活废水产生量约216m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/a（0.72m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/d）；本项目建成后生活污水产生量288m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/a（0.96m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/d）；合计接纳污水量504m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/a（1.68m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p>
          <w:p w14:paraId="6C19F1F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val="en-US" w:eastAsia="zh-CN" w:bidi="ar"/>
              </w:rPr>
              <w:t>化粪池有效容积5m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，接纳污水</w:t>
            </w:r>
            <w:r>
              <w:rPr>
                <w:rFonts w:hint="eastAsia" w:ascii="Times New Roman" w:hAnsi="Times New Roman" w:eastAsia="宋体" w:cs="Times New Roman"/>
                <w:color w:val="auto"/>
                <w:kern w:val="0"/>
                <w:sz w:val="24"/>
                <w:szCs w:val="24"/>
                <w:lang w:val="en-US" w:eastAsia="zh-CN" w:bidi="ar"/>
              </w:rPr>
              <w:t>总</w:t>
            </w:r>
            <w:r>
              <w:rPr>
                <w:rFonts w:hint="default" w:ascii="Times New Roman" w:hAnsi="Times New Roman" w:eastAsia="宋体" w:cs="Times New Roman"/>
                <w:color w:val="auto"/>
                <w:kern w:val="0"/>
                <w:sz w:val="24"/>
                <w:szCs w:val="24"/>
                <w:lang w:val="en-US" w:eastAsia="zh-CN" w:bidi="ar"/>
              </w:rPr>
              <w:t>量1.68m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/d，水力停留时间约为3.0d，满足化粪池水力停留时间不小于24h的规范要求，</w:t>
            </w:r>
            <w:r>
              <w:rPr>
                <w:rFonts w:hint="default" w:ascii="Times New Roman" w:hAnsi="Times New Roman" w:cs="Times New Roman"/>
                <w:color w:val="auto"/>
                <w:sz w:val="24"/>
              </w:rPr>
              <w:t>符合要求</w:t>
            </w:r>
            <w:r>
              <w:rPr>
                <w:rFonts w:hint="eastAsia" w:ascii="Times New Roman" w:hAnsi="Times New Roman" w:cs="Times New Roman"/>
                <w:color w:val="auto"/>
                <w:sz w:val="24"/>
                <w:lang w:eastAsia="zh-CN"/>
              </w:rPr>
              <w:t>。</w:t>
            </w:r>
          </w:p>
          <w:p w14:paraId="056DF4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lang w:val="en-US" w:eastAsia="zh-CN"/>
              </w:rPr>
            </w:pPr>
            <w:r>
              <w:rPr>
                <w:rFonts w:hint="default" w:ascii="Times New Roman" w:hAnsi="Times New Roman" w:cs="Times New Roman"/>
                <w:b w:val="0"/>
                <w:bCs/>
                <w:color w:val="auto"/>
                <w:sz w:val="24"/>
                <w:lang w:val="en-US" w:eastAsia="zh-CN"/>
              </w:rPr>
              <w:t>③一体化污水处理</w:t>
            </w:r>
            <w:r>
              <w:rPr>
                <w:rFonts w:hint="eastAsia" w:ascii="Times New Roman" w:hAnsi="Times New Roman" w:cs="Times New Roman"/>
                <w:b w:val="0"/>
                <w:bCs/>
                <w:color w:val="auto"/>
                <w:sz w:val="24"/>
                <w:lang w:val="en-US" w:eastAsia="zh-CN"/>
              </w:rPr>
              <w:t>设施</w:t>
            </w:r>
          </w:p>
          <w:p w14:paraId="72F9DEE4">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宋体"/>
                <w:bCs/>
                <w:color w:val="auto"/>
                <w:sz w:val="24"/>
                <w:szCs w:val="24"/>
                <w:lang w:val="en-US" w:eastAsia="zh-CN"/>
              </w:rPr>
            </w:pPr>
            <w:r>
              <w:rPr>
                <w:rFonts w:hint="default" w:ascii="Times New Roman" w:hAnsi="Times New Roman" w:cs="Times New Roman"/>
                <w:bCs/>
                <w:color w:val="auto"/>
                <w:sz w:val="24"/>
                <w:lang w:val="en-US" w:eastAsia="zh-CN"/>
              </w:rPr>
              <w:t>项目依托</w:t>
            </w:r>
            <w:r>
              <w:rPr>
                <w:rFonts w:hint="default" w:ascii="Times New Roman" w:hAnsi="Times New Roman" w:eastAsia="宋体" w:cs="Times New Roman"/>
                <w:caps w:val="0"/>
                <w:smallCaps w:val="0"/>
                <w:color w:val="auto"/>
                <w:kern w:val="2"/>
                <w:sz w:val="24"/>
                <w:szCs w:val="24"/>
                <w:lang w:val="en-US" w:eastAsia="zh-CN" w:bidi="ar-SA"/>
              </w:rPr>
              <w:t>云南鹏达冠得有限公司</w:t>
            </w:r>
            <w:r>
              <w:rPr>
                <w:rFonts w:hint="default" w:ascii="Times New Roman" w:hAnsi="Times New Roman" w:eastAsia="宋体" w:cs="Times New Roman"/>
                <w:color w:val="auto"/>
                <w:sz w:val="24"/>
                <w:szCs w:val="24"/>
                <w:lang w:val="en-US" w:eastAsia="zh-CN"/>
              </w:rPr>
              <w:t>已建</w:t>
            </w:r>
            <w:r>
              <w:rPr>
                <w:rFonts w:hint="default" w:ascii="Times New Roman" w:hAnsi="Times New Roman" w:cs="Times New Roman"/>
                <w:bCs/>
                <w:color w:val="auto"/>
                <w:sz w:val="24"/>
                <w:lang w:val="en-US" w:eastAsia="zh-CN"/>
              </w:rPr>
              <w:t>的</w:t>
            </w:r>
            <w:r>
              <w:rPr>
                <w:rFonts w:hint="eastAsia" w:ascii="Times New Roman" w:hAnsi="Times New Roman" w:cs="Times New Roman"/>
                <w:bCs/>
                <w:color w:val="auto"/>
                <w:sz w:val="24"/>
                <w:lang w:val="en-US" w:eastAsia="zh-CN"/>
              </w:rPr>
              <w:t>一体化污水处理设施处理项目产生的生活污水、间接冷却循环废水，</w:t>
            </w:r>
            <w:r>
              <w:rPr>
                <w:rFonts w:hint="default" w:ascii="Times New Roman" w:hAnsi="Times New Roman" w:cs="Times New Roman"/>
                <w:bCs/>
                <w:color w:val="auto"/>
                <w:sz w:val="24"/>
                <w:lang w:val="en-US" w:eastAsia="zh-CN"/>
              </w:rPr>
              <w:t>处理规模</w:t>
            </w:r>
            <w:r>
              <w:rPr>
                <w:rFonts w:hint="eastAsia" w:ascii="Times New Roman" w:hAnsi="Times New Roman" w:cs="Times New Roman"/>
                <w:bCs/>
                <w:color w:val="auto"/>
                <w:sz w:val="24"/>
                <w:lang w:val="en-US" w:eastAsia="zh-CN"/>
              </w:rPr>
              <w:t>8</w:t>
            </w:r>
            <w:r>
              <w:rPr>
                <w:rFonts w:hint="default" w:ascii="Times New Roman" w:hAnsi="Times New Roman" w:cs="Times New Roman"/>
                <w:bCs/>
                <w:color w:val="auto"/>
                <w:sz w:val="24"/>
                <w:lang w:val="en-US" w:eastAsia="zh-CN"/>
              </w:rPr>
              <w:t>m</w:t>
            </w:r>
            <w:r>
              <w:rPr>
                <w:rFonts w:hint="default" w:ascii="Times New Roman" w:hAnsi="Times New Roman"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/d，</w:t>
            </w:r>
            <w:r>
              <w:rPr>
                <w:rFonts w:hint="eastAsia" w:ascii="Times New Roman" w:hAnsi="Times New Roman" w:cs="Times New Roman"/>
                <w:bCs/>
                <w:color w:val="auto"/>
                <w:sz w:val="24"/>
                <w:lang w:val="en-US" w:eastAsia="zh-CN"/>
              </w:rPr>
              <w:t>采</w:t>
            </w:r>
            <w:r>
              <w:rPr>
                <w:rFonts w:hint="eastAsia" w:ascii="Times New Roman" w:hAnsi="Times New Roman" w:cs="Times New Roman"/>
                <w:bCs/>
                <w:color w:val="auto"/>
                <w:sz w:val="24"/>
                <w:szCs w:val="24"/>
                <w:lang w:val="en-US" w:eastAsia="zh-CN"/>
              </w:rPr>
              <w:t>用</w:t>
            </w:r>
            <w:r>
              <w:rPr>
                <w:rFonts w:hint="default" w:ascii="Times New Roman" w:hAnsi="Times New Roman" w:eastAsia="宋体" w:cs="Times New Roman"/>
                <w:color w:val="auto"/>
                <w:kern w:val="0"/>
                <w:sz w:val="24"/>
                <w:szCs w:val="24"/>
                <w:lang w:val="en-US" w:eastAsia="zh-CN" w:bidi="ar"/>
              </w:rPr>
              <w:t>MBR中水处理工艺</w:t>
            </w:r>
            <w:r>
              <w:rPr>
                <w:rFonts w:hint="eastAsia"/>
                <w:bCs/>
                <w:color w:val="auto"/>
                <w:sz w:val="24"/>
                <w:szCs w:val="24"/>
                <w:lang w:val="en-US" w:eastAsia="zh-CN"/>
              </w:rPr>
              <w:t>。</w:t>
            </w:r>
          </w:p>
          <w:p w14:paraId="65BED201">
            <w:pPr>
              <w:pStyle w:val="24"/>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auto"/>
                <w:sz w:val="24"/>
              </w:rPr>
            </w:pPr>
            <w:r>
              <w:rPr>
                <w:rFonts w:hint="default" w:ascii="Times New Roman" w:hAnsi="Times New Roman"/>
                <w:color w:val="auto"/>
                <w:sz w:val="24"/>
                <w:szCs w:val="24"/>
              </w:rPr>
              <w:t>根据《排污许可证申请与核发技术规范 水处理通用工序》（HJ1120-2020）附录A中废水污染防治措施可行技术参考表，生活废水处理可行技术有</w:t>
            </w:r>
            <w:r>
              <w:rPr>
                <w:rFonts w:hint="default" w:ascii="Times New Roman" w:hAnsi="Times New Roman"/>
                <w:color w:val="auto"/>
                <w:sz w:val="24"/>
              </w:rPr>
              <w:t>：预处理——调整、隔油、</w:t>
            </w:r>
            <w:r>
              <w:rPr>
                <w:rFonts w:hint="default" w:ascii="Times New Roman" w:hAnsi="Times New Roman"/>
                <w:b w:val="0"/>
                <w:bCs w:val="0"/>
                <w:color w:val="auto"/>
                <w:sz w:val="24"/>
              </w:rPr>
              <w:t>格栅、沉淀、气浮、混凝；生化处理-水解酸化、厌氧、好氧、缺氧好氧（A/O）、厌氧缺氧好氧（AO）、序批式活性污泥（SBR）、氧化沟、曝气生物滤池（BAF）、移动生物床反应器（MBBR）</w:t>
            </w:r>
            <w:r>
              <w:rPr>
                <w:rFonts w:hint="default" w:ascii="Times New Roman" w:hAnsi="Times New Roman"/>
                <w:color w:val="auto"/>
                <w:sz w:val="24"/>
              </w:rPr>
              <w:t>、</w:t>
            </w:r>
            <w:r>
              <w:rPr>
                <w:rFonts w:hint="default" w:ascii="Times New Roman" w:hAnsi="Times New Roman"/>
                <w:b/>
                <w:bCs/>
                <w:color w:val="auto"/>
                <w:sz w:val="24"/>
              </w:rPr>
              <w:t>膜生物反应器（MBR）</w:t>
            </w:r>
            <w:r>
              <w:rPr>
                <w:rFonts w:hint="default" w:ascii="Times New Roman" w:hAnsi="Times New Roman"/>
                <w:color w:val="auto"/>
                <w:sz w:val="24"/>
              </w:rPr>
              <w:t>、二沉池；深度处理及回用——沉淀、过滤、高级氧化、曝气生物滤池、超滤、反渗透、电渗析、离子交换、消毒（次氯酸钠、臭氧、紫外、二氧化氯）。</w:t>
            </w:r>
          </w:p>
          <w:p w14:paraId="06AD2DA7">
            <w:pPr>
              <w:pStyle w:val="24"/>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auto"/>
                <w:sz w:val="24"/>
              </w:rPr>
            </w:pPr>
            <w:r>
              <w:rPr>
                <w:rFonts w:hint="default" w:ascii="Times New Roman" w:hAnsi="Times New Roman"/>
                <w:color w:val="auto"/>
                <w:sz w:val="24"/>
              </w:rPr>
              <w:t>根据以上可知，</w:t>
            </w:r>
            <w:r>
              <w:rPr>
                <w:rFonts w:hint="eastAsia" w:ascii="Times New Roman" w:hAnsi="Times New Roman"/>
                <w:color w:val="auto"/>
                <w:sz w:val="24"/>
                <w:lang w:val="en-US" w:eastAsia="zh-CN"/>
              </w:rPr>
              <w:t>项目使用</w:t>
            </w:r>
            <w:r>
              <w:rPr>
                <w:rFonts w:hint="eastAsia" w:ascii="Times New Roman" w:hAnsi="Times New Roman"/>
                <w:color w:val="auto"/>
                <w:sz w:val="24"/>
                <w:szCs w:val="24"/>
                <w:lang w:val="en-US" w:eastAsia="zh-CN"/>
              </w:rPr>
              <w:t>的“</w:t>
            </w:r>
            <w:r>
              <w:rPr>
                <w:rFonts w:hint="default" w:ascii="Times New Roman" w:hAnsi="Times New Roman" w:eastAsia="宋体" w:cs="Times New Roman"/>
                <w:color w:val="auto"/>
                <w:kern w:val="0"/>
                <w:sz w:val="24"/>
                <w:szCs w:val="24"/>
                <w:lang w:val="en-US" w:eastAsia="zh-CN" w:bidi="ar"/>
              </w:rPr>
              <w:t>MBR中水处理工艺</w:t>
            </w:r>
            <w:r>
              <w:rPr>
                <w:rFonts w:hint="eastAsia" w:ascii="Times New Roman" w:hAnsi="Times New Roman"/>
                <w:color w:val="auto"/>
                <w:sz w:val="24"/>
                <w:szCs w:val="24"/>
                <w:lang w:val="en-US" w:eastAsia="zh-CN"/>
              </w:rPr>
              <w:t>”</w:t>
            </w:r>
            <w:r>
              <w:rPr>
                <w:rFonts w:hint="default" w:ascii="Times New Roman" w:hAnsi="Times New Roman"/>
                <w:color w:val="auto"/>
                <w:sz w:val="24"/>
                <w:szCs w:val="24"/>
              </w:rPr>
              <w:t>为《排污许可证申请与核发技术规范 水处理通用工序》（HJ1120-2020）附录A中可行技术。</w:t>
            </w:r>
          </w:p>
          <w:p w14:paraId="5C2A71AC">
            <w:pPr>
              <w:keepNext w:val="0"/>
              <w:keepLines w:val="0"/>
              <w:widowControl/>
              <w:suppressLineNumbers w:val="0"/>
              <w:spacing w:before="0" w:beforeAutospacing="0" w:after="0" w:afterAutospacing="0" w:line="360" w:lineRule="auto"/>
              <w:ind w:left="0" w:right="0" w:firstLine="480" w:firstLineChars="200"/>
              <w:jc w:val="left"/>
              <w:rPr>
                <w:rFonts w:hint="default"/>
                <w:color w:val="auto"/>
                <w:sz w:val="24"/>
              </w:rPr>
            </w:pPr>
            <w:r>
              <w:rPr>
                <w:rFonts w:hint="eastAsia"/>
                <w:color w:val="auto"/>
                <w:sz w:val="24"/>
                <w:lang w:val="en-US" w:eastAsia="zh-CN"/>
              </w:rPr>
              <w:t>同时，</w:t>
            </w:r>
            <w:r>
              <w:rPr>
                <w:rFonts w:hint="eastAsia"/>
                <w:color w:val="auto"/>
                <w:sz w:val="24"/>
              </w:rPr>
              <w:t>根据</w:t>
            </w:r>
            <w:r>
              <w:rPr>
                <w:rFonts w:hint="default"/>
                <w:bCs/>
                <w:color w:val="auto"/>
                <w:sz w:val="24"/>
              </w:rPr>
              <w:t>《</w:t>
            </w:r>
            <w:r>
              <w:rPr>
                <w:rFonts w:hint="eastAsia"/>
                <w:bCs/>
                <w:color w:val="auto"/>
                <w:sz w:val="24"/>
              </w:rPr>
              <w:t>云南鹏达冠得家具有限公司家具生产项目竣工环保验收</w:t>
            </w:r>
            <w:r>
              <w:rPr>
                <w:rFonts w:hint="default"/>
                <w:bCs/>
                <w:color w:val="auto"/>
                <w:sz w:val="24"/>
              </w:rPr>
              <w:t>监测表》</w:t>
            </w:r>
            <w:r>
              <w:rPr>
                <w:rFonts w:hint="eastAsia"/>
                <w:bCs/>
                <w:color w:val="auto"/>
                <w:sz w:val="24"/>
              </w:rPr>
              <w:t>中验收监测结果</w:t>
            </w:r>
            <w:r>
              <w:rPr>
                <w:rFonts w:hint="eastAsia"/>
                <w:bCs/>
                <w:color w:val="auto"/>
                <w:sz w:val="24"/>
                <w:lang w:eastAsia="zh-CN"/>
              </w:rPr>
              <w:t>，</w:t>
            </w:r>
            <w:r>
              <w:rPr>
                <w:rFonts w:hint="eastAsia"/>
                <w:bCs/>
                <w:color w:val="auto"/>
                <w:sz w:val="24"/>
                <w:lang w:val="en-US" w:eastAsia="zh-CN"/>
              </w:rPr>
              <w:t>详见附件9</w:t>
            </w:r>
            <w:r>
              <w:rPr>
                <w:rFonts w:hint="eastAsia"/>
                <w:bCs/>
                <w:color w:val="auto"/>
                <w:sz w:val="24"/>
              </w:rPr>
              <w:t>，</w:t>
            </w:r>
            <w:r>
              <w:rPr>
                <w:rFonts w:hint="eastAsia"/>
                <w:bCs/>
                <w:color w:val="auto"/>
                <w:sz w:val="24"/>
                <w:lang w:val="en-US" w:eastAsia="zh-CN"/>
              </w:rPr>
              <w:t>依托</w:t>
            </w:r>
            <w:r>
              <w:rPr>
                <w:rFonts w:hint="default" w:ascii="Times New Roman" w:hAnsi="Times New Roman" w:eastAsia="宋体" w:cs="Times New Roman"/>
                <w:color w:val="auto"/>
                <w:sz w:val="24"/>
                <w:szCs w:val="24"/>
                <w:lang w:val="en-US" w:eastAsia="zh-CN"/>
              </w:rPr>
              <w:t>已建</w:t>
            </w:r>
            <w:r>
              <w:rPr>
                <w:rFonts w:hint="default" w:ascii="Times New Roman" w:hAnsi="Times New Roman" w:cs="Times New Roman"/>
                <w:b w:val="0"/>
                <w:bCs/>
                <w:color w:val="auto"/>
                <w:sz w:val="24"/>
                <w:lang w:val="en-US" w:eastAsia="zh-CN"/>
              </w:rPr>
              <w:t>一体化污水处理</w:t>
            </w:r>
            <w:r>
              <w:rPr>
                <w:rFonts w:hint="eastAsia" w:ascii="Times New Roman" w:hAnsi="Times New Roman" w:cs="Times New Roman"/>
                <w:b w:val="0"/>
                <w:bCs/>
                <w:color w:val="auto"/>
                <w:sz w:val="24"/>
                <w:lang w:val="en-US" w:eastAsia="zh-CN"/>
              </w:rPr>
              <w:t>设施</w:t>
            </w:r>
            <w:r>
              <w:rPr>
                <w:rFonts w:hint="eastAsia"/>
                <w:bCs/>
                <w:color w:val="auto"/>
                <w:sz w:val="24"/>
              </w:rPr>
              <w:t>出水水质能满足</w:t>
            </w:r>
            <w:r>
              <w:rPr>
                <w:rFonts w:hint="default"/>
                <w:color w:val="auto"/>
                <w:sz w:val="24"/>
              </w:rPr>
              <w:t>《城市污水再生利用 城市杂用水水质》（GB/T18920-20</w:t>
            </w:r>
            <w:r>
              <w:rPr>
                <w:rFonts w:hint="eastAsia"/>
                <w:color w:val="auto"/>
                <w:sz w:val="24"/>
              </w:rPr>
              <w:t>20</w:t>
            </w:r>
            <w:r>
              <w:rPr>
                <w:rFonts w:hint="default"/>
                <w:color w:val="auto"/>
                <w:sz w:val="24"/>
              </w:rPr>
              <w:t>）中的绿化标准限值</w:t>
            </w:r>
            <w:r>
              <w:rPr>
                <w:rFonts w:hint="eastAsia"/>
                <w:color w:val="auto"/>
                <w:sz w:val="24"/>
              </w:rPr>
              <w:t>。验收监测中污水处理站出水水质监测结果见下表。</w:t>
            </w:r>
          </w:p>
          <w:p w14:paraId="5FD3696C">
            <w:pPr>
              <w:pStyle w:val="14"/>
              <w:keepNext w:val="0"/>
              <w:keepLines w:val="0"/>
              <w:suppressLineNumbers w:val="0"/>
              <w:tabs>
                <w:tab w:val="left" w:pos="7200"/>
              </w:tabs>
              <w:spacing w:before="0" w:beforeAutospacing="0" w:after="0" w:afterAutospacing="0" w:line="360" w:lineRule="auto"/>
              <w:ind w:left="0" w:right="0" w:firstLine="0" w:firstLineChars="0"/>
              <w:jc w:val="center"/>
              <w:rPr>
                <w:rFonts w:hint="default"/>
                <w:b/>
                <w:color w:val="auto"/>
                <w:sz w:val="21"/>
                <w:szCs w:val="21"/>
              </w:rPr>
            </w:pPr>
            <w:r>
              <w:rPr>
                <w:rFonts w:hint="default"/>
                <w:b/>
                <w:color w:val="auto"/>
                <w:sz w:val="21"/>
                <w:szCs w:val="21"/>
              </w:rPr>
              <w:t>表</w:t>
            </w:r>
            <w:r>
              <w:rPr>
                <w:rFonts w:hint="eastAsia"/>
                <w:b/>
                <w:color w:val="auto"/>
                <w:sz w:val="21"/>
                <w:szCs w:val="21"/>
              </w:rPr>
              <w:t>4-1</w:t>
            </w:r>
            <w:r>
              <w:rPr>
                <w:rFonts w:hint="eastAsia"/>
                <w:b/>
                <w:color w:val="auto"/>
                <w:sz w:val="21"/>
                <w:szCs w:val="21"/>
                <w:lang w:val="en-US" w:eastAsia="zh-CN"/>
              </w:rPr>
              <w:t>2</w:t>
            </w:r>
            <w:r>
              <w:rPr>
                <w:rFonts w:hint="eastAsia"/>
                <w:b/>
                <w:color w:val="auto"/>
                <w:sz w:val="21"/>
                <w:szCs w:val="21"/>
              </w:rPr>
              <w:t xml:space="preserve">  </w:t>
            </w:r>
            <w:r>
              <w:rPr>
                <w:rFonts w:hint="default"/>
                <w:b/>
                <w:color w:val="auto"/>
                <w:sz w:val="21"/>
                <w:szCs w:val="21"/>
              </w:rPr>
              <w:t>废水出口监测结果及评价（单位：mg/L）</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808"/>
              <w:gridCol w:w="729"/>
              <w:gridCol w:w="718"/>
              <w:gridCol w:w="819"/>
              <w:gridCol w:w="702"/>
              <w:gridCol w:w="733"/>
              <w:gridCol w:w="712"/>
              <w:gridCol w:w="861"/>
              <w:gridCol w:w="794"/>
              <w:gridCol w:w="773"/>
            </w:tblGrid>
            <w:tr w14:paraId="4995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restart"/>
                  <w:vAlign w:val="center"/>
                </w:tcPr>
                <w:p w14:paraId="18AB3B29">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采样日期项目名称</w:t>
                  </w:r>
                </w:p>
              </w:tc>
              <w:tc>
                <w:tcPr>
                  <w:tcW w:w="1704" w:type="pct"/>
                  <w:gridSpan w:val="4"/>
                  <w:vAlign w:val="center"/>
                </w:tcPr>
                <w:p w14:paraId="257694BC">
                  <w:pPr>
                    <w:keepNext w:val="0"/>
                    <w:keepLines w:val="0"/>
                    <w:widowControl/>
                    <w:suppressLineNumbers w:val="0"/>
                    <w:spacing w:before="0" w:beforeAutospacing="0" w:after="0" w:afterAutospacing="0"/>
                    <w:ind w:left="0" w:right="0"/>
                    <w:jc w:val="center"/>
                    <w:textAlignment w:val="center"/>
                    <w:rPr>
                      <w:rFonts w:hint="eastAsia" w:eastAsia="宋体"/>
                      <w:b/>
                      <w:bCs/>
                      <w:color w:val="auto"/>
                      <w:kern w:val="0"/>
                      <w:szCs w:val="21"/>
                      <w:lang w:eastAsia="zh-CN" w:bidi="ar"/>
                    </w:rPr>
                  </w:pPr>
                  <w:r>
                    <w:rPr>
                      <w:rFonts w:hint="default"/>
                      <w:b/>
                      <w:bCs/>
                      <w:color w:val="auto"/>
                      <w:kern w:val="0"/>
                      <w:szCs w:val="21"/>
                      <w:lang w:bidi="ar"/>
                    </w:rPr>
                    <w:t>20</w:t>
                  </w:r>
                  <w:r>
                    <w:rPr>
                      <w:rFonts w:hint="eastAsia"/>
                      <w:b/>
                      <w:bCs/>
                      <w:color w:val="auto"/>
                      <w:kern w:val="0"/>
                      <w:szCs w:val="21"/>
                      <w:lang w:val="en-US" w:eastAsia="zh-CN" w:bidi="ar"/>
                    </w:rPr>
                    <w:t>22</w:t>
                  </w:r>
                  <w:r>
                    <w:rPr>
                      <w:rFonts w:hint="default"/>
                      <w:b/>
                      <w:bCs/>
                      <w:color w:val="auto"/>
                      <w:kern w:val="0"/>
                      <w:szCs w:val="21"/>
                      <w:lang w:bidi="ar"/>
                    </w:rPr>
                    <w:t>/</w:t>
                  </w:r>
                  <w:r>
                    <w:rPr>
                      <w:rFonts w:hint="eastAsia"/>
                      <w:b/>
                      <w:bCs/>
                      <w:color w:val="auto"/>
                      <w:kern w:val="0"/>
                      <w:szCs w:val="21"/>
                      <w:lang w:val="en-US" w:eastAsia="zh-CN" w:bidi="ar"/>
                    </w:rPr>
                    <w:t>11</w:t>
                  </w:r>
                  <w:r>
                    <w:rPr>
                      <w:rFonts w:hint="default"/>
                      <w:b/>
                      <w:bCs/>
                      <w:color w:val="auto"/>
                      <w:kern w:val="0"/>
                      <w:szCs w:val="21"/>
                      <w:lang w:bidi="ar"/>
                    </w:rPr>
                    <w:t>/0</w:t>
                  </w:r>
                  <w:r>
                    <w:rPr>
                      <w:rFonts w:hint="eastAsia"/>
                      <w:b/>
                      <w:bCs/>
                      <w:color w:val="auto"/>
                      <w:kern w:val="0"/>
                      <w:szCs w:val="21"/>
                      <w:lang w:val="en-US" w:eastAsia="zh-CN" w:bidi="ar"/>
                    </w:rPr>
                    <w:t>4</w:t>
                  </w:r>
                </w:p>
              </w:tc>
              <w:tc>
                <w:tcPr>
                  <w:tcW w:w="1669" w:type="pct"/>
                  <w:gridSpan w:val="4"/>
                  <w:vAlign w:val="center"/>
                </w:tcPr>
                <w:p w14:paraId="56382EB2">
                  <w:pPr>
                    <w:keepNext w:val="0"/>
                    <w:keepLines w:val="0"/>
                    <w:widowControl/>
                    <w:suppressLineNumbers w:val="0"/>
                    <w:spacing w:before="0" w:beforeAutospacing="0" w:after="0" w:afterAutospacing="0"/>
                    <w:ind w:left="0" w:right="0"/>
                    <w:jc w:val="center"/>
                    <w:textAlignment w:val="center"/>
                    <w:rPr>
                      <w:rFonts w:hint="eastAsia" w:eastAsia="宋体"/>
                      <w:b/>
                      <w:bCs/>
                      <w:color w:val="auto"/>
                      <w:kern w:val="0"/>
                      <w:szCs w:val="21"/>
                      <w:lang w:eastAsia="zh-CN" w:bidi="ar"/>
                    </w:rPr>
                  </w:pPr>
                  <w:r>
                    <w:rPr>
                      <w:rFonts w:hint="default"/>
                      <w:b/>
                      <w:bCs/>
                      <w:color w:val="auto"/>
                      <w:kern w:val="0"/>
                      <w:szCs w:val="21"/>
                      <w:lang w:bidi="ar"/>
                    </w:rPr>
                    <w:t>20</w:t>
                  </w:r>
                  <w:r>
                    <w:rPr>
                      <w:rFonts w:hint="eastAsia"/>
                      <w:b/>
                      <w:bCs/>
                      <w:color w:val="auto"/>
                      <w:kern w:val="0"/>
                      <w:szCs w:val="21"/>
                      <w:lang w:val="en-US" w:eastAsia="zh-CN" w:bidi="ar"/>
                    </w:rPr>
                    <w:t>22</w:t>
                  </w:r>
                  <w:r>
                    <w:rPr>
                      <w:rFonts w:hint="default"/>
                      <w:b/>
                      <w:bCs/>
                      <w:color w:val="auto"/>
                      <w:kern w:val="0"/>
                      <w:szCs w:val="21"/>
                      <w:lang w:bidi="ar"/>
                    </w:rPr>
                    <w:t>/</w:t>
                  </w:r>
                  <w:r>
                    <w:rPr>
                      <w:rFonts w:hint="eastAsia"/>
                      <w:b/>
                      <w:bCs/>
                      <w:color w:val="auto"/>
                      <w:kern w:val="0"/>
                      <w:szCs w:val="21"/>
                      <w:lang w:val="en-US" w:eastAsia="zh-CN" w:bidi="ar"/>
                    </w:rPr>
                    <w:t>11</w:t>
                  </w:r>
                  <w:r>
                    <w:rPr>
                      <w:rFonts w:hint="default"/>
                      <w:b/>
                      <w:bCs/>
                      <w:color w:val="auto"/>
                      <w:kern w:val="0"/>
                      <w:szCs w:val="21"/>
                      <w:lang w:bidi="ar"/>
                    </w:rPr>
                    <w:t>/0</w:t>
                  </w:r>
                  <w:r>
                    <w:rPr>
                      <w:rFonts w:hint="eastAsia"/>
                      <w:b/>
                      <w:bCs/>
                      <w:color w:val="auto"/>
                      <w:kern w:val="0"/>
                      <w:szCs w:val="21"/>
                      <w:lang w:val="en-US" w:eastAsia="zh-CN" w:bidi="ar"/>
                    </w:rPr>
                    <w:t>5</w:t>
                  </w:r>
                </w:p>
              </w:tc>
              <w:tc>
                <w:tcPr>
                  <w:tcW w:w="439" w:type="pct"/>
                  <w:vMerge w:val="restart"/>
                  <w:vAlign w:val="center"/>
                </w:tcPr>
                <w:p w14:paraId="0C7791C9">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执行标准</w:t>
                  </w:r>
                </w:p>
              </w:tc>
              <w:tc>
                <w:tcPr>
                  <w:tcW w:w="427" w:type="pct"/>
                  <w:vMerge w:val="restart"/>
                  <w:vAlign w:val="center"/>
                </w:tcPr>
                <w:p w14:paraId="5DC34988">
                  <w:pPr>
                    <w:keepNext w:val="0"/>
                    <w:keepLines w:val="0"/>
                    <w:widowControl/>
                    <w:suppressLineNumbers w:val="0"/>
                    <w:spacing w:before="0" w:beforeAutospacing="0" w:after="0" w:afterAutospacing="0"/>
                    <w:ind w:left="0" w:right="0"/>
                    <w:jc w:val="center"/>
                    <w:textAlignment w:val="center"/>
                    <w:rPr>
                      <w:rFonts w:hint="default"/>
                      <w:b/>
                      <w:bCs/>
                      <w:color w:val="auto"/>
                      <w:kern w:val="0"/>
                      <w:szCs w:val="21"/>
                      <w:lang w:bidi="ar"/>
                    </w:rPr>
                  </w:pPr>
                  <w:r>
                    <w:rPr>
                      <w:rFonts w:hint="default"/>
                      <w:b/>
                      <w:bCs/>
                      <w:color w:val="auto"/>
                      <w:kern w:val="0"/>
                      <w:szCs w:val="21"/>
                      <w:lang w:bidi="ar"/>
                    </w:rPr>
                    <w:t>达标</w:t>
                  </w:r>
                </w:p>
                <w:p w14:paraId="484CD36A">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情况</w:t>
                  </w:r>
                </w:p>
              </w:tc>
            </w:tr>
            <w:tr w14:paraId="4AC4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Merge w:val="continue"/>
                  <w:vAlign w:val="center"/>
                </w:tcPr>
                <w:p w14:paraId="18DA0FBE">
                  <w:pPr>
                    <w:keepNext w:val="0"/>
                    <w:keepLines w:val="0"/>
                    <w:suppressLineNumbers w:val="0"/>
                    <w:spacing w:before="0" w:beforeAutospacing="0" w:after="0" w:afterAutospacing="0"/>
                    <w:ind w:left="0" w:right="0"/>
                    <w:jc w:val="center"/>
                    <w:rPr>
                      <w:rFonts w:hint="default"/>
                      <w:color w:val="auto"/>
                      <w:szCs w:val="21"/>
                    </w:rPr>
                  </w:pPr>
                </w:p>
              </w:tc>
              <w:tc>
                <w:tcPr>
                  <w:tcW w:w="447" w:type="pct"/>
                  <w:vAlign w:val="center"/>
                </w:tcPr>
                <w:p w14:paraId="41FD9998">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1</w:t>
                  </w:r>
                </w:p>
              </w:tc>
              <w:tc>
                <w:tcPr>
                  <w:tcW w:w="405" w:type="pct"/>
                  <w:vAlign w:val="center"/>
                </w:tcPr>
                <w:p w14:paraId="4719C8B7">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2</w:t>
                  </w:r>
                </w:p>
              </w:tc>
              <w:tc>
                <w:tcPr>
                  <w:tcW w:w="399" w:type="pct"/>
                  <w:vAlign w:val="center"/>
                </w:tcPr>
                <w:p w14:paraId="264AE58F">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3</w:t>
                  </w:r>
                </w:p>
              </w:tc>
              <w:tc>
                <w:tcPr>
                  <w:tcW w:w="452" w:type="pct"/>
                  <w:vAlign w:val="center"/>
                </w:tcPr>
                <w:p w14:paraId="702AEC44">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均值</w:t>
                  </w:r>
                </w:p>
              </w:tc>
              <w:tc>
                <w:tcPr>
                  <w:tcW w:w="388" w:type="pct"/>
                  <w:vAlign w:val="center"/>
                </w:tcPr>
                <w:p w14:paraId="50A9C2D9">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1</w:t>
                  </w:r>
                </w:p>
              </w:tc>
              <w:tc>
                <w:tcPr>
                  <w:tcW w:w="410" w:type="pct"/>
                  <w:vAlign w:val="center"/>
                </w:tcPr>
                <w:p w14:paraId="3E54A93A">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2</w:t>
                  </w:r>
                </w:p>
              </w:tc>
              <w:tc>
                <w:tcPr>
                  <w:tcW w:w="396" w:type="pct"/>
                  <w:vAlign w:val="center"/>
                </w:tcPr>
                <w:p w14:paraId="538C275D">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3</w:t>
                  </w:r>
                </w:p>
              </w:tc>
              <w:tc>
                <w:tcPr>
                  <w:tcW w:w="474" w:type="pct"/>
                  <w:vAlign w:val="center"/>
                </w:tcPr>
                <w:p w14:paraId="49D04533">
                  <w:pPr>
                    <w:keepNext w:val="0"/>
                    <w:keepLines w:val="0"/>
                    <w:widowControl/>
                    <w:suppressLineNumbers w:val="0"/>
                    <w:spacing w:before="0" w:beforeAutospacing="0" w:after="0" w:afterAutospacing="0"/>
                    <w:ind w:left="0" w:right="0"/>
                    <w:jc w:val="center"/>
                    <w:textAlignment w:val="center"/>
                    <w:rPr>
                      <w:rFonts w:hint="default"/>
                      <w:b/>
                      <w:bCs/>
                      <w:color w:val="auto"/>
                      <w:szCs w:val="21"/>
                    </w:rPr>
                  </w:pPr>
                  <w:r>
                    <w:rPr>
                      <w:rFonts w:hint="default"/>
                      <w:b/>
                      <w:bCs/>
                      <w:color w:val="auto"/>
                      <w:kern w:val="0"/>
                      <w:szCs w:val="21"/>
                      <w:lang w:bidi="ar"/>
                    </w:rPr>
                    <w:t>均值</w:t>
                  </w:r>
                </w:p>
              </w:tc>
              <w:tc>
                <w:tcPr>
                  <w:tcW w:w="439" w:type="pct"/>
                  <w:vMerge w:val="continue"/>
                  <w:vAlign w:val="center"/>
                </w:tcPr>
                <w:p w14:paraId="6D016BA2">
                  <w:pPr>
                    <w:keepNext w:val="0"/>
                    <w:keepLines w:val="0"/>
                    <w:suppressLineNumbers w:val="0"/>
                    <w:spacing w:before="0" w:beforeAutospacing="0" w:after="0" w:afterAutospacing="0"/>
                    <w:ind w:left="0" w:right="0"/>
                    <w:jc w:val="center"/>
                    <w:rPr>
                      <w:rFonts w:hint="default"/>
                      <w:color w:val="auto"/>
                      <w:szCs w:val="21"/>
                    </w:rPr>
                  </w:pPr>
                </w:p>
              </w:tc>
              <w:tc>
                <w:tcPr>
                  <w:tcW w:w="427" w:type="pct"/>
                  <w:vMerge w:val="continue"/>
                  <w:vAlign w:val="center"/>
                </w:tcPr>
                <w:p w14:paraId="48157D03">
                  <w:pPr>
                    <w:keepNext w:val="0"/>
                    <w:keepLines w:val="0"/>
                    <w:widowControl/>
                    <w:suppressLineNumbers w:val="0"/>
                    <w:spacing w:before="0" w:beforeAutospacing="0" w:after="0" w:afterAutospacing="0"/>
                    <w:ind w:left="0" w:right="0"/>
                    <w:jc w:val="center"/>
                    <w:textAlignment w:val="center"/>
                    <w:rPr>
                      <w:rFonts w:hint="default"/>
                      <w:color w:val="auto"/>
                      <w:szCs w:val="21"/>
                    </w:rPr>
                  </w:pPr>
                </w:p>
              </w:tc>
            </w:tr>
            <w:tr w14:paraId="7525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3BC5B91D">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pH（无量纲）</w:t>
                  </w:r>
                </w:p>
              </w:tc>
              <w:tc>
                <w:tcPr>
                  <w:tcW w:w="447" w:type="pct"/>
                  <w:vAlign w:val="center"/>
                </w:tcPr>
                <w:p w14:paraId="7EB0FF66">
                  <w:pPr>
                    <w:keepNext w:val="0"/>
                    <w:keepLines w:val="0"/>
                    <w:widowControl/>
                    <w:suppressLineNumbers w:val="0"/>
                    <w:spacing w:before="0" w:beforeAutospacing="0" w:after="0" w:afterAutospacing="0"/>
                    <w:ind w:left="0" w:right="0"/>
                    <w:jc w:val="center"/>
                    <w:textAlignment w:val="center"/>
                    <w:rPr>
                      <w:rFonts w:hint="eastAsia" w:eastAsia="宋体"/>
                      <w:color w:val="auto"/>
                      <w:kern w:val="0"/>
                      <w:szCs w:val="21"/>
                      <w:lang w:eastAsia="zh-CN" w:bidi="ar"/>
                    </w:rPr>
                  </w:pPr>
                  <w:r>
                    <w:rPr>
                      <w:rFonts w:hint="default"/>
                      <w:color w:val="auto"/>
                      <w:kern w:val="0"/>
                      <w:szCs w:val="21"/>
                      <w:lang w:bidi="ar"/>
                    </w:rPr>
                    <w:t>7.</w:t>
                  </w:r>
                  <w:r>
                    <w:rPr>
                      <w:rFonts w:hint="eastAsia"/>
                      <w:color w:val="auto"/>
                      <w:kern w:val="0"/>
                      <w:szCs w:val="21"/>
                      <w:lang w:val="en-US" w:eastAsia="zh-CN" w:bidi="ar"/>
                    </w:rPr>
                    <w:t>3</w:t>
                  </w:r>
                </w:p>
              </w:tc>
              <w:tc>
                <w:tcPr>
                  <w:tcW w:w="405" w:type="pct"/>
                  <w:vAlign w:val="center"/>
                </w:tcPr>
                <w:p w14:paraId="6EF20D3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7.4</w:t>
                  </w:r>
                </w:p>
              </w:tc>
              <w:tc>
                <w:tcPr>
                  <w:tcW w:w="399" w:type="pct"/>
                  <w:vAlign w:val="center"/>
                </w:tcPr>
                <w:p w14:paraId="0146BF6E">
                  <w:pPr>
                    <w:keepNext w:val="0"/>
                    <w:keepLines w:val="0"/>
                    <w:widowControl/>
                    <w:suppressLineNumbers w:val="0"/>
                    <w:spacing w:before="0" w:beforeAutospacing="0" w:after="0" w:afterAutospacing="0"/>
                    <w:ind w:left="0" w:right="0"/>
                    <w:jc w:val="center"/>
                    <w:textAlignment w:val="center"/>
                    <w:rPr>
                      <w:rFonts w:hint="eastAsia" w:eastAsia="宋体"/>
                      <w:color w:val="auto"/>
                      <w:kern w:val="0"/>
                      <w:szCs w:val="21"/>
                      <w:lang w:eastAsia="zh-CN" w:bidi="ar"/>
                    </w:rPr>
                  </w:pPr>
                  <w:r>
                    <w:rPr>
                      <w:rFonts w:hint="default"/>
                      <w:color w:val="auto"/>
                      <w:kern w:val="0"/>
                      <w:szCs w:val="21"/>
                      <w:lang w:bidi="ar"/>
                    </w:rPr>
                    <w:t>7.</w:t>
                  </w:r>
                  <w:r>
                    <w:rPr>
                      <w:rFonts w:hint="eastAsia"/>
                      <w:color w:val="auto"/>
                      <w:kern w:val="0"/>
                      <w:szCs w:val="21"/>
                      <w:lang w:val="en-US" w:eastAsia="zh-CN" w:bidi="ar"/>
                    </w:rPr>
                    <w:t>3</w:t>
                  </w:r>
                </w:p>
              </w:tc>
              <w:tc>
                <w:tcPr>
                  <w:tcW w:w="452" w:type="pct"/>
                  <w:vAlign w:val="center"/>
                </w:tcPr>
                <w:p w14:paraId="2A34DAA1">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7.3</w:t>
                  </w:r>
                </w:p>
              </w:tc>
              <w:tc>
                <w:tcPr>
                  <w:tcW w:w="388" w:type="pct"/>
                  <w:vAlign w:val="center"/>
                </w:tcPr>
                <w:p w14:paraId="0B004083">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7.2</w:t>
                  </w:r>
                </w:p>
              </w:tc>
              <w:tc>
                <w:tcPr>
                  <w:tcW w:w="410" w:type="pct"/>
                  <w:vAlign w:val="center"/>
                </w:tcPr>
                <w:p w14:paraId="6BD9BF9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US" w:eastAsia="zh-CN" w:bidi="ar"/>
                    </w:rPr>
                  </w:pPr>
                  <w:r>
                    <w:rPr>
                      <w:rFonts w:hint="eastAsia"/>
                      <w:color w:val="auto"/>
                      <w:kern w:val="0"/>
                      <w:szCs w:val="21"/>
                      <w:lang w:val="en-US" w:eastAsia="zh-CN" w:bidi="ar"/>
                    </w:rPr>
                    <w:t>7.4</w:t>
                  </w:r>
                </w:p>
              </w:tc>
              <w:tc>
                <w:tcPr>
                  <w:tcW w:w="396" w:type="pct"/>
                  <w:vAlign w:val="center"/>
                </w:tcPr>
                <w:p w14:paraId="3EFFB7BC">
                  <w:pPr>
                    <w:keepNext w:val="0"/>
                    <w:keepLines w:val="0"/>
                    <w:widowControl/>
                    <w:suppressLineNumbers w:val="0"/>
                    <w:spacing w:before="0" w:beforeAutospacing="0" w:after="0" w:afterAutospacing="0"/>
                    <w:ind w:left="0" w:right="0"/>
                    <w:jc w:val="center"/>
                    <w:textAlignment w:val="center"/>
                    <w:rPr>
                      <w:rFonts w:hint="eastAsia" w:eastAsia="宋体"/>
                      <w:color w:val="auto"/>
                      <w:kern w:val="0"/>
                      <w:szCs w:val="21"/>
                      <w:lang w:eastAsia="zh-CN" w:bidi="ar"/>
                    </w:rPr>
                  </w:pPr>
                  <w:r>
                    <w:rPr>
                      <w:rFonts w:hint="default"/>
                      <w:color w:val="auto"/>
                      <w:kern w:val="0"/>
                      <w:szCs w:val="21"/>
                      <w:lang w:bidi="ar"/>
                    </w:rPr>
                    <w:t>7.</w:t>
                  </w:r>
                  <w:r>
                    <w:rPr>
                      <w:rFonts w:hint="eastAsia"/>
                      <w:color w:val="auto"/>
                      <w:kern w:val="0"/>
                      <w:szCs w:val="21"/>
                      <w:lang w:val="en-US" w:eastAsia="zh-CN" w:bidi="ar"/>
                    </w:rPr>
                    <w:t>3</w:t>
                  </w:r>
                </w:p>
              </w:tc>
              <w:tc>
                <w:tcPr>
                  <w:tcW w:w="474" w:type="pct"/>
                  <w:vAlign w:val="center"/>
                </w:tcPr>
                <w:p w14:paraId="48B11CF9">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7.3</w:t>
                  </w:r>
                </w:p>
              </w:tc>
              <w:tc>
                <w:tcPr>
                  <w:tcW w:w="439" w:type="pct"/>
                  <w:vAlign w:val="center"/>
                </w:tcPr>
                <w:p w14:paraId="05E9B8A4">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6.0～9.0</w:t>
                  </w:r>
                </w:p>
              </w:tc>
              <w:tc>
                <w:tcPr>
                  <w:tcW w:w="427" w:type="pct"/>
                  <w:vAlign w:val="center"/>
                </w:tcPr>
                <w:p w14:paraId="4E9B53A0">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2BCB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1897C214">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val="en-GB" w:bidi="ar"/>
                    </w:rPr>
                    <w:t>色度（度）</w:t>
                  </w:r>
                </w:p>
              </w:tc>
              <w:tc>
                <w:tcPr>
                  <w:tcW w:w="447" w:type="pct"/>
                  <w:vAlign w:val="center"/>
                </w:tcPr>
                <w:p w14:paraId="49EDE8AF">
                  <w:pPr>
                    <w:keepNext w:val="0"/>
                    <w:keepLines w:val="0"/>
                    <w:widowControl/>
                    <w:suppressLineNumbers w:val="0"/>
                    <w:spacing w:before="0" w:beforeAutospacing="0" w:after="0" w:afterAutospacing="0"/>
                    <w:ind w:left="0" w:right="0"/>
                    <w:jc w:val="center"/>
                    <w:textAlignment w:val="center"/>
                    <w:rPr>
                      <w:rFonts w:hint="eastAsia" w:eastAsia="宋体"/>
                      <w:b w:val="0"/>
                      <w:bCs w:val="0"/>
                      <w:color w:val="auto"/>
                      <w:kern w:val="0"/>
                      <w:szCs w:val="21"/>
                      <w:lang w:eastAsia="zh-CN" w:bidi="ar"/>
                    </w:rPr>
                  </w:pPr>
                  <w:r>
                    <w:rPr>
                      <w:rFonts w:hint="eastAsia"/>
                      <w:b w:val="0"/>
                      <w:bCs w:val="0"/>
                      <w:color w:val="auto"/>
                      <w:kern w:val="0"/>
                      <w:szCs w:val="21"/>
                      <w:lang w:val="en-US" w:eastAsia="zh-CN" w:bidi="ar"/>
                    </w:rPr>
                    <w:t>2</w:t>
                  </w:r>
                </w:p>
              </w:tc>
              <w:tc>
                <w:tcPr>
                  <w:tcW w:w="405" w:type="pct"/>
                  <w:vAlign w:val="center"/>
                </w:tcPr>
                <w:p w14:paraId="6368CAEA">
                  <w:pPr>
                    <w:keepNext w:val="0"/>
                    <w:keepLines w:val="0"/>
                    <w:widowControl/>
                    <w:suppressLineNumbers w:val="0"/>
                    <w:spacing w:before="0" w:beforeAutospacing="0" w:after="0" w:afterAutospacing="0"/>
                    <w:ind w:left="0" w:right="0"/>
                    <w:jc w:val="center"/>
                    <w:textAlignment w:val="center"/>
                    <w:rPr>
                      <w:rFonts w:hint="default"/>
                      <w:b w:val="0"/>
                      <w:bCs w:val="0"/>
                      <w:color w:val="auto"/>
                      <w:kern w:val="0"/>
                      <w:szCs w:val="21"/>
                      <w:lang w:bidi="ar"/>
                    </w:rPr>
                  </w:pPr>
                  <w:r>
                    <w:rPr>
                      <w:rFonts w:hint="eastAsia"/>
                      <w:b w:val="0"/>
                      <w:bCs w:val="0"/>
                      <w:color w:val="auto"/>
                      <w:kern w:val="0"/>
                      <w:szCs w:val="21"/>
                      <w:lang w:val="en-US" w:eastAsia="zh-CN" w:bidi="ar"/>
                    </w:rPr>
                    <w:t>2</w:t>
                  </w:r>
                </w:p>
              </w:tc>
              <w:tc>
                <w:tcPr>
                  <w:tcW w:w="399" w:type="pct"/>
                  <w:vAlign w:val="center"/>
                </w:tcPr>
                <w:p w14:paraId="4BCBA3E1">
                  <w:pPr>
                    <w:keepNext w:val="0"/>
                    <w:keepLines w:val="0"/>
                    <w:widowControl/>
                    <w:suppressLineNumbers w:val="0"/>
                    <w:spacing w:before="0" w:beforeAutospacing="0" w:after="0" w:afterAutospacing="0"/>
                    <w:ind w:left="0" w:right="0"/>
                    <w:jc w:val="center"/>
                    <w:textAlignment w:val="center"/>
                    <w:rPr>
                      <w:rFonts w:hint="default"/>
                      <w:b w:val="0"/>
                      <w:bCs w:val="0"/>
                      <w:color w:val="auto"/>
                      <w:kern w:val="0"/>
                      <w:szCs w:val="21"/>
                      <w:lang w:bidi="ar"/>
                    </w:rPr>
                  </w:pPr>
                  <w:r>
                    <w:rPr>
                      <w:rFonts w:hint="eastAsia"/>
                      <w:b w:val="0"/>
                      <w:bCs w:val="0"/>
                      <w:color w:val="auto"/>
                      <w:kern w:val="0"/>
                      <w:szCs w:val="21"/>
                      <w:lang w:val="en-US" w:eastAsia="zh-CN" w:bidi="ar"/>
                    </w:rPr>
                    <w:t>2</w:t>
                  </w:r>
                </w:p>
              </w:tc>
              <w:tc>
                <w:tcPr>
                  <w:tcW w:w="452" w:type="pct"/>
                  <w:vAlign w:val="center"/>
                </w:tcPr>
                <w:p w14:paraId="60271F8F">
                  <w:pPr>
                    <w:keepNext w:val="0"/>
                    <w:keepLines w:val="0"/>
                    <w:widowControl/>
                    <w:suppressLineNumbers w:val="0"/>
                    <w:spacing w:before="0" w:beforeAutospacing="0" w:after="0" w:afterAutospacing="0"/>
                    <w:ind w:left="0" w:right="0"/>
                    <w:jc w:val="center"/>
                    <w:textAlignment w:val="center"/>
                    <w:rPr>
                      <w:rFonts w:hint="default"/>
                      <w:b w:val="0"/>
                      <w:bCs w:val="0"/>
                      <w:color w:val="auto"/>
                      <w:kern w:val="0"/>
                      <w:szCs w:val="21"/>
                      <w:lang w:bidi="ar"/>
                    </w:rPr>
                  </w:pPr>
                  <w:r>
                    <w:rPr>
                      <w:rFonts w:hint="eastAsia"/>
                      <w:b w:val="0"/>
                      <w:bCs w:val="0"/>
                      <w:color w:val="auto"/>
                      <w:kern w:val="0"/>
                      <w:szCs w:val="21"/>
                      <w:lang w:val="en-US" w:eastAsia="zh-CN" w:bidi="ar"/>
                    </w:rPr>
                    <w:t>2</w:t>
                  </w:r>
                </w:p>
              </w:tc>
              <w:tc>
                <w:tcPr>
                  <w:tcW w:w="388" w:type="pct"/>
                  <w:vAlign w:val="center"/>
                </w:tcPr>
                <w:p w14:paraId="12E67BAF">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b w:val="0"/>
                      <w:bCs w:val="0"/>
                      <w:color w:val="auto"/>
                      <w:kern w:val="0"/>
                      <w:szCs w:val="21"/>
                      <w:lang w:val="en-US" w:eastAsia="zh-CN" w:bidi="ar"/>
                    </w:rPr>
                    <w:t>2</w:t>
                  </w:r>
                </w:p>
              </w:tc>
              <w:tc>
                <w:tcPr>
                  <w:tcW w:w="410" w:type="pct"/>
                  <w:vAlign w:val="center"/>
                </w:tcPr>
                <w:p w14:paraId="0D18DF78">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b w:val="0"/>
                      <w:bCs w:val="0"/>
                      <w:color w:val="auto"/>
                      <w:kern w:val="0"/>
                      <w:szCs w:val="21"/>
                      <w:lang w:val="en-US" w:eastAsia="zh-CN" w:bidi="ar"/>
                    </w:rPr>
                    <w:t>2</w:t>
                  </w:r>
                </w:p>
              </w:tc>
              <w:tc>
                <w:tcPr>
                  <w:tcW w:w="396" w:type="pct"/>
                  <w:vAlign w:val="center"/>
                </w:tcPr>
                <w:p w14:paraId="6F5C45BB">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b w:val="0"/>
                      <w:bCs w:val="0"/>
                      <w:color w:val="auto"/>
                      <w:kern w:val="0"/>
                      <w:szCs w:val="21"/>
                      <w:lang w:val="en-US" w:eastAsia="zh-CN" w:bidi="ar"/>
                    </w:rPr>
                    <w:t>2</w:t>
                  </w:r>
                </w:p>
              </w:tc>
              <w:tc>
                <w:tcPr>
                  <w:tcW w:w="474" w:type="pct"/>
                  <w:vAlign w:val="center"/>
                </w:tcPr>
                <w:p w14:paraId="5542E8E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b w:val="0"/>
                      <w:bCs w:val="0"/>
                      <w:color w:val="auto"/>
                      <w:kern w:val="0"/>
                      <w:szCs w:val="21"/>
                      <w:lang w:val="en-US" w:eastAsia="zh-CN" w:bidi="ar"/>
                    </w:rPr>
                    <w:t>2</w:t>
                  </w:r>
                </w:p>
              </w:tc>
              <w:tc>
                <w:tcPr>
                  <w:tcW w:w="439" w:type="pct"/>
                  <w:vAlign w:val="center"/>
                </w:tcPr>
                <w:p w14:paraId="62E6DB09">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30</w:t>
                  </w:r>
                </w:p>
              </w:tc>
              <w:tc>
                <w:tcPr>
                  <w:tcW w:w="427" w:type="pct"/>
                  <w:vAlign w:val="center"/>
                </w:tcPr>
                <w:p w14:paraId="465C072F">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6417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32EAABC8">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GB" w:bidi="ar"/>
                    </w:rPr>
                  </w:pPr>
                  <w:r>
                    <w:rPr>
                      <w:rFonts w:hint="default"/>
                      <w:color w:val="auto"/>
                      <w:kern w:val="0"/>
                      <w:szCs w:val="21"/>
                      <w:lang w:bidi="ar"/>
                    </w:rPr>
                    <w:t>嗅</w:t>
                  </w:r>
                </w:p>
              </w:tc>
              <w:tc>
                <w:tcPr>
                  <w:tcW w:w="447" w:type="pct"/>
                  <w:vAlign w:val="center"/>
                </w:tcPr>
                <w:p w14:paraId="102D2116">
                  <w:pPr>
                    <w:keepNext w:val="0"/>
                    <w:keepLines w:val="0"/>
                    <w:widowControl/>
                    <w:suppressLineNumbers w:val="0"/>
                    <w:spacing w:before="0" w:beforeAutospacing="0" w:after="0" w:afterAutospacing="0"/>
                    <w:ind w:left="0" w:right="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无</w:t>
                  </w:r>
                </w:p>
              </w:tc>
              <w:tc>
                <w:tcPr>
                  <w:tcW w:w="405" w:type="pct"/>
                  <w:vAlign w:val="center"/>
                </w:tcPr>
                <w:p w14:paraId="70F9EAC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399" w:type="pct"/>
                  <w:vAlign w:val="center"/>
                </w:tcPr>
                <w:p w14:paraId="0430F4C5">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452" w:type="pct"/>
                  <w:vAlign w:val="center"/>
                </w:tcPr>
                <w:p w14:paraId="10ABE3CD">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388" w:type="pct"/>
                  <w:vAlign w:val="center"/>
                </w:tcPr>
                <w:p w14:paraId="101E33E4">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410" w:type="pct"/>
                  <w:vAlign w:val="center"/>
                </w:tcPr>
                <w:p w14:paraId="341CF488">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396" w:type="pct"/>
                  <w:vAlign w:val="center"/>
                </w:tcPr>
                <w:p w14:paraId="5069223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474" w:type="pct"/>
                  <w:vAlign w:val="center"/>
                </w:tcPr>
                <w:p w14:paraId="25BED8A9">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eastAsia"/>
                      <w:color w:val="auto"/>
                      <w:kern w:val="0"/>
                      <w:szCs w:val="21"/>
                      <w:lang w:val="en-US" w:eastAsia="zh-CN" w:bidi="ar"/>
                    </w:rPr>
                    <w:t>无</w:t>
                  </w:r>
                </w:p>
              </w:tc>
              <w:tc>
                <w:tcPr>
                  <w:tcW w:w="439" w:type="pct"/>
                  <w:vAlign w:val="center"/>
                </w:tcPr>
                <w:p w14:paraId="555DEB32">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无不快感</w:t>
                  </w:r>
                </w:p>
              </w:tc>
              <w:tc>
                <w:tcPr>
                  <w:tcW w:w="427" w:type="pct"/>
                  <w:vAlign w:val="center"/>
                </w:tcPr>
                <w:p w14:paraId="30B8B735">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7969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0FA15C8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GB" w:bidi="ar"/>
                    </w:rPr>
                  </w:pPr>
                  <w:r>
                    <w:rPr>
                      <w:rFonts w:hint="default"/>
                      <w:color w:val="auto"/>
                      <w:kern w:val="0"/>
                      <w:szCs w:val="21"/>
                      <w:lang w:bidi="ar"/>
                    </w:rPr>
                    <w:t>浊度</w:t>
                  </w:r>
                  <w:r>
                    <w:rPr>
                      <w:rFonts w:hint="default"/>
                      <w:color w:val="auto"/>
                      <w:kern w:val="0"/>
                      <w:szCs w:val="21"/>
                      <w:lang w:val="en-GB" w:bidi="ar"/>
                    </w:rPr>
                    <w:t>（</w:t>
                  </w:r>
                  <w:r>
                    <w:rPr>
                      <w:rFonts w:hint="default"/>
                      <w:color w:val="auto"/>
                      <w:kern w:val="0"/>
                      <w:szCs w:val="21"/>
                      <w:lang w:bidi="ar"/>
                    </w:rPr>
                    <w:t>NTU</w:t>
                  </w:r>
                  <w:r>
                    <w:rPr>
                      <w:rFonts w:hint="default"/>
                      <w:color w:val="auto"/>
                      <w:kern w:val="0"/>
                      <w:szCs w:val="21"/>
                      <w:lang w:val="en-GB" w:bidi="ar"/>
                    </w:rPr>
                    <w:t>）</w:t>
                  </w:r>
                </w:p>
              </w:tc>
              <w:tc>
                <w:tcPr>
                  <w:tcW w:w="447" w:type="pct"/>
                  <w:vAlign w:val="center"/>
                </w:tcPr>
                <w:p w14:paraId="2906EADE">
                  <w:pPr>
                    <w:keepNext w:val="0"/>
                    <w:keepLines w:val="0"/>
                    <w:widowControl/>
                    <w:suppressLineNumbers w:val="0"/>
                    <w:spacing w:before="0" w:beforeAutospacing="0" w:after="0" w:afterAutospacing="0"/>
                    <w:ind w:left="0" w:right="0"/>
                    <w:jc w:val="center"/>
                    <w:textAlignment w:val="center"/>
                    <w:rPr>
                      <w:rFonts w:hint="default" w:eastAsia="宋体"/>
                      <w:b w:val="0"/>
                      <w:bCs w:val="0"/>
                      <w:color w:val="auto"/>
                      <w:kern w:val="0"/>
                      <w:szCs w:val="21"/>
                      <w:lang w:val="en-US" w:eastAsia="zh-CN"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405" w:type="pct"/>
                  <w:vAlign w:val="center"/>
                </w:tcPr>
                <w:p w14:paraId="3D5686DA">
                  <w:pPr>
                    <w:keepNext w:val="0"/>
                    <w:keepLines w:val="0"/>
                    <w:widowControl/>
                    <w:suppressLineNumbers w:val="0"/>
                    <w:spacing w:before="0" w:beforeAutospacing="0" w:after="0" w:afterAutospacing="0"/>
                    <w:ind w:left="0" w:right="0"/>
                    <w:jc w:val="center"/>
                    <w:textAlignment w:val="center"/>
                    <w:rPr>
                      <w:rFonts w:hint="default"/>
                      <w:b w:val="0"/>
                      <w:bCs w:val="0"/>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399" w:type="pct"/>
                  <w:vAlign w:val="center"/>
                </w:tcPr>
                <w:p w14:paraId="03357AED">
                  <w:pPr>
                    <w:keepNext w:val="0"/>
                    <w:keepLines w:val="0"/>
                    <w:widowControl/>
                    <w:suppressLineNumbers w:val="0"/>
                    <w:spacing w:before="0" w:beforeAutospacing="0" w:after="0" w:afterAutospacing="0"/>
                    <w:ind w:left="0" w:right="0"/>
                    <w:jc w:val="center"/>
                    <w:textAlignment w:val="center"/>
                    <w:rPr>
                      <w:rFonts w:hint="default"/>
                      <w:b w:val="0"/>
                      <w:bCs w:val="0"/>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452" w:type="pct"/>
                  <w:vAlign w:val="center"/>
                </w:tcPr>
                <w:p w14:paraId="689A6788">
                  <w:pPr>
                    <w:keepNext w:val="0"/>
                    <w:keepLines w:val="0"/>
                    <w:widowControl/>
                    <w:suppressLineNumbers w:val="0"/>
                    <w:spacing w:before="0" w:beforeAutospacing="0" w:after="0" w:afterAutospacing="0"/>
                    <w:ind w:left="0" w:right="0"/>
                    <w:jc w:val="center"/>
                    <w:textAlignment w:val="center"/>
                    <w:rPr>
                      <w:rFonts w:hint="default"/>
                      <w:b w:val="0"/>
                      <w:bCs w:val="0"/>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388" w:type="pct"/>
                  <w:vAlign w:val="center"/>
                </w:tcPr>
                <w:p w14:paraId="0D800AF6">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410" w:type="pct"/>
                  <w:vAlign w:val="center"/>
                </w:tcPr>
                <w:p w14:paraId="5EBFF83D">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396" w:type="pct"/>
                  <w:vAlign w:val="center"/>
                </w:tcPr>
                <w:p w14:paraId="602E0C94">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474" w:type="pct"/>
                  <w:vAlign w:val="center"/>
                </w:tcPr>
                <w:p w14:paraId="42E78A37">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eastAsia"/>
                      <w:b w:val="0"/>
                      <w:bCs w:val="0"/>
                      <w:color w:val="auto"/>
                      <w:kern w:val="0"/>
                      <w:szCs w:val="21"/>
                      <w:lang w:val="en-US" w:eastAsia="zh-CN" w:bidi="ar"/>
                    </w:rPr>
                    <w:t>3</w:t>
                  </w:r>
                </w:p>
              </w:tc>
              <w:tc>
                <w:tcPr>
                  <w:tcW w:w="439" w:type="pct"/>
                  <w:vAlign w:val="center"/>
                </w:tcPr>
                <w:p w14:paraId="1CD7059A">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10</w:t>
                  </w:r>
                </w:p>
              </w:tc>
              <w:tc>
                <w:tcPr>
                  <w:tcW w:w="427" w:type="pct"/>
                  <w:vAlign w:val="center"/>
                </w:tcPr>
                <w:p w14:paraId="36A6F649">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5640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436568B1">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GB" w:bidi="ar"/>
                    </w:rPr>
                  </w:pPr>
                  <w:r>
                    <w:rPr>
                      <w:rFonts w:hint="default"/>
                      <w:color w:val="auto"/>
                      <w:kern w:val="0"/>
                      <w:szCs w:val="21"/>
                      <w:lang w:val="en-GB" w:bidi="ar"/>
                    </w:rPr>
                    <w:t>五日生化需氧量</w:t>
                  </w:r>
                </w:p>
              </w:tc>
              <w:tc>
                <w:tcPr>
                  <w:tcW w:w="447" w:type="pct"/>
                  <w:vAlign w:val="center"/>
                </w:tcPr>
                <w:p w14:paraId="6F706D64">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6.3</w:t>
                  </w:r>
                </w:p>
              </w:tc>
              <w:tc>
                <w:tcPr>
                  <w:tcW w:w="405" w:type="pct"/>
                  <w:vAlign w:val="center"/>
                </w:tcPr>
                <w:p w14:paraId="672F1FAA">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5.5</w:t>
                  </w:r>
                </w:p>
              </w:tc>
              <w:tc>
                <w:tcPr>
                  <w:tcW w:w="399" w:type="pct"/>
                  <w:vAlign w:val="center"/>
                </w:tcPr>
                <w:p w14:paraId="509197BC">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5.8</w:t>
                  </w:r>
                </w:p>
              </w:tc>
              <w:tc>
                <w:tcPr>
                  <w:tcW w:w="452" w:type="pct"/>
                  <w:vAlign w:val="center"/>
                </w:tcPr>
                <w:p w14:paraId="34AC1844">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5.9</w:t>
                  </w:r>
                </w:p>
              </w:tc>
              <w:tc>
                <w:tcPr>
                  <w:tcW w:w="388" w:type="pct"/>
                  <w:vAlign w:val="center"/>
                </w:tcPr>
                <w:p w14:paraId="16AC60C9">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5.2</w:t>
                  </w:r>
                </w:p>
              </w:tc>
              <w:tc>
                <w:tcPr>
                  <w:tcW w:w="410" w:type="pct"/>
                  <w:vAlign w:val="center"/>
                </w:tcPr>
                <w:p w14:paraId="35590C8F">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5.0</w:t>
                  </w:r>
                </w:p>
              </w:tc>
              <w:tc>
                <w:tcPr>
                  <w:tcW w:w="396" w:type="pct"/>
                  <w:vAlign w:val="center"/>
                </w:tcPr>
                <w:p w14:paraId="68E5283C">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5.7</w:t>
                  </w:r>
                </w:p>
              </w:tc>
              <w:tc>
                <w:tcPr>
                  <w:tcW w:w="474" w:type="pct"/>
                  <w:vAlign w:val="center"/>
                </w:tcPr>
                <w:p w14:paraId="36260CD4">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5.3</w:t>
                  </w:r>
                </w:p>
              </w:tc>
              <w:tc>
                <w:tcPr>
                  <w:tcW w:w="439" w:type="pct"/>
                  <w:vAlign w:val="center"/>
                </w:tcPr>
                <w:p w14:paraId="2F1BFBA8">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10</w:t>
                  </w:r>
                </w:p>
              </w:tc>
              <w:tc>
                <w:tcPr>
                  <w:tcW w:w="427" w:type="pct"/>
                  <w:vAlign w:val="center"/>
                </w:tcPr>
                <w:p w14:paraId="000CAD0B">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4A52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248C8B43">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GB" w:bidi="ar"/>
                    </w:rPr>
                  </w:pPr>
                  <w:r>
                    <w:rPr>
                      <w:rFonts w:hint="default"/>
                      <w:color w:val="auto"/>
                      <w:kern w:val="0"/>
                      <w:szCs w:val="21"/>
                      <w:lang w:bidi="ar"/>
                    </w:rPr>
                    <w:t>溶解氧</w:t>
                  </w:r>
                </w:p>
              </w:tc>
              <w:tc>
                <w:tcPr>
                  <w:tcW w:w="447" w:type="pct"/>
                  <w:vAlign w:val="center"/>
                </w:tcPr>
                <w:p w14:paraId="7D8647A9">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4.23</w:t>
                  </w:r>
                </w:p>
              </w:tc>
              <w:tc>
                <w:tcPr>
                  <w:tcW w:w="405" w:type="pct"/>
                  <w:vAlign w:val="center"/>
                </w:tcPr>
                <w:p w14:paraId="3D55AD78">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4.18</w:t>
                  </w:r>
                </w:p>
              </w:tc>
              <w:tc>
                <w:tcPr>
                  <w:tcW w:w="399" w:type="pct"/>
                  <w:vAlign w:val="center"/>
                </w:tcPr>
                <w:p w14:paraId="7FC10B03">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4.37</w:t>
                  </w:r>
                </w:p>
              </w:tc>
              <w:tc>
                <w:tcPr>
                  <w:tcW w:w="452" w:type="pct"/>
                  <w:vAlign w:val="center"/>
                </w:tcPr>
                <w:p w14:paraId="0FCB51C5">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4.26</w:t>
                  </w:r>
                </w:p>
              </w:tc>
              <w:tc>
                <w:tcPr>
                  <w:tcW w:w="388" w:type="pct"/>
                  <w:vAlign w:val="center"/>
                </w:tcPr>
                <w:p w14:paraId="353B9A8E">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4.23</w:t>
                  </w:r>
                </w:p>
              </w:tc>
              <w:tc>
                <w:tcPr>
                  <w:tcW w:w="410" w:type="pct"/>
                  <w:vAlign w:val="center"/>
                </w:tcPr>
                <w:p w14:paraId="155CF5DD">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4.18</w:t>
                  </w:r>
                </w:p>
              </w:tc>
              <w:tc>
                <w:tcPr>
                  <w:tcW w:w="396" w:type="pct"/>
                  <w:vAlign w:val="center"/>
                </w:tcPr>
                <w:p w14:paraId="310EBED1">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4.37</w:t>
                  </w:r>
                </w:p>
              </w:tc>
              <w:tc>
                <w:tcPr>
                  <w:tcW w:w="474" w:type="pct"/>
                  <w:vAlign w:val="center"/>
                </w:tcPr>
                <w:p w14:paraId="18238F22">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4.26</w:t>
                  </w:r>
                </w:p>
              </w:tc>
              <w:tc>
                <w:tcPr>
                  <w:tcW w:w="439" w:type="pct"/>
                  <w:vAlign w:val="center"/>
                </w:tcPr>
                <w:p w14:paraId="6704402C">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≥2.0</w:t>
                  </w:r>
                </w:p>
              </w:tc>
              <w:tc>
                <w:tcPr>
                  <w:tcW w:w="427" w:type="pct"/>
                  <w:vAlign w:val="center"/>
                </w:tcPr>
                <w:p w14:paraId="155D40C1">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4C8B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61211D75">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val="en-GB" w:bidi="ar"/>
                    </w:rPr>
                  </w:pPr>
                  <w:r>
                    <w:rPr>
                      <w:rFonts w:hint="default"/>
                      <w:color w:val="auto"/>
                      <w:kern w:val="0"/>
                      <w:szCs w:val="21"/>
                      <w:lang w:bidi="ar"/>
                    </w:rPr>
                    <w:t>溶解性总固体</w:t>
                  </w:r>
                </w:p>
              </w:tc>
              <w:tc>
                <w:tcPr>
                  <w:tcW w:w="447" w:type="pct"/>
                  <w:vAlign w:val="center"/>
                </w:tcPr>
                <w:p w14:paraId="503042BD">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229</w:t>
                  </w:r>
                </w:p>
              </w:tc>
              <w:tc>
                <w:tcPr>
                  <w:tcW w:w="405" w:type="pct"/>
                  <w:vAlign w:val="center"/>
                </w:tcPr>
                <w:p w14:paraId="23B6D70B">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266</w:t>
                  </w:r>
                </w:p>
              </w:tc>
              <w:tc>
                <w:tcPr>
                  <w:tcW w:w="399" w:type="pct"/>
                  <w:vAlign w:val="center"/>
                </w:tcPr>
                <w:p w14:paraId="0BF5FDA0">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276</w:t>
                  </w:r>
                </w:p>
              </w:tc>
              <w:tc>
                <w:tcPr>
                  <w:tcW w:w="452" w:type="pct"/>
                  <w:vAlign w:val="center"/>
                </w:tcPr>
                <w:p w14:paraId="7CF5CBD6">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257</w:t>
                  </w:r>
                </w:p>
              </w:tc>
              <w:tc>
                <w:tcPr>
                  <w:tcW w:w="388" w:type="pct"/>
                  <w:vAlign w:val="center"/>
                </w:tcPr>
                <w:p w14:paraId="547D39CE">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u w:val="none"/>
                      <w:lang w:val="en-US" w:eastAsia="zh-CN" w:bidi="ar"/>
                    </w:rPr>
                  </w:pPr>
                  <w:r>
                    <w:rPr>
                      <w:rFonts w:hint="eastAsia"/>
                      <w:color w:val="auto"/>
                      <w:kern w:val="0"/>
                      <w:szCs w:val="21"/>
                      <w:u w:val="none"/>
                      <w:lang w:val="en-US" w:eastAsia="zh-CN" w:bidi="ar"/>
                    </w:rPr>
                    <w:t>234</w:t>
                  </w:r>
                </w:p>
              </w:tc>
              <w:tc>
                <w:tcPr>
                  <w:tcW w:w="410" w:type="pct"/>
                  <w:vAlign w:val="center"/>
                </w:tcPr>
                <w:p w14:paraId="0515CFB7">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u w:val="none"/>
                      <w:lang w:val="en-US" w:eastAsia="zh-CN" w:bidi="ar"/>
                    </w:rPr>
                  </w:pPr>
                  <w:r>
                    <w:rPr>
                      <w:rFonts w:hint="eastAsia"/>
                      <w:color w:val="auto"/>
                      <w:kern w:val="0"/>
                      <w:szCs w:val="21"/>
                      <w:u w:val="none"/>
                      <w:lang w:val="en-US" w:eastAsia="zh-CN" w:bidi="ar"/>
                    </w:rPr>
                    <w:t>230</w:t>
                  </w:r>
                </w:p>
              </w:tc>
              <w:tc>
                <w:tcPr>
                  <w:tcW w:w="396" w:type="pct"/>
                  <w:vAlign w:val="center"/>
                </w:tcPr>
                <w:p w14:paraId="67CF2094">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226</w:t>
                  </w:r>
                </w:p>
              </w:tc>
              <w:tc>
                <w:tcPr>
                  <w:tcW w:w="474" w:type="pct"/>
                  <w:vAlign w:val="center"/>
                </w:tcPr>
                <w:p w14:paraId="48799AA0">
                  <w:pPr>
                    <w:keepNext w:val="0"/>
                    <w:keepLines w:val="0"/>
                    <w:widowControl/>
                    <w:suppressLineNumbers w:val="0"/>
                    <w:spacing w:before="0" w:beforeAutospacing="0" w:after="0" w:afterAutospacing="0"/>
                    <w:ind w:left="0" w:right="0"/>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230</w:t>
                  </w:r>
                </w:p>
              </w:tc>
              <w:tc>
                <w:tcPr>
                  <w:tcW w:w="439" w:type="pct"/>
                  <w:vAlign w:val="center"/>
                </w:tcPr>
                <w:p w14:paraId="05B3AC4E">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1000</w:t>
                  </w:r>
                </w:p>
              </w:tc>
              <w:tc>
                <w:tcPr>
                  <w:tcW w:w="427" w:type="pct"/>
                  <w:vAlign w:val="center"/>
                </w:tcPr>
                <w:p w14:paraId="6945E2F1">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kern w:val="0"/>
                      <w:szCs w:val="21"/>
                      <w:lang w:bidi="ar"/>
                    </w:rPr>
                    <w:t>达标</w:t>
                  </w:r>
                </w:p>
              </w:tc>
            </w:tr>
            <w:tr w14:paraId="0F61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0" w:type="pct"/>
                  <w:vAlign w:val="center"/>
                </w:tcPr>
                <w:p w14:paraId="2398AAC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val="en-GB" w:bidi="ar"/>
                    </w:rPr>
                  </w:pPr>
                  <w:r>
                    <w:rPr>
                      <w:rFonts w:hint="default" w:ascii="Times New Roman" w:hAnsi="Times New Roman" w:cs="Times New Roman"/>
                      <w:color w:val="auto"/>
                      <w:kern w:val="0"/>
                      <w:szCs w:val="21"/>
                      <w:lang w:val="en-GB" w:bidi="ar"/>
                    </w:rPr>
                    <w:t>大肠埃希氏菌（</w:t>
                  </w:r>
                  <w:r>
                    <w:rPr>
                      <w:rFonts w:hint="default" w:ascii="Times New Roman" w:hAnsi="Times New Roman" w:cs="Times New Roman"/>
                      <w:color w:val="auto"/>
                      <w:kern w:val="0"/>
                      <w:szCs w:val="21"/>
                      <w:lang w:bidi="ar"/>
                    </w:rPr>
                    <w:t>CFU/100mL</w:t>
                  </w:r>
                  <w:r>
                    <w:rPr>
                      <w:rFonts w:hint="default" w:ascii="Times New Roman" w:hAnsi="Times New Roman" w:cs="Times New Roman"/>
                      <w:color w:val="auto"/>
                      <w:kern w:val="0"/>
                      <w:szCs w:val="21"/>
                      <w:lang w:val="en-GB" w:bidi="ar"/>
                    </w:rPr>
                    <w:t>）</w:t>
                  </w:r>
                </w:p>
              </w:tc>
              <w:tc>
                <w:tcPr>
                  <w:tcW w:w="447" w:type="pct"/>
                  <w:vAlign w:val="center"/>
                </w:tcPr>
                <w:p w14:paraId="153254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405" w:type="pct"/>
                  <w:vAlign w:val="center"/>
                </w:tcPr>
                <w:p w14:paraId="3458B99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399" w:type="pct"/>
                  <w:vAlign w:val="center"/>
                </w:tcPr>
                <w:p w14:paraId="0D8FA8D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452" w:type="pct"/>
                  <w:vAlign w:val="center"/>
                </w:tcPr>
                <w:p w14:paraId="098B62D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388" w:type="pct"/>
                  <w:vAlign w:val="center"/>
                </w:tcPr>
                <w:p w14:paraId="2F18A19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410" w:type="pct"/>
                  <w:vAlign w:val="center"/>
                </w:tcPr>
                <w:p w14:paraId="0CD7422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396" w:type="pct"/>
                  <w:vAlign w:val="center"/>
                </w:tcPr>
                <w:p w14:paraId="45172BF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474" w:type="pct"/>
                  <w:vAlign w:val="center"/>
                </w:tcPr>
                <w:p w14:paraId="63A9680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微软雅黑" w:cs="Times New Roman"/>
                      <w:color w:val="auto"/>
                      <w:kern w:val="0"/>
                      <w:szCs w:val="21"/>
                      <w:lang w:val="en-US" w:eastAsia="zh-CN" w:bidi="ar"/>
                    </w:rPr>
                    <w:t>&lt;</w:t>
                  </w:r>
                  <w:r>
                    <w:rPr>
                      <w:rFonts w:hint="default" w:ascii="Times New Roman" w:hAnsi="Times New Roman" w:cs="Times New Roman"/>
                      <w:color w:val="auto"/>
                      <w:kern w:val="0"/>
                      <w:szCs w:val="21"/>
                      <w:lang w:val="en-US" w:eastAsia="zh-CN" w:bidi="ar"/>
                    </w:rPr>
                    <w:t>0.05</w:t>
                  </w:r>
                </w:p>
              </w:tc>
              <w:tc>
                <w:tcPr>
                  <w:tcW w:w="439" w:type="pct"/>
                  <w:vAlign w:val="center"/>
                </w:tcPr>
                <w:p w14:paraId="08037C99">
                  <w:pPr>
                    <w:keepNext w:val="0"/>
                    <w:keepLines w:val="0"/>
                    <w:widowControl/>
                    <w:suppressLineNumbers w:val="0"/>
                    <w:spacing w:before="0" w:beforeAutospacing="0" w:after="0" w:afterAutospacing="0"/>
                    <w:ind w:left="0" w:right="0"/>
                    <w:jc w:val="center"/>
                    <w:textAlignment w:val="center"/>
                    <w:rPr>
                      <w:rFonts w:hint="default"/>
                      <w:color w:val="auto"/>
                      <w:kern w:val="0"/>
                      <w:szCs w:val="21"/>
                      <w:lang w:bidi="ar"/>
                    </w:rPr>
                  </w:pPr>
                  <w:r>
                    <w:rPr>
                      <w:rFonts w:hint="default"/>
                      <w:color w:val="auto"/>
                      <w:kern w:val="0"/>
                      <w:szCs w:val="21"/>
                      <w:lang w:bidi="ar"/>
                    </w:rPr>
                    <w:t>无</w:t>
                  </w:r>
                </w:p>
              </w:tc>
              <w:tc>
                <w:tcPr>
                  <w:tcW w:w="427" w:type="pct"/>
                  <w:vAlign w:val="center"/>
                </w:tcPr>
                <w:p w14:paraId="615D874E">
                  <w:pPr>
                    <w:keepNext w:val="0"/>
                    <w:keepLines w:val="0"/>
                    <w:widowControl/>
                    <w:suppressLineNumbers w:val="0"/>
                    <w:spacing w:before="0" w:beforeAutospacing="0" w:after="0" w:afterAutospacing="0"/>
                    <w:ind w:left="0" w:right="0"/>
                    <w:jc w:val="center"/>
                    <w:textAlignment w:val="center"/>
                    <w:rPr>
                      <w:rFonts w:hint="default"/>
                      <w:color w:val="auto"/>
                      <w:szCs w:val="21"/>
                    </w:rPr>
                  </w:pPr>
                  <w:r>
                    <w:rPr>
                      <w:rFonts w:hint="default"/>
                      <w:color w:val="auto"/>
                      <w:szCs w:val="21"/>
                    </w:rPr>
                    <w:t>达标</w:t>
                  </w:r>
                </w:p>
              </w:tc>
            </w:tr>
            <w:tr w14:paraId="19C5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1"/>
                  <w:vAlign w:val="center"/>
                </w:tcPr>
                <w:p w14:paraId="777358BD">
                  <w:pPr>
                    <w:keepNext w:val="0"/>
                    <w:keepLines w:val="0"/>
                    <w:widowControl/>
                    <w:suppressLineNumbers w:val="0"/>
                    <w:spacing w:before="0" w:beforeAutospacing="0" w:after="0" w:afterAutospacing="0"/>
                    <w:ind w:left="0" w:right="0"/>
                    <w:jc w:val="left"/>
                    <w:textAlignment w:val="center"/>
                    <w:rPr>
                      <w:rFonts w:hint="default"/>
                      <w:color w:val="auto"/>
                      <w:szCs w:val="21"/>
                    </w:rPr>
                  </w:pPr>
                  <w:r>
                    <w:rPr>
                      <w:rFonts w:hint="eastAsia"/>
                      <w:color w:val="auto"/>
                      <w:szCs w:val="21"/>
                    </w:rPr>
                    <w:t>备注</w:t>
                  </w:r>
                  <w:r>
                    <w:rPr>
                      <w:rFonts w:hint="eastAsia"/>
                      <w:color w:val="auto"/>
                      <w:szCs w:val="21"/>
                      <w:lang w:eastAsia="zh-CN"/>
                    </w:rPr>
                    <w:t>：</w:t>
                  </w:r>
                  <w:r>
                    <w:rPr>
                      <w:rFonts w:hint="eastAsia"/>
                      <w:color w:val="auto"/>
                      <w:szCs w:val="21"/>
                    </w:rPr>
                    <w:t>“&lt;”表示实测浓度小于检出限值。</w:t>
                  </w:r>
                </w:p>
              </w:tc>
            </w:tr>
          </w:tbl>
          <w:p w14:paraId="6ED53B67">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kern w:val="0"/>
                <w:sz w:val="24"/>
                <w:szCs w:val="24"/>
                <w:lang w:val="en-US" w:eastAsia="zh-CN" w:bidi="ar"/>
              </w:rPr>
              <w:t>综上所述，项目生活污水</w:t>
            </w:r>
            <w:r>
              <w:rPr>
                <w:rFonts w:hint="eastAsia" w:ascii="Times New Roman" w:hAnsi="Times New Roman" w:eastAsia="宋体" w:cs="Times New Roman"/>
                <w:color w:val="auto"/>
                <w:kern w:val="0"/>
                <w:sz w:val="24"/>
                <w:szCs w:val="24"/>
                <w:lang w:val="en-US" w:eastAsia="zh-CN" w:bidi="ar"/>
              </w:rPr>
              <w:t>、间接冷却循环废水</w:t>
            </w:r>
            <w:r>
              <w:rPr>
                <w:rFonts w:hint="default" w:ascii="Times New Roman" w:hAnsi="Times New Roman" w:eastAsia="宋体" w:cs="Times New Roman"/>
                <w:color w:val="auto"/>
                <w:kern w:val="0"/>
                <w:sz w:val="24"/>
                <w:szCs w:val="24"/>
                <w:lang w:val="en-US" w:eastAsia="zh-CN" w:bidi="ar"/>
              </w:rPr>
              <w:t>经依托</w:t>
            </w:r>
            <w:r>
              <w:rPr>
                <w:rFonts w:hint="eastAsia"/>
                <w:bCs/>
                <w:color w:val="auto"/>
                <w:sz w:val="24"/>
              </w:rPr>
              <w:t>云南鹏达冠得家具有限公司</w:t>
            </w:r>
            <w:r>
              <w:rPr>
                <w:rFonts w:hint="eastAsia"/>
                <w:bCs/>
                <w:color w:val="auto"/>
                <w:sz w:val="24"/>
                <w:lang w:val="en-US" w:eastAsia="zh-CN"/>
              </w:rPr>
              <w:t>现有</w:t>
            </w:r>
            <w:r>
              <w:rPr>
                <w:rFonts w:hint="default" w:ascii="Times New Roman" w:hAnsi="Times New Roman" w:eastAsia="宋体" w:cs="Times New Roman"/>
                <w:color w:val="auto"/>
                <w:kern w:val="0"/>
                <w:sz w:val="24"/>
                <w:szCs w:val="24"/>
                <w:lang w:val="en-US" w:eastAsia="zh-CN" w:bidi="ar"/>
              </w:rPr>
              <w:t>污水处理系统处理后，出水可</w:t>
            </w:r>
            <w:r>
              <w:rPr>
                <w:rFonts w:hint="eastAsia" w:ascii="Times New Roman" w:hAnsi="Times New Roman" w:eastAsia="宋体" w:cs="Times New Roman"/>
                <w:color w:val="auto"/>
                <w:kern w:val="0"/>
                <w:sz w:val="24"/>
                <w:szCs w:val="24"/>
                <w:lang w:val="en-US" w:eastAsia="zh-CN" w:bidi="ar"/>
              </w:rPr>
              <w:t>满足</w:t>
            </w:r>
            <w:r>
              <w:rPr>
                <w:rFonts w:hint="default"/>
                <w:color w:val="auto"/>
                <w:sz w:val="24"/>
              </w:rPr>
              <w:t>《城市污水再生利用 城市杂用水水质》（GB/T18920-20</w:t>
            </w:r>
            <w:r>
              <w:rPr>
                <w:rFonts w:hint="eastAsia"/>
                <w:color w:val="auto"/>
                <w:sz w:val="24"/>
              </w:rPr>
              <w:t>20</w:t>
            </w:r>
            <w:r>
              <w:rPr>
                <w:rFonts w:hint="default"/>
                <w:color w:val="auto"/>
                <w:sz w:val="24"/>
              </w:rPr>
              <w:t>）中的绿化标准限值</w:t>
            </w:r>
            <w:r>
              <w:rPr>
                <w:rFonts w:hint="eastAsia"/>
                <w:color w:val="auto"/>
                <w:sz w:val="24"/>
              </w:rPr>
              <w:t>。</w:t>
            </w:r>
          </w:p>
          <w:p w14:paraId="4D13590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lang w:val="en-US" w:eastAsia="zh-CN"/>
              </w:rPr>
            </w:pPr>
            <w:r>
              <w:rPr>
                <w:rFonts w:hint="eastAsia" w:cs="Times New Roman"/>
                <w:b w:val="0"/>
                <w:bCs/>
                <w:color w:val="auto"/>
                <w:sz w:val="24"/>
                <w:szCs w:val="24"/>
                <w:lang w:val="en-US" w:eastAsia="zh-CN"/>
              </w:rPr>
              <w:t>④生活污水</w:t>
            </w:r>
            <w:r>
              <w:rPr>
                <w:rFonts w:hint="default"/>
                <w:b w:val="0"/>
                <w:bCs/>
                <w:color w:val="auto"/>
                <w:kern w:val="0"/>
                <w:sz w:val="24"/>
                <w:lang w:bidi="ar"/>
              </w:rPr>
              <w:t>回用的可行性分析</w:t>
            </w:r>
          </w:p>
          <w:p w14:paraId="68DF4B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项目生活污水依托云南鹏达冠得有限公司已建污水处理系统（化粪池+一体化污水处理设施+蓄水池，食堂废水先经油水分离器处理后同其他生活污水一同进入化粪池）处理达标后用于绿化浇灌及道路洒水。</w:t>
            </w:r>
          </w:p>
          <w:p w14:paraId="42C0D8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①区域绿化及道路洒水需水量分析</w:t>
            </w:r>
            <w:r>
              <w:rPr>
                <w:rFonts w:hint="eastAsia" w:ascii="Times New Roman" w:hAnsi="Times New Roman" w:eastAsia="宋体" w:cs="Times New Roman"/>
                <w:color w:val="auto"/>
                <w:kern w:val="0"/>
                <w:sz w:val="24"/>
                <w:szCs w:val="24"/>
                <w:lang w:val="en-US" w:eastAsia="zh-CN" w:bidi="ar"/>
              </w:rPr>
              <w:t>：根据</w:t>
            </w:r>
            <w:r>
              <w:rPr>
                <w:rFonts w:hint="default" w:ascii="Times New Roman" w:hAnsi="Times New Roman" w:eastAsia="宋体" w:cs="Times New Roman"/>
                <w:color w:val="auto"/>
                <w:kern w:val="0"/>
                <w:sz w:val="24"/>
                <w:szCs w:val="24"/>
                <w:lang w:val="en-US" w:eastAsia="zh-CN" w:bidi="ar"/>
              </w:rPr>
              <w:t>工程分析，云南鹏达冠得有限公司权属用地范围内绿化面积有250m</w:t>
            </w:r>
            <w:r>
              <w:rPr>
                <w:rFonts w:hint="default"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，根据《云南鹏达冠得家具有限公司家具生产项目竣工验收监测表》，区域绿化浇灌及道路场地洒水实际用水量约为4.65m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/d（976.5m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/a），全部蒸发损耗。区域</w:t>
            </w:r>
            <w:r>
              <w:rPr>
                <w:rFonts w:hint="eastAsia" w:cs="Times New Roman"/>
                <w:color w:val="auto"/>
                <w:kern w:val="0"/>
                <w:sz w:val="24"/>
                <w:szCs w:val="24"/>
                <w:lang w:val="en-US" w:eastAsia="zh-CN" w:bidi="ar"/>
              </w:rPr>
              <w:t>现状</w:t>
            </w:r>
            <w:r>
              <w:rPr>
                <w:rFonts w:hint="default" w:ascii="Times New Roman" w:hAnsi="Times New Roman" w:eastAsia="宋体" w:cs="Times New Roman"/>
                <w:color w:val="auto"/>
                <w:kern w:val="0"/>
                <w:sz w:val="24"/>
                <w:szCs w:val="24"/>
                <w:lang w:val="en-US" w:eastAsia="zh-CN" w:bidi="ar"/>
              </w:rPr>
              <w:t>污水总量：云南鹏达冠得有限公司现有劳动定员15人，生活</w:t>
            </w:r>
            <w:r>
              <w:rPr>
                <w:rFonts w:hint="eastAsia" w:cs="Times New Roman"/>
                <w:color w:val="auto"/>
                <w:kern w:val="0"/>
                <w:sz w:val="24"/>
                <w:szCs w:val="24"/>
                <w:lang w:val="en-US" w:eastAsia="zh-CN" w:bidi="ar"/>
              </w:rPr>
              <w:t>污水</w:t>
            </w:r>
            <w:r>
              <w:rPr>
                <w:rFonts w:hint="default" w:ascii="Times New Roman" w:hAnsi="Times New Roman" w:eastAsia="宋体" w:cs="Times New Roman"/>
                <w:color w:val="auto"/>
                <w:kern w:val="0"/>
                <w:sz w:val="24"/>
                <w:szCs w:val="24"/>
                <w:lang w:val="en-US" w:eastAsia="zh-CN" w:bidi="ar"/>
              </w:rPr>
              <w:t>产生量约216m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/a（0.72m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本项目建成后生活污水产生量288m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/a（0.96m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间接冷却循环废水产生量为391.5</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1.31</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/d）；合计</w:t>
            </w:r>
            <w:r>
              <w:rPr>
                <w:rFonts w:hint="eastAsia" w:cs="Times New Roman"/>
                <w:color w:val="auto"/>
                <w:kern w:val="0"/>
                <w:sz w:val="24"/>
                <w:szCs w:val="24"/>
                <w:lang w:val="en-US" w:eastAsia="zh-CN" w:bidi="ar"/>
              </w:rPr>
              <w:t>总污水量895.5</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cs="Times New Roman"/>
                <w:color w:val="auto"/>
                <w:kern w:val="0"/>
                <w:sz w:val="24"/>
                <w:szCs w:val="24"/>
                <w:lang w:val="en-US" w:eastAsia="zh-CN" w:bidi="ar"/>
              </w:rPr>
              <w:t>2.985</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/d）。区域绿化及道路洒水年需水量（976.5m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cs="Times New Roman"/>
                <w:color w:val="auto"/>
                <w:kern w:val="0"/>
                <w:sz w:val="24"/>
                <w:szCs w:val="24"/>
                <w:lang w:val="en-US" w:eastAsia="zh-CN" w:bidi="ar"/>
              </w:rPr>
              <w:t>需求量</w:t>
            </w:r>
            <w:r>
              <w:rPr>
                <w:rFonts w:hint="default" w:ascii="Times New Roman" w:hAnsi="Times New Roman" w:eastAsia="宋体" w:cs="Times New Roman"/>
                <w:color w:val="auto"/>
                <w:kern w:val="0"/>
                <w:sz w:val="24"/>
                <w:szCs w:val="24"/>
                <w:lang w:val="en-US" w:eastAsia="zh-CN" w:bidi="ar"/>
              </w:rPr>
              <w:t>大于污水产生量，可完全消纳处理达标后的</w:t>
            </w:r>
            <w:r>
              <w:rPr>
                <w:rFonts w:hint="eastAsia" w:cs="Times New Roman"/>
                <w:color w:val="auto"/>
                <w:kern w:val="0"/>
                <w:sz w:val="24"/>
                <w:szCs w:val="24"/>
                <w:lang w:val="en-US" w:eastAsia="zh-CN" w:bidi="ar"/>
              </w:rPr>
              <w:t>一体化污水处理设施出水</w:t>
            </w:r>
            <w:r>
              <w:rPr>
                <w:rFonts w:hint="default" w:ascii="Times New Roman" w:hAnsi="Times New Roman" w:eastAsia="宋体" w:cs="Times New Roman"/>
                <w:color w:val="auto"/>
                <w:kern w:val="0"/>
                <w:sz w:val="24"/>
                <w:szCs w:val="24"/>
                <w:lang w:val="en-US" w:eastAsia="zh-CN" w:bidi="ar"/>
              </w:rPr>
              <w:t>。</w:t>
            </w:r>
          </w:p>
          <w:p w14:paraId="76A79B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②蓄水池调蓄能力分析</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区域已建蓄水池有效容积为30m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，按合计日产生活污水量</w:t>
            </w:r>
            <w:r>
              <w:rPr>
                <w:rFonts w:hint="eastAsia" w:cs="Times New Roman"/>
                <w:color w:val="auto"/>
                <w:kern w:val="0"/>
                <w:sz w:val="24"/>
                <w:szCs w:val="24"/>
                <w:lang w:val="en-US" w:eastAsia="zh-CN" w:bidi="ar"/>
              </w:rPr>
              <w:t>2.985</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/d计，蓄水池可暂存约</w:t>
            </w:r>
            <w:r>
              <w:rPr>
                <w:rFonts w:hint="eastAsia" w:cs="Times New Roman"/>
                <w:color w:val="auto"/>
                <w:kern w:val="0"/>
                <w:sz w:val="24"/>
                <w:szCs w:val="24"/>
                <w:lang w:val="en-US" w:eastAsia="zh-CN" w:bidi="ar"/>
              </w:rPr>
              <w:t>10</w:t>
            </w:r>
            <w:r>
              <w:rPr>
                <w:rFonts w:hint="default" w:ascii="Times New Roman" w:hAnsi="Times New Roman" w:eastAsia="宋体" w:cs="Times New Roman"/>
                <w:color w:val="auto"/>
                <w:kern w:val="0"/>
                <w:sz w:val="24"/>
                <w:szCs w:val="24"/>
                <w:lang w:val="en-US" w:eastAsia="zh-CN" w:bidi="ar"/>
              </w:rPr>
              <w:t>天的污水产生量</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处理达标后的污水暂存于蓄水池内，不会发生溢流外排，雨停后即可恢复回用，蓄水池调蓄能力满足要求。</w:t>
            </w:r>
          </w:p>
          <w:p w14:paraId="6B942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③回用水质达标性分析</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生活污水经“油水分离器+化粪池+一体化污水处理设施（MBR工艺）”处理</w:t>
            </w:r>
            <w:r>
              <w:rPr>
                <w:rFonts w:hint="eastAsia"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间接冷却循环废水</w:t>
            </w:r>
            <w:r>
              <w:rPr>
                <w:rFonts w:hint="default" w:ascii="Times New Roman" w:hAnsi="Times New Roman" w:eastAsia="宋体" w:cs="Times New Roman"/>
                <w:color w:val="auto"/>
                <w:kern w:val="0"/>
                <w:sz w:val="24"/>
                <w:szCs w:val="24"/>
                <w:lang w:val="en-US" w:eastAsia="zh-CN" w:bidi="ar"/>
              </w:rPr>
              <w:t>经一体化污水处理设施（MBR工艺）处理，出水执行《城市污水再生利用 城市杂用水水质》（GB/T18920-2020）中城市绿化、道路清扫水质标准；根据《云南鹏达冠得家具有限公司家具生产项目竣工环保验收监测表》验收监测结果（见本报告表4-1</w:t>
            </w:r>
            <w:r>
              <w:rPr>
                <w:rFonts w:hint="eastAsia" w:cs="Times New Roman"/>
                <w:color w:val="auto"/>
                <w:kern w:val="0"/>
                <w:sz w:val="24"/>
                <w:szCs w:val="24"/>
                <w:lang w:val="en-US" w:eastAsia="zh-CN" w:bidi="ar"/>
              </w:rPr>
              <w:t>2</w:t>
            </w:r>
            <w:r>
              <w:rPr>
                <w:rFonts w:hint="default" w:ascii="Times New Roman" w:hAnsi="Times New Roman" w:eastAsia="宋体" w:cs="Times New Roman"/>
                <w:color w:val="auto"/>
                <w:kern w:val="0"/>
                <w:sz w:val="24"/>
                <w:szCs w:val="24"/>
                <w:lang w:val="en-US" w:eastAsia="zh-CN" w:bidi="ar"/>
              </w:rPr>
              <w:t>），依托系统出水各项指标均满足GB/T18920-2020中绿化、道路清扫标准限值要求，回用水质有保障。</w:t>
            </w:r>
          </w:p>
          <w:p w14:paraId="2D43FD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综上所述，从区域绿化及道路洒水需水量、蓄水池调蓄能力、回用水质达标性三个方面分析，项目内污水依托云南鹏达冠得有限公司已建污水处理系统（化粪池+一体化污水处理设施+蓄水池，食堂废水先经油水分离器处理后同其他生活污水一同进入化粪池</w:t>
            </w:r>
            <w:r>
              <w:rPr>
                <w:rFonts w:hint="eastAsia" w:cs="Times New Roman"/>
                <w:color w:val="auto"/>
                <w:kern w:val="0"/>
                <w:sz w:val="24"/>
                <w:szCs w:val="24"/>
                <w:lang w:val="en-US" w:eastAsia="zh-CN" w:bidi="ar"/>
              </w:rPr>
              <w:t>，间接冷却循环废水进入</w:t>
            </w:r>
            <w:r>
              <w:rPr>
                <w:rFonts w:hint="default" w:ascii="Times New Roman" w:hAnsi="Times New Roman" w:eastAsia="宋体" w:cs="Times New Roman"/>
                <w:color w:val="auto"/>
                <w:kern w:val="0"/>
                <w:sz w:val="24"/>
                <w:szCs w:val="24"/>
                <w:lang w:val="en-US" w:eastAsia="zh-CN" w:bidi="ar"/>
              </w:rPr>
              <w:t>一体化污水处理设施）处理达标后用于绿化浇灌及道路洒水是可行的，项目污水可以做到全部回用、不外排。</w:t>
            </w:r>
          </w:p>
          <w:p w14:paraId="37D4D4D0">
            <w:pPr>
              <w:pStyle w:val="59"/>
              <w:keepNext w:val="0"/>
              <w:keepLines w:val="0"/>
              <w:suppressLineNumbers w:val="0"/>
              <w:spacing w:before="0" w:beforeAutospacing="0" w:after="0" w:afterAutospacing="0"/>
              <w:ind w:firstLine="472"/>
              <w:jc w:val="both"/>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w:t>
            </w:r>
            <w:r>
              <w:rPr>
                <w:rFonts w:hint="eastAsia" w:hAnsi="Times New Roman" w:cs="Times New Roman"/>
                <w:b/>
                <w:bCs/>
                <w:color w:val="auto"/>
                <w:sz w:val="24"/>
                <w:szCs w:val="24"/>
                <w:lang w:val="en-US" w:eastAsia="zh-CN"/>
              </w:rPr>
              <w:t>3</w:t>
            </w:r>
            <w:r>
              <w:rPr>
                <w:rFonts w:hint="default" w:ascii="Times New Roman" w:hAnsi="Times New Roman" w:eastAsia="宋体" w:cs="Times New Roman"/>
                <w:b/>
                <w:bCs/>
                <w:color w:val="auto"/>
                <w:sz w:val="24"/>
                <w:szCs w:val="24"/>
              </w:rPr>
              <w:t>）监测计划</w:t>
            </w:r>
          </w:p>
          <w:p w14:paraId="3FD6EC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pacing w:val="4"/>
                <w:sz w:val="24"/>
              </w:rPr>
            </w:pPr>
            <w:r>
              <w:rPr>
                <w:rFonts w:hint="default" w:ascii="Times New Roman" w:hAnsi="Times New Roman" w:eastAsia="宋体" w:cs="Times New Roman"/>
                <w:color w:val="auto"/>
                <w:sz w:val="24"/>
                <w:szCs w:val="24"/>
              </w:rPr>
              <w:t>项目</w:t>
            </w:r>
            <w:r>
              <w:rPr>
                <w:rFonts w:hint="default" w:ascii="Times New Roman" w:hAnsi="Times New Roman" w:eastAsia="宋体" w:cs="Times New Roman"/>
                <w:color w:val="auto"/>
                <w:sz w:val="24"/>
                <w:szCs w:val="24"/>
                <w:lang w:val="en-US" w:eastAsia="zh-CN"/>
              </w:rPr>
              <w:t>运营期</w:t>
            </w:r>
            <w:r>
              <w:rPr>
                <w:rFonts w:hint="default" w:ascii="Times New Roman" w:hAnsi="Times New Roman" w:eastAsia="宋体" w:cs="Times New Roman"/>
                <w:color w:val="auto"/>
                <w:sz w:val="24"/>
                <w:szCs w:val="24"/>
              </w:rPr>
              <w:t>冷却水</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生活污水经</w:t>
            </w:r>
            <w:r>
              <w:rPr>
                <w:rFonts w:hint="default" w:ascii="Times New Roman" w:hAnsi="Times New Roman" w:eastAsia="宋体" w:cs="Times New Roman"/>
                <w:color w:val="auto"/>
                <w:kern w:val="0"/>
                <w:sz w:val="24"/>
                <w:szCs w:val="24"/>
                <w:lang w:val="en-US" w:eastAsia="zh-CN" w:bidi="ar"/>
              </w:rPr>
              <w:t>依托云南鹏达冠得有限公司已建污水处理系统处理达标后回用于区域绿化浇灌及道路洒水</w:t>
            </w:r>
            <w:r>
              <w:rPr>
                <w:rFonts w:hint="default" w:ascii="Times New Roman" w:hAnsi="Times New Roman" w:eastAsia="宋体" w:cs="Times New Roman"/>
                <w:color w:val="auto"/>
                <w:sz w:val="24"/>
                <w:szCs w:val="24"/>
              </w:rPr>
              <w:t>，项目废水不外排</w:t>
            </w:r>
            <w:r>
              <w:rPr>
                <w:rFonts w:hint="default" w:ascii="Times New Roman" w:hAnsi="Times New Roman" w:eastAsia="宋体" w:cs="Times New Roman"/>
                <w:color w:val="auto"/>
                <w:sz w:val="24"/>
              </w:rPr>
              <w:t>。因此，项目不设废水监测计划</w:t>
            </w:r>
            <w:r>
              <w:rPr>
                <w:rFonts w:hint="default" w:ascii="Times New Roman" w:hAnsi="Times New Roman" w:eastAsia="宋体" w:cs="Times New Roman"/>
                <w:bCs/>
                <w:color w:val="auto"/>
                <w:kern w:val="0"/>
                <w:sz w:val="24"/>
              </w:rPr>
              <w:t>。</w:t>
            </w:r>
          </w:p>
          <w:p w14:paraId="6DEB4F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3、噪声</w:t>
            </w:r>
          </w:p>
          <w:p w14:paraId="76FB6DF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（1）噪声源强</w:t>
            </w:r>
          </w:p>
          <w:p w14:paraId="65CD4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 w:val="24"/>
                <w:highlight w:val="none"/>
              </w:rPr>
              <w:t>项目噪声主要来源于生产车间</w:t>
            </w:r>
            <w:r>
              <w:rPr>
                <w:rFonts w:hint="default" w:ascii="Times New Roman" w:hAnsi="Times New Roman" w:eastAsia="宋体" w:cs="Times New Roman"/>
                <w:color w:val="auto"/>
                <w:sz w:val="24"/>
                <w:highlight w:val="none"/>
                <w:lang w:val="en-US" w:eastAsia="zh-CN"/>
              </w:rPr>
              <w:t>拌料机</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上料机</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注塑机、破碎机</w:t>
            </w:r>
            <w:r>
              <w:rPr>
                <w:rFonts w:hint="eastAsia" w:cs="Times New Roman"/>
                <w:color w:val="auto"/>
                <w:sz w:val="24"/>
                <w:highlight w:val="none"/>
                <w:lang w:val="en-US" w:eastAsia="zh-CN"/>
              </w:rPr>
              <w:t>、风机</w:t>
            </w:r>
            <w:r>
              <w:rPr>
                <w:rFonts w:hint="default" w:ascii="Times New Roman" w:hAnsi="Times New Roman" w:eastAsia="宋体" w:cs="Times New Roman"/>
                <w:color w:val="auto"/>
                <w:sz w:val="24"/>
                <w:highlight w:val="none"/>
              </w:rPr>
              <w:t>等生产设备运行时产生的</w:t>
            </w:r>
            <w:r>
              <w:rPr>
                <w:rFonts w:hint="default" w:ascii="Times New Roman" w:hAnsi="Times New Roman" w:eastAsia="宋体" w:cs="Times New Roman"/>
                <w:color w:val="auto"/>
                <w:sz w:val="24"/>
                <w:szCs w:val="24"/>
                <w:highlight w:val="none"/>
              </w:rPr>
              <w:t>设备噪声</w:t>
            </w:r>
            <w:r>
              <w:rPr>
                <w:rFonts w:hint="default" w:ascii="Times New Roman" w:hAnsi="Times New Roman" w:eastAsia="宋体" w:cs="Times New Roman"/>
                <w:color w:val="auto"/>
                <w:sz w:val="24"/>
                <w:szCs w:val="24"/>
                <w:highlight w:val="none"/>
                <w:lang w:eastAsia="zh-CN"/>
              </w:rPr>
              <w:t>，声源强度在</w:t>
            </w:r>
            <w:r>
              <w:rPr>
                <w:rFonts w:hint="default" w:ascii="Times New Roman" w:hAnsi="Times New Roman" w:eastAsia="宋体"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eastAsia="zh-CN"/>
              </w:rPr>
              <w:t>~8</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eastAsia="zh-CN"/>
              </w:rPr>
              <w:t>dB（A）之间，</w:t>
            </w:r>
            <w:r>
              <w:rPr>
                <w:rFonts w:hint="eastAsia" w:cs="Times New Roman"/>
                <w:color w:val="auto"/>
                <w:sz w:val="24"/>
                <w:szCs w:val="24"/>
                <w:highlight w:val="none"/>
                <w:lang w:eastAsia="zh-CN"/>
              </w:rPr>
              <w:t>采取基础减振</w:t>
            </w:r>
            <w:r>
              <w:rPr>
                <w:rFonts w:hint="default" w:ascii="Times New Roman" w:hAnsi="Times New Roman" w:eastAsia="宋体" w:cs="Times New Roman"/>
                <w:color w:val="auto"/>
                <w:sz w:val="24"/>
                <w:szCs w:val="24"/>
                <w:highlight w:val="none"/>
                <w:lang w:eastAsia="zh-CN"/>
              </w:rPr>
              <w:t>、厂房隔阻等降噪措施，噪声衰减10dB（A）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0"/>
                <w:sz w:val="24"/>
                <w:szCs w:val="24"/>
                <w:highlight w:val="none"/>
                <w:lang w:val="en-US" w:eastAsia="zh-CN" w:bidi="ar"/>
              </w:rPr>
              <w:t>本次采用</w:t>
            </w:r>
            <w:r>
              <w:rPr>
                <w:rFonts w:hint="default" w:ascii="Times New Roman" w:hAnsi="Times New Roman" w:eastAsia="宋体" w:cs="Times New Roman"/>
                <w:color w:val="auto"/>
                <w:sz w:val="24"/>
                <w:szCs w:val="24"/>
                <w:highlight w:val="none"/>
              </w:rPr>
              <w:t>“环安噪声环境影响评价系统（NoiseSystem）”进行预测</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rPr>
              <w:t>以生产</w:t>
            </w:r>
            <w:r>
              <w:rPr>
                <w:rFonts w:hint="default" w:ascii="Times New Roman" w:hAnsi="Times New Roman" w:eastAsia="宋体" w:cs="Times New Roman"/>
                <w:color w:val="auto"/>
                <w:sz w:val="24"/>
                <w:szCs w:val="24"/>
                <w:highlight w:val="none"/>
              </w:rPr>
              <w:t>厂房中心</w:t>
            </w:r>
            <w:r>
              <w:rPr>
                <w:rFonts w:hint="eastAsia" w:ascii="宋体" w:hAnsi="宋体" w:eastAsia="宋体" w:cs="宋体"/>
                <w:color w:val="auto"/>
                <w:kern w:val="0"/>
                <w:sz w:val="24"/>
                <w:szCs w:val="24"/>
                <w:lang w:val="en-US" w:eastAsia="zh-CN" w:bidi="ar"/>
              </w:rPr>
              <w:t xml:space="preserve">（经度 </w:t>
            </w:r>
            <w:r>
              <w:rPr>
                <w:rFonts w:hint="default" w:ascii="Times New Roman" w:hAnsi="Times New Roman" w:eastAsia="宋体" w:cs="Times New Roman"/>
                <w:color w:val="auto"/>
                <w:kern w:val="0"/>
                <w:sz w:val="24"/>
                <w:szCs w:val="24"/>
                <w:lang w:val="en-US" w:eastAsia="zh-CN" w:bidi="ar"/>
              </w:rPr>
              <w:t>103°12′44.16893″</w:t>
            </w:r>
            <w:r>
              <w:rPr>
                <w:rFonts w:hint="eastAsia" w:ascii="宋体" w:hAnsi="宋体" w:eastAsia="宋体" w:cs="宋体"/>
                <w:color w:val="auto"/>
                <w:kern w:val="0"/>
                <w:sz w:val="24"/>
                <w:szCs w:val="24"/>
                <w:lang w:val="en-US" w:eastAsia="zh-CN" w:bidi="ar"/>
              </w:rPr>
              <w:t>，纬度</w:t>
            </w:r>
            <w:r>
              <w:rPr>
                <w:rFonts w:hint="default" w:ascii="Times New Roman" w:hAnsi="Times New Roman" w:eastAsia="宋体" w:cs="Times New Roman"/>
                <w:color w:val="auto"/>
                <w:kern w:val="0"/>
                <w:sz w:val="24"/>
                <w:szCs w:val="24"/>
                <w:lang w:val="en-US" w:eastAsia="zh-CN" w:bidi="ar"/>
              </w:rPr>
              <w:t>25°35′1.81562″</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sz w:val="24"/>
                <w:szCs w:val="24"/>
                <w:highlight w:val="none"/>
              </w:rPr>
              <w:t>作为坐标原点</w:t>
            </w:r>
            <w:r>
              <w:rPr>
                <w:rFonts w:hint="eastAsia"/>
                <w:color w:val="auto"/>
                <w:sz w:val="24"/>
                <w:szCs w:val="24"/>
                <w:lang w:eastAsia="zh-CN"/>
              </w:rPr>
              <w:t>（</w:t>
            </w:r>
            <w:r>
              <w:rPr>
                <w:rFonts w:hint="eastAsia"/>
                <w:color w:val="auto"/>
                <w:sz w:val="24"/>
                <w:szCs w:val="24"/>
                <w:lang w:val="en-US" w:eastAsia="zh-CN"/>
              </w:rPr>
              <w:t>0，0</w:t>
            </w:r>
            <w:r>
              <w:rPr>
                <w:rFonts w:hint="eastAsia"/>
                <w:color w:val="auto"/>
                <w:sz w:val="24"/>
                <w:szCs w:val="24"/>
                <w:lang w:eastAsia="zh-CN"/>
              </w:rPr>
              <w:t>）</w:t>
            </w:r>
            <w:r>
              <w:rPr>
                <w:rFonts w:hint="default" w:ascii="Times New Roman" w:hAnsi="Times New Roman" w:eastAsia="宋体" w:cs="Times New Roman"/>
                <w:color w:val="auto"/>
                <w:sz w:val="24"/>
                <w:szCs w:val="24"/>
                <w:highlight w:val="none"/>
              </w:rPr>
              <w:t>，</w:t>
            </w:r>
            <w:r>
              <w:rPr>
                <w:rFonts w:hint="eastAsia" w:ascii="宋体" w:hAnsi="宋体" w:eastAsia="宋体" w:cs="宋体"/>
                <w:color w:val="auto"/>
                <w:kern w:val="0"/>
                <w:sz w:val="24"/>
                <w:szCs w:val="24"/>
                <w:lang w:val="en-US" w:eastAsia="zh-CN" w:bidi="ar"/>
              </w:rPr>
              <w:t xml:space="preserve">正东向为 </w:t>
            </w:r>
            <w:r>
              <w:rPr>
                <w:rFonts w:hint="default" w:ascii="Times New Roman" w:hAnsi="Times New Roman" w:eastAsia="宋体" w:cs="Times New Roman"/>
                <w:color w:val="auto"/>
                <w:kern w:val="0"/>
                <w:sz w:val="24"/>
                <w:szCs w:val="24"/>
                <w:lang w:val="en-US" w:eastAsia="zh-CN" w:bidi="ar"/>
              </w:rPr>
              <w:t xml:space="preserve">X </w:t>
            </w:r>
            <w:r>
              <w:rPr>
                <w:rFonts w:hint="eastAsia" w:ascii="宋体" w:hAnsi="宋体" w:eastAsia="宋体" w:cs="宋体"/>
                <w:color w:val="auto"/>
                <w:kern w:val="0"/>
                <w:sz w:val="24"/>
                <w:szCs w:val="24"/>
                <w:lang w:val="en-US" w:eastAsia="zh-CN" w:bidi="ar"/>
              </w:rPr>
              <w:t xml:space="preserve">轴正方向，正北向为 </w:t>
            </w:r>
            <w:r>
              <w:rPr>
                <w:rFonts w:hint="default" w:ascii="Times New Roman" w:hAnsi="Times New Roman" w:eastAsia="宋体" w:cs="Times New Roman"/>
                <w:color w:val="auto"/>
                <w:kern w:val="0"/>
                <w:sz w:val="24"/>
                <w:szCs w:val="24"/>
                <w:lang w:val="en-US" w:eastAsia="zh-CN" w:bidi="ar"/>
              </w:rPr>
              <w:t xml:space="preserve">Y </w:t>
            </w:r>
            <w:r>
              <w:rPr>
                <w:rFonts w:hint="eastAsia" w:ascii="宋体" w:hAnsi="宋体" w:eastAsia="宋体" w:cs="宋体"/>
                <w:color w:val="auto"/>
                <w:kern w:val="0"/>
                <w:sz w:val="24"/>
                <w:szCs w:val="24"/>
                <w:lang w:val="en-US" w:eastAsia="zh-CN" w:bidi="ar"/>
              </w:rPr>
              <w:t>轴正方向</w:t>
            </w:r>
            <w:r>
              <w:rPr>
                <w:rFonts w:hint="default" w:ascii="Times New Roman" w:hAnsi="Times New Roman" w:eastAsia="宋体" w:cs="Times New Roman"/>
                <w:color w:val="auto"/>
                <w:sz w:val="24"/>
                <w:szCs w:val="24"/>
                <w:highlight w:val="none"/>
              </w:rPr>
              <w:t>项目主要噪声源调查情况见表4-</w:t>
            </w:r>
            <w:r>
              <w:rPr>
                <w:rFonts w:hint="default" w:ascii="Times New Roman" w:hAnsi="Times New Roman" w:eastAsia="宋体" w:cs="Times New Roman"/>
                <w:color w:val="auto"/>
                <w:sz w:val="24"/>
                <w:szCs w:val="24"/>
                <w:highlight w:val="none"/>
                <w:lang w:val="en-US" w:eastAsia="zh-CN"/>
              </w:rPr>
              <w:t>13</w:t>
            </w:r>
            <w:r>
              <w:rPr>
                <w:rFonts w:hint="default" w:ascii="Times New Roman" w:hAnsi="Times New Roman" w:eastAsia="宋体" w:cs="Times New Roman"/>
                <w:color w:val="auto"/>
                <w:kern w:val="0"/>
                <w:sz w:val="24"/>
                <w:szCs w:val="24"/>
                <w:highlight w:val="none"/>
                <w:lang w:val="en-US" w:eastAsia="zh-CN" w:bidi="ar"/>
              </w:rPr>
              <w:t>。</w:t>
            </w:r>
          </w:p>
        </w:tc>
      </w:tr>
    </w:tbl>
    <w:p w14:paraId="2C824C39">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
        <w:gridCol w:w="13769"/>
      </w:tblGrid>
      <w:tr w14:paraId="3FE0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0" w:hRule="atLeast"/>
        </w:trPr>
        <w:tc>
          <w:tcPr>
            <w:tcW w:w="407" w:type="dxa"/>
            <w:noWrap w:val="0"/>
            <w:vAlign w:val="top"/>
          </w:tcPr>
          <w:p w14:paraId="32BECCCF">
            <w:pPr>
              <w:pStyle w:val="59"/>
              <w:keepNext w:val="0"/>
              <w:keepLines w:val="0"/>
              <w:suppressLineNumbers w:val="0"/>
              <w:spacing w:before="0" w:beforeAutospacing="0" w:after="0" w:afterAutospacing="0"/>
              <w:rPr>
                <w:rFonts w:hint="default"/>
                <w:color w:val="auto"/>
                <w:vertAlign w:val="baseline"/>
              </w:rPr>
            </w:pPr>
          </w:p>
        </w:tc>
        <w:tc>
          <w:tcPr>
            <w:tcW w:w="13769" w:type="dxa"/>
            <w:noWrap w:val="0"/>
            <w:vAlign w:val="top"/>
          </w:tcPr>
          <w:p w14:paraId="2BC9B884">
            <w:pPr>
              <w:pStyle w:val="67"/>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20"/>
              <w:textAlignment w:val="auto"/>
              <w:rPr>
                <w:rFonts w:hint="default" w:cs="Times New Roman"/>
                <w:color w:val="auto"/>
                <w:sz w:val="24"/>
                <w:szCs w:val="24"/>
              </w:rPr>
            </w:pPr>
            <w:r>
              <w:rPr>
                <w:rFonts w:hint="eastAsia" w:cs="Times New Roman"/>
                <w:b/>
                <w:color w:val="auto"/>
                <w:sz w:val="21"/>
                <w:szCs w:val="21"/>
              </w:rPr>
              <w:t>表4-1</w:t>
            </w:r>
            <w:r>
              <w:rPr>
                <w:rFonts w:hint="eastAsia" w:cs="Times New Roman"/>
                <w:b/>
                <w:color w:val="auto"/>
                <w:sz w:val="21"/>
                <w:szCs w:val="21"/>
                <w:lang w:val="en-US" w:eastAsia="zh-CN"/>
              </w:rPr>
              <w:t>3</w:t>
            </w:r>
            <w:r>
              <w:rPr>
                <w:rFonts w:hint="eastAsia" w:cs="Times New Roman"/>
                <w:b/>
                <w:color w:val="auto"/>
                <w:sz w:val="21"/>
                <w:szCs w:val="21"/>
              </w:rPr>
              <w:t xml:space="preserve">  </w:t>
            </w:r>
            <w:r>
              <w:rPr>
                <w:rFonts w:hint="default" w:ascii="Times New Roman" w:hAnsi="Times New Roman"/>
                <w:b/>
                <w:bCs/>
                <w:color w:val="auto"/>
                <w:szCs w:val="21"/>
                <w:highlight w:val="none"/>
              </w:rPr>
              <w:t>工业企业噪声源强调查清单（室内声源）</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4"/>
              <w:gridCol w:w="451"/>
              <w:gridCol w:w="846"/>
              <w:gridCol w:w="675"/>
              <w:gridCol w:w="715"/>
              <w:gridCol w:w="937"/>
              <w:gridCol w:w="599"/>
              <w:gridCol w:w="614"/>
              <w:gridCol w:w="438"/>
              <w:gridCol w:w="529"/>
              <w:gridCol w:w="536"/>
              <w:gridCol w:w="529"/>
              <w:gridCol w:w="568"/>
              <w:gridCol w:w="529"/>
              <w:gridCol w:w="529"/>
              <w:gridCol w:w="529"/>
              <w:gridCol w:w="529"/>
              <w:gridCol w:w="448"/>
              <w:gridCol w:w="630"/>
              <w:gridCol w:w="529"/>
              <w:gridCol w:w="529"/>
              <w:gridCol w:w="529"/>
              <w:gridCol w:w="529"/>
              <w:gridCol w:w="487"/>
            </w:tblGrid>
            <w:tr w14:paraId="7A27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4" w:hRule="atLeast"/>
                <w:tblHeader/>
                <w:jc w:val="center"/>
              </w:trPr>
              <w:tc>
                <w:tcPr>
                  <w:tcW w:w="123" w:type="pct"/>
                  <w:vMerge w:val="restart"/>
                  <w:noWrap w:val="0"/>
                  <w:vAlign w:val="center"/>
                </w:tcPr>
                <w:p w14:paraId="659A1C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77" w:type="pct"/>
                  <w:vMerge w:val="restart"/>
                  <w:noWrap w:val="0"/>
                  <w:vAlign w:val="center"/>
                </w:tcPr>
                <w:p w14:paraId="04718CA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建筑物名称</w:t>
                  </w:r>
                </w:p>
              </w:tc>
              <w:tc>
                <w:tcPr>
                  <w:tcW w:w="323" w:type="pct"/>
                  <w:vMerge w:val="restart"/>
                  <w:noWrap w:val="0"/>
                  <w:vAlign w:val="center"/>
                </w:tcPr>
                <w:p w14:paraId="39FDD93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声源名称</w:t>
                  </w:r>
                </w:p>
              </w:tc>
              <w:tc>
                <w:tcPr>
                  <w:tcW w:w="252" w:type="pct"/>
                  <w:vMerge w:val="restart"/>
                  <w:noWrap w:val="0"/>
                  <w:vAlign w:val="center"/>
                </w:tcPr>
                <w:p w14:paraId="3FBB009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型号</w:t>
                  </w:r>
                </w:p>
              </w:tc>
              <w:tc>
                <w:tcPr>
                  <w:tcW w:w="282" w:type="pct"/>
                  <w:noWrap w:val="0"/>
                  <w:vAlign w:val="center"/>
                </w:tcPr>
                <w:p w14:paraId="1CCEF83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声源源强</w:t>
                  </w:r>
                </w:p>
              </w:tc>
              <w:tc>
                <w:tcPr>
                  <w:tcW w:w="356" w:type="pct"/>
                  <w:vMerge w:val="restart"/>
                  <w:noWrap w:val="0"/>
                  <w:vAlign w:val="center"/>
                </w:tcPr>
                <w:p w14:paraId="1B7179B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声源控制措施</w:t>
                  </w:r>
                </w:p>
              </w:tc>
              <w:tc>
                <w:tcPr>
                  <w:tcW w:w="640" w:type="pct"/>
                  <w:gridSpan w:val="3"/>
                  <w:noWrap w:val="0"/>
                  <w:vAlign w:val="center"/>
                </w:tcPr>
                <w:p w14:paraId="52880D6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空间相对位置</w:t>
                  </w:r>
                  <w:r>
                    <w:rPr>
                      <w:rFonts w:hint="default" w:ascii="Times New Roman" w:hAnsi="Times New Roman" w:eastAsia="宋体" w:cs="Times New Roman"/>
                      <w:b/>
                      <w:bCs/>
                      <w:color w:val="auto"/>
                      <w:sz w:val="21"/>
                      <w:szCs w:val="21"/>
                      <w:highlight w:val="none"/>
                      <w:lang w:val="en-US" w:eastAsia="zh-CN"/>
                    </w:rPr>
                    <w:t>/m</w:t>
                  </w:r>
                </w:p>
              </w:tc>
              <w:tc>
                <w:tcPr>
                  <w:tcW w:w="814" w:type="pct"/>
                  <w:gridSpan w:val="4"/>
                  <w:noWrap w:val="0"/>
                  <w:vAlign w:val="center"/>
                </w:tcPr>
                <w:p w14:paraId="0CFC26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距室内边界距离/m</w:t>
                  </w:r>
                </w:p>
              </w:tc>
              <w:tc>
                <w:tcPr>
                  <w:tcW w:w="733" w:type="pct"/>
                  <w:gridSpan w:val="4"/>
                  <w:noWrap w:val="0"/>
                  <w:vAlign w:val="center"/>
                </w:tcPr>
                <w:p w14:paraId="6FC6D4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室内边界声级/dB（A）</w:t>
                  </w:r>
                </w:p>
              </w:tc>
              <w:tc>
                <w:tcPr>
                  <w:tcW w:w="183" w:type="pct"/>
                  <w:vMerge w:val="restart"/>
                  <w:noWrap w:val="0"/>
                  <w:vAlign w:val="center"/>
                </w:tcPr>
                <w:p w14:paraId="5F95325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运行时段</w:t>
                  </w:r>
                </w:p>
              </w:tc>
              <w:tc>
                <w:tcPr>
                  <w:tcW w:w="223" w:type="pct"/>
                  <w:vMerge w:val="restart"/>
                  <w:noWrap w:val="0"/>
                  <w:vAlign w:val="center"/>
                </w:tcPr>
                <w:p w14:paraId="6735AC6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建筑物插入损失/dB（A）</w:t>
                  </w:r>
                </w:p>
              </w:tc>
              <w:tc>
                <w:tcPr>
                  <w:tcW w:w="890" w:type="pct"/>
                  <w:gridSpan w:val="5"/>
                  <w:noWrap w:val="0"/>
                  <w:vAlign w:val="center"/>
                </w:tcPr>
                <w:p w14:paraId="78958B5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建筑物外噪声</w:t>
                  </w:r>
                </w:p>
              </w:tc>
            </w:tr>
            <w:tr w14:paraId="02A3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7" w:hRule="atLeast"/>
                <w:tblHeader/>
                <w:jc w:val="center"/>
              </w:trPr>
              <w:tc>
                <w:tcPr>
                  <w:tcW w:w="123" w:type="pct"/>
                  <w:vMerge w:val="continue"/>
                  <w:noWrap w:val="0"/>
                  <w:vAlign w:val="center"/>
                </w:tcPr>
                <w:p w14:paraId="25E7CD5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77" w:type="pct"/>
                  <w:vMerge w:val="continue"/>
                  <w:noWrap w:val="0"/>
                  <w:vAlign w:val="center"/>
                </w:tcPr>
                <w:p w14:paraId="6997B05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323" w:type="pct"/>
                  <w:vMerge w:val="continue"/>
                  <w:noWrap w:val="0"/>
                  <w:vAlign w:val="center"/>
                </w:tcPr>
                <w:p w14:paraId="3D4EAB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52" w:type="pct"/>
                  <w:vMerge w:val="continue"/>
                  <w:noWrap w:val="0"/>
                  <w:vAlign w:val="center"/>
                </w:tcPr>
                <w:p w14:paraId="5BD109E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82" w:type="pct"/>
                  <w:vMerge w:val="restart"/>
                  <w:noWrap w:val="0"/>
                  <w:vAlign w:val="center"/>
                </w:tcPr>
                <w:p w14:paraId="5489D7D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声功率级/dB（A）</w:t>
                  </w:r>
                </w:p>
              </w:tc>
              <w:tc>
                <w:tcPr>
                  <w:tcW w:w="356" w:type="pct"/>
                  <w:vMerge w:val="continue"/>
                  <w:noWrap w:val="0"/>
                  <w:vAlign w:val="center"/>
                </w:tcPr>
                <w:p w14:paraId="59DCCFE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29" w:type="pct"/>
                  <w:vMerge w:val="restart"/>
                  <w:noWrap w:val="0"/>
                  <w:vAlign w:val="center"/>
                </w:tcPr>
                <w:p w14:paraId="6756F7C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X</w:t>
                  </w:r>
                </w:p>
              </w:tc>
              <w:tc>
                <w:tcPr>
                  <w:tcW w:w="239" w:type="pct"/>
                  <w:vMerge w:val="restart"/>
                  <w:noWrap w:val="0"/>
                  <w:vAlign w:val="center"/>
                </w:tcPr>
                <w:p w14:paraId="7A7747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Y</w:t>
                  </w:r>
                </w:p>
              </w:tc>
              <w:tc>
                <w:tcPr>
                  <w:tcW w:w="172" w:type="pct"/>
                  <w:vMerge w:val="restart"/>
                  <w:noWrap w:val="0"/>
                  <w:vAlign w:val="center"/>
                </w:tcPr>
                <w:p w14:paraId="7C26A27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Z</w:t>
                  </w:r>
                </w:p>
              </w:tc>
              <w:tc>
                <w:tcPr>
                  <w:tcW w:w="193" w:type="pct"/>
                  <w:vMerge w:val="restart"/>
                  <w:noWrap w:val="0"/>
                  <w:vAlign w:val="center"/>
                </w:tcPr>
                <w:p w14:paraId="3B2173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西</w:t>
                  </w:r>
                </w:p>
              </w:tc>
              <w:tc>
                <w:tcPr>
                  <w:tcW w:w="208" w:type="pct"/>
                  <w:vMerge w:val="restart"/>
                  <w:noWrap w:val="0"/>
                  <w:vAlign w:val="center"/>
                </w:tcPr>
                <w:p w14:paraId="455B184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南</w:t>
                  </w:r>
                </w:p>
              </w:tc>
              <w:tc>
                <w:tcPr>
                  <w:tcW w:w="193" w:type="pct"/>
                  <w:vMerge w:val="restart"/>
                  <w:noWrap w:val="0"/>
                  <w:vAlign w:val="center"/>
                </w:tcPr>
                <w:p w14:paraId="4328932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东</w:t>
                  </w:r>
                </w:p>
              </w:tc>
              <w:tc>
                <w:tcPr>
                  <w:tcW w:w="219" w:type="pct"/>
                  <w:vMerge w:val="restart"/>
                  <w:noWrap w:val="0"/>
                  <w:vAlign w:val="center"/>
                </w:tcPr>
                <w:p w14:paraId="560D945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北</w:t>
                  </w:r>
                </w:p>
              </w:tc>
              <w:tc>
                <w:tcPr>
                  <w:tcW w:w="173" w:type="pct"/>
                  <w:vMerge w:val="restart"/>
                  <w:noWrap w:val="0"/>
                  <w:vAlign w:val="center"/>
                </w:tcPr>
                <w:p w14:paraId="579A01D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西</w:t>
                  </w:r>
                </w:p>
              </w:tc>
              <w:tc>
                <w:tcPr>
                  <w:tcW w:w="198" w:type="pct"/>
                  <w:vMerge w:val="restart"/>
                  <w:noWrap w:val="0"/>
                  <w:vAlign w:val="center"/>
                </w:tcPr>
                <w:p w14:paraId="4650FE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南</w:t>
                  </w:r>
                </w:p>
              </w:tc>
              <w:tc>
                <w:tcPr>
                  <w:tcW w:w="167" w:type="pct"/>
                  <w:vMerge w:val="restart"/>
                  <w:noWrap w:val="0"/>
                  <w:vAlign w:val="center"/>
                </w:tcPr>
                <w:p w14:paraId="423B33C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东</w:t>
                  </w:r>
                </w:p>
              </w:tc>
              <w:tc>
                <w:tcPr>
                  <w:tcW w:w="194" w:type="pct"/>
                  <w:vMerge w:val="restart"/>
                  <w:noWrap w:val="0"/>
                  <w:vAlign w:val="center"/>
                </w:tcPr>
                <w:p w14:paraId="7CE7809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北</w:t>
                  </w:r>
                </w:p>
              </w:tc>
              <w:tc>
                <w:tcPr>
                  <w:tcW w:w="183" w:type="pct"/>
                  <w:vMerge w:val="continue"/>
                  <w:noWrap w:val="0"/>
                  <w:vAlign w:val="center"/>
                </w:tcPr>
                <w:p w14:paraId="34D82AD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23" w:type="pct"/>
                  <w:vMerge w:val="continue"/>
                  <w:noWrap w:val="0"/>
                  <w:vAlign w:val="center"/>
                </w:tcPr>
                <w:p w14:paraId="2DC2CFC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700" w:type="pct"/>
                  <w:gridSpan w:val="4"/>
                  <w:noWrap w:val="0"/>
                  <w:vAlign w:val="center"/>
                </w:tcPr>
                <w:p w14:paraId="57BC158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声压级/dB（A）</w:t>
                  </w:r>
                </w:p>
              </w:tc>
              <w:tc>
                <w:tcPr>
                  <w:tcW w:w="189" w:type="pct"/>
                  <w:vMerge w:val="restart"/>
                  <w:noWrap w:val="0"/>
                  <w:vAlign w:val="center"/>
                </w:tcPr>
                <w:p w14:paraId="743409B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建筑物外距离</w:t>
                  </w:r>
                </w:p>
              </w:tc>
            </w:tr>
            <w:tr w14:paraId="17E4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0" w:hRule="atLeast"/>
                <w:tblHeader/>
                <w:jc w:val="center"/>
              </w:trPr>
              <w:tc>
                <w:tcPr>
                  <w:tcW w:w="123" w:type="pct"/>
                  <w:vMerge w:val="continue"/>
                  <w:noWrap w:val="0"/>
                  <w:vAlign w:val="center"/>
                </w:tcPr>
                <w:p w14:paraId="6D5AE8D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77" w:type="pct"/>
                  <w:vMerge w:val="continue"/>
                  <w:noWrap w:val="0"/>
                  <w:vAlign w:val="center"/>
                </w:tcPr>
                <w:p w14:paraId="7D9E3A0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323" w:type="pct"/>
                  <w:vMerge w:val="continue"/>
                  <w:noWrap w:val="0"/>
                  <w:vAlign w:val="center"/>
                </w:tcPr>
                <w:p w14:paraId="61F03AF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52" w:type="pct"/>
                  <w:vMerge w:val="continue"/>
                  <w:noWrap w:val="0"/>
                  <w:vAlign w:val="center"/>
                </w:tcPr>
                <w:p w14:paraId="2B82F29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82" w:type="pct"/>
                  <w:vMerge w:val="continue"/>
                  <w:noWrap w:val="0"/>
                  <w:vAlign w:val="center"/>
                </w:tcPr>
                <w:p w14:paraId="1D53B91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356" w:type="pct"/>
                  <w:vMerge w:val="continue"/>
                  <w:noWrap w:val="0"/>
                  <w:vAlign w:val="center"/>
                </w:tcPr>
                <w:p w14:paraId="2F31BA7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29" w:type="pct"/>
                  <w:vMerge w:val="continue"/>
                  <w:noWrap w:val="0"/>
                  <w:vAlign w:val="center"/>
                </w:tcPr>
                <w:p w14:paraId="417271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39" w:type="pct"/>
                  <w:vMerge w:val="continue"/>
                  <w:noWrap w:val="0"/>
                  <w:vAlign w:val="center"/>
                </w:tcPr>
                <w:p w14:paraId="1D1E957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72" w:type="pct"/>
                  <w:vMerge w:val="continue"/>
                  <w:noWrap w:val="0"/>
                  <w:vAlign w:val="center"/>
                </w:tcPr>
                <w:p w14:paraId="1627446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93" w:type="pct"/>
                  <w:vMerge w:val="continue"/>
                  <w:noWrap w:val="0"/>
                  <w:vAlign w:val="center"/>
                </w:tcPr>
                <w:p w14:paraId="4F8C0C8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08" w:type="pct"/>
                  <w:vMerge w:val="continue"/>
                  <w:noWrap w:val="0"/>
                  <w:vAlign w:val="center"/>
                </w:tcPr>
                <w:p w14:paraId="24157CF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93" w:type="pct"/>
                  <w:vMerge w:val="continue"/>
                  <w:noWrap w:val="0"/>
                  <w:vAlign w:val="center"/>
                </w:tcPr>
                <w:p w14:paraId="5B54374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19" w:type="pct"/>
                  <w:vMerge w:val="continue"/>
                  <w:noWrap w:val="0"/>
                  <w:vAlign w:val="center"/>
                </w:tcPr>
                <w:p w14:paraId="2A61AB3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73" w:type="pct"/>
                  <w:vMerge w:val="continue"/>
                  <w:noWrap w:val="0"/>
                  <w:vAlign w:val="center"/>
                </w:tcPr>
                <w:p w14:paraId="3EB0022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98" w:type="pct"/>
                  <w:vMerge w:val="continue"/>
                  <w:noWrap w:val="0"/>
                  <w:vAlign w:val="center"/>
                </w:tcPr>
                <w:p w14:paraId="6641FB0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67" w:type="pct"/>
                  <w:vMerge w:val="continue"/>
                  <w:noWrap w:val="0"/>
                  <w:vAlign w:val="center"/>
                </w:tcPr>
                <w:p w14:paraId="6E2AB28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94" w:type="pct"/>
                  <w:vMerge w:val="continue"/>
                  <w:noWrap w:val="0"/>
                  <w:vAlign w:val="center"/>
                </w:tcPr>
                <w:p w14:paraId="4B7DCBC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83" w:type="pct"/>
                  <w:vMerge w:val="continue"/>
                  <w:noWrap w:val="0"/>
                  <w:vAlign w:val="center"/>
                </w:tcPr>
                <w:p w14:paraId="4DDA732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223" w:type="pct"/>
                  <w:vMerge w:val="continue"/>
                  <w:noWrap w:val="0"/>
                  <w:vAlign w:val="center"/>
                </w:tcPr>
                <w:p w14:paraId="60A42B2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highlight w:val="none"/>
                    </w:rPr>
                  </w:pPr>
                </w:p>
              </w:tc>
              <w:tc>
                <w:tcPr>
                  <w:tcW w:w="167" w:type="pct"/>
                  <w:noWrap w:val="0"/>
                  <w:vAlign w:val="center"/>
                </w:tcPr>
                <w:p w14:paraId="7DE805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西</w:t>
                  </w:r>
                </w:p>
              </w:tc>
              <w:tc>
                <w:tcPr>
                  <w:tcW w:w="188" w:type="pct"/>
                  <w:noWrap w:val="0"/>
                  <w:vAlign w:val="center"/>
                </w:tcPr>
                <w:p w14:paraId="51CE8C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南</w:t>
                  </w:r>
                </w:p>
              </w:tc>
              <w:tc>
                <w:tcPr>
                  <w:tcW w:w="162" w:type="pct"/>
                  <w:noWrap w:val="0"/>
                  <w:vAlign w:val="center"/>
                </w:tcPr>
                <w:p w14:paraId="0A73634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东</w:t>
                  </w:r>
                </w:p>
              </w:tc>
              <w:tc>
                <w:tcPr>
                  <w:tcW w:w="183" w:type="pct"/>
                  <w:noWrap w:val="0"/>
                  <w:vAlign w:val="center"/>
                </w:tcPr>
                <w:p w14:paraId="4C39D7E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北</w:t>
                  </w:r>
                </w:p>
              </w:tc>
              <w:tc>
                <w:tcPr>
                  <w:tcW w:w="189" w:type="pct"/>
                  <w:vMerge w:val="continue"/>
                  <w:noWrap w:val="0"/>
                  <w:vAlign w:val="center"/>
                </w:tcPr>
                <w:p w14:paraId="60C4ED9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r>
            <w:tr w14:paraId="1143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257DEEF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p>
              </w:tc>
              <w:tc>
                <w:tcPr>
                  <w:tcW w:w="177" w:type="pct"/>
                  <w:vMerge w:val="restart"/>
                  <w:noWrap w:val="0"/>
                  <w:vAlign w:val="center"/>
                </w:tcPr>
                <w:p w14:paraId="5D65D75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生产厂房</w:t>
                  </w:r>
                </w:p>
              </w:tc>
              <w:tc>
                <w:tcPr>
                  <w:tcW w:w="323" w:type="pct"/>
                  <w:vMerge w:val="restart"/>
                  <w:noWrap w:val="0"/>
                  <w:vAlign w:val="center"/>
                </w:tcPr>
                <w:p w14:paraId="14189FA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拌料机</w:t>
                  </w:r>
                </w:p>
              </w:tc>
              <w:tc>
                <w:tcPr>
                  <w:tcW w:w="252" w:type="pct"/>
                  <w:vMerge w:val="restart"/>
                  <w:noWrap w:val="0"/>
                  <w:vAlign w:val="center"/>
                </w:tcPr>
                <w:p w14:paraId="789F24E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KY-2T</w:t>
                  </w:r>
                </w:p>
              </w:tc>
              <w:tc>
                <w:tcPr>
                  <w:tcW w:w="282" w:type="pct"/>
                  <w:vMerge w:val="restart"/>
                  <w:noWrap w:val="0"/>
                  <w:vAlign w:val="center"/>
                </w:tcPr>
                <w:p w14:paraId="62ADD51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4AD8439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2E740E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-34.9</w:t>
                  </w:r>
                </w:p>
              </w:tc>
              <w:tc>
                <w:tcPr>
                  <w:tcW w:w="239" w:type="pct"/>
                  <w:vMerge w:val="restart"/>
                  <w:noWrap w:val="0"/>
                  <w:vAlign w:val="center"/>
                </w:tcPr>
                <w:p w14:paraId="4BD013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14.69</w:t>
                  </w:r>
                </w:p>
              </w:tc>
              <w:tc>
                <w:tcPr>
                  <w:tcW w:w="172" w:type="pct"/>
                  <w:vMerge w:val="restart"/>
                  <w:noWrap w:val="0"/>
                  <w:vAlign w:val="center"/>
                </w:tcPr>
                <w:p w14:paraId="26AC70B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54FB7F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2.02</w:t>
                  </w:r>
                </w:p>
              </w:tc>
              <w:tc>
                <w:tcPr>
                  <w:tcW w:w="208" w:type="pct"/>
                  <w:vMerge w:val="restart"/>
                  <w:noWrap w:val="0"/>
                  <w:vAlign w:val="center"/>
                </w:tcPr>
                <w:p w14:paraId="7084DA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11.79</w:t>
                  </w:r>
                </w:p>
              </w:tc>
              <w:tc>
                <w:tcPr>
                  <w:tcW w:w="193" w:type="pct"/>
                  <w:vMerge w:val="restart"/>
                  <w:noWrap w:val="0"/>
                  <w:vAlign w:val="center"/>
                </w:tcPr>
                <w:p w14:paraId="035B63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74.76</w:t>
                  </w:r>
                </w:p>
              </w:tc>
              <w:tc>
                <w:tcPr>
                  <w:tcW w:w="219" w:type="pct"/>
                  <w:vMerge w:val="restart"/>
                  <w:noWrap w:val="0"/>
                  <w:vAlign w:val="center"/>
                </w:tcPr>
                <w:p w14:paraId="6C6B72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14.14</w:t>
                  </w:r>
                </w:p>
              </w:tc>
              <w:tc>
                <w:tcPr>
                  <w:tcW w:w="173" w:type="pct"/>
                  <w:vMerge w:val="restart"/>
                  <w:noWrap w:val="0"/>
                  <w:vAlign w:val="center"/>
                </w:tcPr>
                <w:p w14:paraId="258F0A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58.17</w:t>
                  </w:r>
                </w:p>
              </w:tc>
              <w:tc>
                <w:tcPr>
                  <w:tcW w:w="198" w:type="pct"/>
                  <w:vMerge w:val="restart"/>
                  <w:noWrap w:val="0"/>
                  <w:vAlign w:val="center"/>
                </w:tcPr>
                <w:p w14:paraId="19E7C6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47.59</w:t>
                  </w:r>
                </w:p>
              </w:tc>
              <w:tc>
                <w:tcPr>
                  <w:tcW w:w="167" w:type="pct"/>
                  <w:vMerge w:val="restart"/>
                  <w:noWrap w:val="0"/>
                  <w:vAlign w:val="center"/>
                </w:tcPr>
                <w:p w14:paraId="4B51AD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45.99</w:t>
                  </w:r>
                </w:p>
              </w:tc>
              <w:tc>
                <w:tcPr>
                  <w:tcW w:w="194" w:type="pct"/>
                  <w:vMerge w:val="restart"/>
                  <w:noWrap w:val="0"/>
                  <w:vAlign w:val="center"/>
                </w:tcPr>
                <w:p w14:paraId="058C9D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47.15</w:t>
                  </w:r>
                </w:p>
              </w:tc>
              <w:tc>
                <w:tcPr>
                  <w:tcW w:w="183" w:type="pct"/>
                  <w:noWrap w:val="0"/>
                  <w:vAlign w:val="center"/>
                </w:tcPr>
                <w:p w14:paraId="2597889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097744D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251D28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42.17</w:t>
                  </w:r>
                </w:p>
              </w:tc>
              <w:tc>
                <w:tcPr>
                  <w:tcW w:w="188" w:type="pct"/>
                  <w:vMerge w:val="restart"/>
                  <w:noWrap w:val="0"/>
                  <w:vAlign w:val="center"/>
                </w:tcPr>
                <w:p w14:paraId="5F1DE7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31.59</w:t>
                  </w:r>
                </w:p>
              </w:tc>
              <w:tc>
                <w:tcPr>
                  <w:tcW w:w="162" w:type="pct"/>
                  <w:vMerge w:val="restart"/>
                  <w:noWrap w:val="0"/>
                  <w:vAlign w:val="center"/>
                </w:tcPr>
                <w:p w14:paraId="0B263B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29.99</w:t>
                  </w:r>
                </w:p>
              </w:tc>
              <w:tc>
                <w:tcPr>
                  <w:tcW w:w="183" w:type="pct"/>
                  <w:vMerge w:val="restart"/>
                  <w:noWrap w:val="0"/>
                  <w:vAlign w:val="center"/>
                </w:tcPr>
                <w:p w14:paraId="52DBCA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31.15</w:t>
                  </w:r>
                </w:p>
              </w:tc>
              <w:tc>
                <w:tcPr>
                  <w:tcW w:w="189" w:type="pct"/>
                  <w:vMerge w:val="restart"/>
                  <w:noWrap w:val="0"/>
                  <w:vAlign w:val="center"/>
                </w:tcPr>
                <w:p w14:paraId="2591FEC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p>
              </w:tc>
            </w:tr>
            <w:tr w14:paraId="45A5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192853B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04A1137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240303B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3D83B8C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12C281B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5E5BC61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2FBC67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1BAB12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03FCA4E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445EB6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1F913A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1F1F6A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217FD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728867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2F7038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045FD1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374D8B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692C721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3677D8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shd w:val="clear" w:color="auto" w:fill="auto"/>
                  <w:noWrap w:val="0"/>
                  <w:vAlign w:val="center"/>
                </w:tcPr>
                <w:p w14:paraId="487D49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2"/>
                      <w:sz w:val="18"/>
                      <w:szCs w:val="18"/>
                      <w:u w:val="none"/>
                      <w:lang w:val="en-US" w:eastAsia="zh-CN" w:bidi="ar-SA"/>
                    </w:rPr>
                  </w:pPr>
                </w:p>
              </w:tc>
              <w:tc>
                <w:tcPr>
                  <w:tcW w:w="188" w:type="pct"/>
                  <w:vMerge w:val="continue"/>
                  <w:noWrap w:val="0"/>
                  <w:vAlign w:val="center"/>
                </w:tcPr>
                <w:p w14:paraId="05F19F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13D879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7069BB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1C016EE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0EA6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7BBE8B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w:t>
                  </w:r>
                </w:p>
              </w:tc>
              <w:tc>
                <w:tcPr>
                  <w:tcW w:w="177" w:type="pct"/>
                  <w:vMerge w:val="continue"/>
                  <w:noWrap w:val="0"/>
                  <w:vAlign w:val="center"/>
                </w:tcPr>
                <w:p w14:paraId="01DE0B3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323" w:type="pct"/>
                  <w:vMerge w:val="restart"/>
                  <w:noWrap w:val="0"/>
                  <w:vAlign w:val="center"/>
                </w:tcPr>
                <w:p w14:paraId="389F6F3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注塑机1</w:t>
                  </w:r>
                </w:p>
              </w:tc>
              <w:tc>
                <w:tcPr>
                  <w:tcW w:w="252" w:type="pct"/>
                  <w:vMerge w:val="restart"/>
                  <w:noWrap w:val="0"/>
                  <w:vAlign w:val="center"/>
                </w:tcPr>
                <w:p w14:paraId="7BC4387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KY480</w:t>
                  </w:r>
                </w:p>
              </w:tc>
              <w:tc>
                <w:tcPr>
                  <w:tcW w:w="282" w:type="pct"/>
                  <w:vMerge w:val="restart"/>
                  <w:noWrap w:val="0"/>
                  <w:vAlign w:val="center"/>
                </w:tcPr>
                <w:p w14:paraId="20B41B5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2CC0DC2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331C2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-34.19</w:t>
                  </w:r>
                </w:p>
              </w:tc>
              <w:tc>
                <w:tcPr>
                  <w:tcW w:w="239" w:type="pct"/>
                  <w:vMerge w:val="restart"/>
                  <w:noWrap w:val="0"/>
                  <w:vAlign w:val="center"/>
                </w:tcPr>
                <w:p w14:paraId="59BFC8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5.76</w:t>
                  </w:r>
                </w:p>
              </w:tc>
              <w:tc>
                <w:tcPr>
                  <w:tcW w:w="172" w:type="pct"/>
                  <w:vMerge w:val="restart"/>
                  <w:noWrap w:val="0"/>
                  <w:vAlign w:val="center"/>
                </w:tcPr>
                <w:p w14:paraId="27741B7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324818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6.78</w:t>
                  </w:r>
                </w:p>
              </w:tc>
              <w:tc>
                <w:tcPr>
                  <w:tcW w:w="208" w:type="pct"/>
                  <w:vMerge w:val="restart"/>
                  <w:noWrap w:val="0"/>
                  <w:vAlign w:val="center"/>
                </w:tcPr>
                <w:p w14:paraId="4C2A47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4.05</w:t>
                  </w:r>
                </w:p>
              </w:tc>
              <w:tc>
                <w:tcPr>
                  <w:tcW w:w="193" w:type="pct"/>
                  <w:vMerge w:val="restart"/>
                  <w:noWrap w:val="0"/>
                  <w:vAlign w:val="center"/>
                </w:tcPr>
                <w:p w14:paraId="22A3C4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70.05</w:t>
                  </w:r>
                </w:p>
              </w:tc>
              <w:tc>
                <w:tcPr>
                  <w:tcW w:w="219" w:type="pct"/>
                  <w:vMerge w:val="restart"/>
                  <w:noWrap w:val="0"/>
                  <w:vAlign w:val="center"/>
                </w:tcPr>
                <w:p w14:paraId="5949B7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21.88</w:t>
                  </w:r>
                </w:p>
              </w:tc>
              <w:tc>
                <w:tcPr>
                  <w:tcW w:w="173" w:type="pct"/>
                  <w:vMerge w:val="restart"/>
                  <w:noWrap w:val="0"/>
                  <w:vAlign w:val="center"/>
                </w:tcPr>
                <w:p w14:paraId="246440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54.73</w:t>
                  </w:r>
                </w:p>
              </w:tc>
              <w:tc>
                <w:tcPr>
                  <w:tcW w:w="198" w:type="pct"/>
                  <w:vMerge w:val="restart"/>
                  <w:noWrap w:val="0"/>
                  <w:vAlign w:val="center"/>
                </w:tcPr>
                <w:p w14:paraId="496B36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57.85</w:t>
                  </w:r>
                </w:p>
              </w:tc>
              <w:tc>
                <w:tcPr>
                  <w:tcW w:w="167" w:type="pct"/>
                  <w:vMerge w:val="restart"/>
                  <w:noWrap w:val="0"/>
                  <w:vAlign w:val="center"/>
                </w:tcPr>
                <w:p w14:paraId="49C559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51.00</w:t>
                  </w:r>
                </w:p>
              </w:tc>
              <w:tc>
                <w:tcPr>
                  <w:tcW w:w="194" w:type="pct"/>
                  <w:vMerge w:val="restart"/>
                  <w:noWrap w:val="0"/>
                  <w:vAlign w:val="center"/>
                </w:tcPr>
                <w:p w14:paraId="081754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51.49</w:t>
                  </w:r>
                </w:p>
              </w:tc>
              <w:tc>
                <w:tcPr>
                  <w:tcW w:w="183" w:type="pct"/>
                  <w:noWrap w:val="0"/>
                  <w:vAlign w:val="center"/>
                </w:tcPr>
                <w:p w14:paraId="5B2C874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23C4773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0DA395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38.73</w:t>
                  </w:r>
                </w:p>
              </w:tc>
              <w:tc>
                <w:tcPr>
                  <w:tcW w:w="188" w:type="pct"/>
                  <w:vMerge w:val="restart"/>
                  <w:noWrap w:val="0"/>
                  <w:vAlign w:val="center"/>
                </w:tcPr>
                <w:p w14:paraId="7F4DD4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41.85</w:t>
                  </w:r>
                </w:p>
              </w:tc>
              <w:tc>
                <w:tcPr>
                  <w:tcW w:w="162" w:type="pct"/>
                  <w:vMerge w:val="restart"/>
                  <w:noWrap w:val="0"/>
                  <w:vAlign w:val="center"/>
                </w:tcPr>
                <w:p w14:paraId="6C7A10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35.00</w:t>
                  </w:r>
                </w:p>
              </w:tc>
              <w:tc>
                <w:tcPr>
                  <w:tcW w:w="183" w:type="pct"/>
                  <w:vMerge w:val="restart"/>
                  <w:noWrap w:val="0"/>
                  <w:vAlign w:val="center"/>
                </w:tcPr>
                <w:p w14:paraId="0F3E35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35.49</w:t>
                  </w:r>
                </w:p>
              </w:tc>
              <w:tc>
                <w:tcPr>
                  <w:tcW w:w="189" w:type="pct"/>
                  <w:vMerge w:val="restart"/>
                  <w:noWrap w:val="0"/>
                  <w:vAlign w:val="center"/>
                </w:tcPr>
                <w:p w14:paraId="73F4E6C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p>
              </w:tc>
            </w:tr>
            <w:tr w14:paraId="5B7B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0AEFD55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2C3C0F6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323" w:type="pct"/>
                  <w:vMerge w:val="continue"/>
                  <w:noWrap w:val="0"/>
                  <w:vAlign w:val="center"/>
                </w:tcPr>
                <w:p w14:paraId="7E50713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51D5ED5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1F88490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319289B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195648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288FAD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4D56703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43EDC5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2EB8FA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59E187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043625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40F30E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794075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38472B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6EC6D1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676CC7E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687E318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246E57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692622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42FD50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7B230F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6264433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1A98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5F5D010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p>
              </w:tc>
              <w:tc>
                <w:tcPr>
                  <w:tcW w:w="177" w:type="pct"/>
                  <w:vMerge w:val="continue"/>
                  <w:noWrap w:val="0"/>
                  <w:vAlign w:val="center"/>
                </w:tcPr>
                <w:p w14:paraId="3B38C98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323" w:type="pct"/>
                  <w:vMerge w:val="restart"/>
                  <w:noWrap w:val="0"/>
                  <w:vAlign w:val="center"/>
                </w:tcPr>
                <w:p w14:paraId="13ACA9D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注塑机2</w:t>
                  </w:r>
                </w:p>
              </w:tc>
              <w:tc>
                <w:tcPr>
                  <w:tcW w:w="252" w:type="pct"/>
                  <w:vMerge w:val="restart"/>
                  <w:noWrap w:val="0"/>
                  <w:vAlign w:val="center"/>
                </w:tcPr>
                <w:p w14:paraId="070A539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KY480</w:t>
                  </w:r>
                </w:p>
              </w:tc>
              <w:tc>
                <w:tcPr>
                  <w:tcW w:w="282" w:type="pct"/>
                  <w:vMerge w:val="restart"/>
                  <w:noWrap w:val="0"/>
                  <w:vAlign w:val="center"/>
                </w:tcPr>
                <w:p w14:paraId="3B59740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147972E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2ADA3A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-31.25</w:t>
                  </w:r>
                </w:p>
              </w:tc>
              <w:tc>
                <w:tcPr>
                  <w:tcW w:w="239" w:type="pct"/>
                  <w:vMerge w:val="restart"/>
                  <w:noWrap w:val="0"/>
                  <w:vAlign w:val="center"/>
                </w:tcPr>
                <w:p w14:paraId="47131E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4.45</w:t>
                  </w:r>
                </w:p>
              </w:tc>
              <w:tc>
                <w:tcPr>
                  <w:tcW w:w="172" w:type="pct"/>
                  <w:vMerge w:val="restart"/>
                  <w:noWrap w:val="0"/>
                  <w:vAlign w:val="center"/>
                </w:tcPr>
                <w:p w14:paraId="057B234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579C15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9.99</w:t>
                  </w:r>
                </w:p>
              </w:tc>
              <w:tc>
                <w:tcPr>
                  <w:tcW w:w="208" w:type="pct"/>
                  <w:vMerge w:val="restart"/>
                  <w:noWrap w:val="0"/>
                  <w:vAlign w:val="center"/>
                </w:tcPr>
                <w:p w14:paraId="7C0CBA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4.15</w:t>
                  </w:r>
                </w:p>
              </w:tc>
              <w:tc>
                <w:tcPr>
                  <w:tcW w:w="193" w:type="pct"/>
                  <w:vMerge w:val="restart"/>
                  <w:noWrap w:val="0"/>
                  <w:vAlign w:val="center"/>
                </w:tcPr>
                <w:p w14:paraId="4BBCC0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66.84</w:t>
                  </w:r>
                </w:p>
              </w:tc>
              <w:tc>
                <w:tcPr>
                  <w:tcW w:w="219" w:type="pct"/>
                  <w:vMerge w:val="restart"/>
                  <w:noWrap w:val="0"/>
                  <w:vAlign w:val="center"/>
                </w:tcPr>
                <w:p w14:paraId="70E63C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21.79</w:t>
                  </w:r>
                </w:p>
              </w:tc>
              <w:tc>
                <w:tcPr>
                  <w:tcW w:w="173" w:type="pct"/>
                  <w:vMerge w:val="restart"/>
                  <w:noWrap w:val="0"/>
                  <w:vAlign w:val="center"/>
                </w:tcPr>
                <w:p w14:paraId="681039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53.09</w:t>
                  </w:r>
                </w:p>
              </w:tc>
              <w:tc>
                <w:tcPr>
                  <w:tcW w:w="198" w:type="pct"/>
                  <w:vMerge w:val="restart"/>
                  <w:noWrap w:val="0"/>
                  <w:vAlign w:val="center"/>
                </w:tcPr>
                <w:p w14:paraId="48FB21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57.68</w:t>
                  </w:r>
                </w:p>
              </w:tc>
              <w:tc>
                <w:tcPr>
                  <w:tcW w:w="167" w:type="pct"/>
                  <w:vMerge w:val="restart"/>
                  <w:noWrap w:val="0"/>
                  <w:vAlign w:val="center"/>
                </w:tcPr>
                <w:p w14:paraId="0DB99F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51.00</w:t>
                  </w:r>
                </w:p>
              </w:tc>
              <w:tc>
                <w:tcPr>
                  <w:tcW w:w="194" w:type="pct"/>
                  <w:vMerge w:val="restart"/>
                  <w:noWrap w:val="0"/>
                  <w:vAlign w:val="center"/>
                </w:tcPr>
                <w:p w14:paraId="6DB2CF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51.49</w:t>
                  </w:r>
                </w:p>
              </w:tc>
              <w:tc>
                <w:tcPr>
                  <w:tcW w:w="183" w:type="pct"/>
                  <w:noWrap w:val="0"/>
                  <w:vAlign w:val="center"/>
                </w:tcPr>
                <w:p w14:paraId="0FEBBE3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44E9845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4B9E16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37.09</w:t>
                  </w:r>
                </w:p>
              </w:tc>
              <w:tc>
                <w:tcPr>
                  <w:tcW w:w="188" w:type="pct"/>
                  <w:vMerge w:val="restart"/>
                  <w:noWrap w:val="0"/>
                  <w:vAlign w:val="center"/>
                </w:tcPr>
                <w:p w14:paraId="6645DE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41.68</w:t>
                  </w:r>
                </w:p>
              </w:tc>
              <w:tc>
                <w:tcPr>
                  <w:tcW w:w="162" w:type="pct"/>
                  <w:vMerge w:val="restart"/>
                  <w:noWrap w:val="0"/>
                  <w:vAlign w:val="center"/>
                </w:tcPr>
                <w:p w14:paraId="1C159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35.00</w:t>
                  </w:r>
                </w:p>
              </w:tc>
              <w:tc>
                <w:tcPr>
                  <w:tcW w:w="183" w:type="pct"/>
                  <w:vMerge w:val="restart"/>
                  <w:noWrap w:val="0"/>
                  <w:vAlign w:val="center"/>
                </w:tcPr>
                <w:p w14:paraId="15354C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35.49</w:t>
                  </w:r>
                </w:p>
              </w:tc>
              <w:tc>
                <w:tcPr>
                  <w:tcW w:w="189" w:type="pct"/>
                  <w:vMerge w:val="restart"/>
                  <w:noWrap w:val="0"/>
                  <w:vAlign w:val="center"/>
                </w:tcPr>
                <w:p w14:paraId="7DF3FBB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w:t>
                  </w:r>
                </w:p>
              </w:tc>
            </w:tr>
            <w:tr w14:paraId="28C3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050FCB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7FDB4CF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323" w:type="pct"/>
                  <w:vMerge w:val="continue"/>
                  <w:noWrap w:val="0"/>
                  <w:vAlign w:val="center"/>
                </w:tcPr>
                <w:p w14:paraId="0DF5532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10185DC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155028A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5E1F8D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4B059F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486EEC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3417C20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4EC0F4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7637EA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37DD5F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2B0655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6FB0BF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552C1C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590337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17E076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2661842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58FF30A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728FE1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71D2C6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4D5CAA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6F3BDB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685452F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2DA5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1FAA180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4</w:t>
                  </w:r>
                </w:p>
              </w:tc>
              <w:tc>
                <w:tcPr>
                  <w:tcW w:w="177" w:type="pct"/>
                  <w:vMerge w:val="continue"/>
                  <w:noWrap w:val="0"/>
                  <w:vAlign w:val="center"/>
                </w:tcPr>
                <w:p w14:paraId="5BC5771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323" w:type="pct"/>
                  <w:vMerge w:val="restart"/>
                  <w:noWrap w:val="0"/>
                  <w:vAlign w:val="center"/>
                </w:tcPr>
                <w:p w14:paraId="3A0EA71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注塑机3</w:t>
                  </w:r>
                </w:p>
              </w:tc>
              <w:tc>
                <w:tcPr>
                  <w:tcW w:w="252" w:type="pct"/>
                  <w:vMerge w:val="restart"/>
                  <w:noWrap w:val="0"/>
                  <w:vAlign w:val="center"/>
                </w:tcPr>
                <w:p w14:paraId="0A20E32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KY480</w:t>
                  </w:r>
                </w:p>
              </w:tc>
              <w:tc>
                <w:tcPr>
                  <w:tcW w:w="282" w:type="pct"/>
                  <w:vMerge w:val="restart"/>
                  <w:noWrap w:val="0"/>
                  <w:vAlign w:val="center"/>
                </w:tcPr>
                <w:p w14:paraId="3A6C21A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1C3C0E1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4EB04E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-28.32</w:t>
                  </w:r>
                </w:p>
              </w:tc>
              <w:tc>
                <w:tcPr>
                  <w:tcW w:w="239" w:type="pct"/>
                  <w:vMerge w:val="restart"/>
                  <w:noWrap w:val="0"/>
                  <w:vAlign w:val="center"/>
                </w:tcPr>
                <w:p w14:paraId="48FB92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2.82</w:t>
                  </w:r>
                </w:p>
              </w:tc>
              <w:tc>
                <w:tcPr>
                  <w:tcW w:w="172" w:type="pct"/>
                  <w:vMerge w:val="restart"/>
                  <w:noWrap w:val="0"/>
                  <w:vAlign w:val="center"/>
                </w:tcPr>
                <w:p w14:paraId="6E6157F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2EA400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13.34</w:t>
                  </w:r>
                </w:p>
              </w:tc>
              <w:tc>
                <w:tcPr>
                  <w:tcW w:w="208" w:type="pct"/>
                  <w:vMerge w:val="restart"/>
                  <w:noWrap w:val="0"/>
                  <w:vAlign w:val="center"/>
                </w:tcPr>
                <w:p w14:paraId="709652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3.95</w:t>
                  </w:r>
                </w:p>
              </w:tc>
              <w:tc>
                <w:tcPr>
                  <w:tcW w:w="193" w:type="pct"/>
                  <w:vMerge w:val="restart"/>
                  <w:noWrap w:val="0"/>
                  <w:vAlign w:val="center"/>
                </w:tcPr>
                <w:p w14:paraId="32286B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63.49</w:t>
                  </w:r>
                </w:p>
              </w:tc>
              <w:tc>
                <w:tcPr>
                  <w:tcW w:w="219" w:type="pct"/>
                  <w:vMerge w:val="restart"/>
                  <w:noWrap w:val="0"/>
                  <w:vAlign w:val="center"/>
                </w:tcPr>
                <w:p w14:paraId="396503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21.99</w:t>
                  </w:r>
                </w:p>
              </w:tc>
              <w:tc>
                <w:tcPr>
                  <w:tcW w:w="173" w:type="pct"/>
                  <w:vMerge w:val="restart"/>
                  <w:noWrap w:val="0"/>
                  <w:vAlign w:val="center"/>
                </w:tcPr>
                <w:p w14:paraId="3206AF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47.28</w:t>
                  </w:r>
                </w:p>
              </w:tc>
              <w:tc>
                <w:tcPr>
                  <w:tcW w:w="198" w:type="pct"/>
                  <w:vMerge w:val="restart"/>
                  <w:noWrap w:val="0"/>
                  <w:vAlign w:val="center"/>
                </w:tcPr>
                <w:p w14:paraId="5E407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53.02</w:t>
                  </w:r>
                </w:p>
              </w:tc>
              <w:tc>
                <w:tcPr>
                  <w:tcW w:w="167" w:type="pct"/>
                  <w:vMerge w:val="restart"/>
                  <w:noWrap w:val="0"/>
                  <w:vAlign w:val="center"/>
                </w:tcPr>
                <w:p w14:paraId="798F10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46.01</w:t>
                  </w:r>
                </w:p>
              </w:tc>
              <w:tc>
                <w:tcPr>
                  <w:tcW w:w="194" w:type="pct"/>
                  <w:vMerge w:val="restart"/>
                  <w:noWrap w:val="0"/>
                  <w:vAlign w:val="center"/>
                </w:tcPr>
                <w:p w14:paraId="0705A4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46.48</w:t>
                  </w:r>
                </w:p>
              </w:tc>
              <w:tc>
                <w:tcPr>
                  <w:tcW w:w="183" w:type="pct"/>
                  <w:noWrap w:val="0"/>
                  <w:vAlign w:val="center"/>
                </w:tcPr>
                <w:p w14:paraId="308FCA1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69BA2B9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001261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31.28</w:t>
                  </w:r>
                </w:p>
              </w:tc>
              <w:tc>
                <w:tcPr>
                  <w:tcW w:w="188" w:type="pct"/>
                  <w:vMerge w:val="restart"/>
                  <w:noWrap w:val="0"/>
                  <w:vAlign w:val="center"/>
                </w:tcPr>
                <w:p w14:paraId="5C230D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37.02</w:t>
                  </w:r>
                </w:p>
              </w:tc>
              <w:tc>
                <w:tcPr>
                  <w:tcW w:w="162" w:type="pct"/>
                  <w:vMerge w:val="restart"/>
                  <w:noWrap w:val="0"/>
                  <w:vAlign w:val="center"/>
                </w:tcPr>
                <w:p w14:paraId="3B16D0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30.01</w:t>
                  </w:r>
                </w:p>
              </w:tc>
              <w:tc>
                <w:tcPr>
                  <w:tcW w:w="183" w:type="pct"/>
                  <w:vMerge w:val="restart"/>
                  <w:noWrap w:val="0"/>
                  <w:vAlign w:val="center"/>
                </w:tcPr>
                <w:p w14:paraId="294488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30.48</w:t>
                  </w:r>
                </w:p>
              </w:tc>
              <w:tc>
                <w:tcPr>
                  <w:tcW w:w="189" w:type="pct"/>
                  <w:vMerge w:val="restart"/>
                  <w:noWrap w:val="0"/>
                  <w:vAlign w:val="center"/>
                </w:tcPr>
                <w:p w14:paraId="03185EF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63D0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6959FE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5F565BF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323" w:type="pct"/>
                  <w:vMerge w:val="continue"/>
                  <w:noWrap w:val="0"/>
                  <w:vAlign w:val="center"/>
                </w:tcPr>
                <w:p w14:paraId="6EAE0E7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2545130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3BBA1DD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4984F7F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5EDCD4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44044A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04F47D6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50FB69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1B39B9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2B6038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0A0ACC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387AD2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680A45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0FC522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0AEA3A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6EDD111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40420B2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406065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322E6F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0988F6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1F9993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1E0CD1B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4EDE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440B400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5</w:t>
                  </w:r>
                </w:p>
              </w:tc>
              <w:tc>
                <w:tcPr>
                  <w:tcW w:w="177" w:type="pct"/>
                  <w:vMerge w:val="continue"/>
                  <w:noWrap w:val="0"/>
                  <w:vAlign w:val="center"/>
                </w:tcPr>
                <w:p w14:paraId="03F40C2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6DBE912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注塑机4</w:t>
                  </w:r>
                </w:p>
              </w:tc>
              <w:tc>
                <w:tcPr>
                  <w:tcW w:w="252" w:type="pct"/>
                  <w:vMerge w:val="restart"/>
                  <w:noWrap w:val="0"/>
                  <w:vAlign w:val="center"/>
                </w:tcPr>
                <w:p w14:paraId="5721776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KY480</w:t>
                  </w:r>
                </w:p>
              </w:tc>
              <w:tc>
                <w:tcPr>
                  <w:tcW w:w="282" w:type="pct"/>
                  <w:vMerge w:val="restart"/>
                  <w:noWrap w:val="0"/>
                  <w:vAlign w:val="center"/>
                </w:tcPr>
                <w:p w14:paraId="5DF5FB8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651483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06A674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-25.88</w:t>
                  </w:r>
                </w:p>
              </w:tc>
              <w:tc>
                <w:tcPr>
                  <w:tcW w:w="239" w:type="pct"/>
                  <w:vMerge w:val="restart"/>
                  <w:noWrap w:val="0"/>
                  <w:vAlign w:val="center"/>
                </w:tcPr>
                <w:p w14:paraId="5ADC1B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72" w:type="pct"/>
                  <w:vMerge w:val="restart"/>
                  <w:noWrap w:val="0"/>
                  <w:vAlign w:val="center"/>
                </w:tcPr>
                <w:p w14:paraId="3F97F7E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1EB787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16.25</w:t>
                  </w:r>
                </w:p>
              </w:tc>
              <w:tc>
                <w:tcPr>
                  <w:tcW w:w="208" w:type="pct"/>
                  <w:vMerge w:val="restart"/>
                  <w:noWrap w:val="0"/>
                  <w:vAlign w:val="center"/>
                </w:tcPr>
                <w:p w14:paraId="57ACAB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3.56</w:t>
                  </w:r>
                </w:p>
              </w:tc>
              <w:tc>
                <w:tcPr>
                  <w:tcW w:w="193" w:type="pct"/>
                  <w:vMerge w:val="restart"/>
                  <w:noWrap w:val="0"/>
                  <w:vAlign w:val="center"/>
                </w:tcPr>
                <w:p w14:paraId="4DDAF0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60.57</w:t>
                  </w:r>
                </w:p>
              </w:tc>
              <w:tc>
                <w:tcPr>
                  <w:tcW w:w="219" w:type="pct"/>
                  <w:vMerge w:val="restart"/>
                  <w:noWrap w:val="0"/>
                  <w:vAlign w:val="center"/>
                </w:tcPr>
                <w:p w14:paraId="24BFB9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22.39</w:t>
                  </w:r>
                </w:p>
              </w:tc>
              <w:tc>
                <w:tcPr>
                  <w:tcW w:w="173" w:type="pct"/>
                  <w:vMerge w:val="restart"/>
                  <w:noWrap w:val="0"/>
                  <w:vAlign w:val="center"/>
                </w:tcPr>
                <w:p w14:paraId="65A373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51.88</w:t>
                  </w:r>
                </w:p>
              </w:tc>
              <w:tc>
                <w:tcPr>
                  <w:tcW w:w="198" w:type="pct"/>
                  <w:vMerge w:val="restart"/>
                  <w:noWrap w:val="0"/>
                  <w:vAlign w:val="center"/>
                </w:tcPr>
                <w:p w14:paraId="3F9E68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58.76</w:t>
                  </w:r>
                </w:p>
              </w:tc>
              <w:tc>
                <w:tcPr>
                  <w:tcW w:w="167" w:type="pct"/>
                  <w:vMerge w:val="restart"/>
                  <w:noWrap w:val="0"/>
                  <w:vAlign w:val="center"/>
                </w:tcPr>
                <w:p w14:paraId="593E72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51.02</w:t>
                  </w:r>
                </w:p>
              </w:tc>
              <w:tc>
                <w:tcPr>
                  <w:tcW w:w="194" w:type="pct"/>
                  <w:vMerge w:val="restart"/>
                  <w:noWrap w:val="0"/>
                  <w:vAlign w:val="center"/>
                </w:tcPr>
                <w:p w14:paraId="4E0E93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51.46</w:t>
                  </w:r>
                </w:p>
              </w:tc>
              <w:tc>
                <w:tcPr>
                  <w:tcW w:w="183" w:type="pct"/>
                  <w:noWrap w:val="0"/>
                  <w:vAlign w:val="center"/>
                </w:tcPr>
                <w:p w14:paraId="26B13FA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78E9104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1E317E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35.88</w:t>
                  </w:r>
                </w:p>
              </w:tc>
              <w:tc>
                <w:tcPr>
                  <w:tcW w:w="188" w:type="pct"/>
                  <w:vMerge w:val="restart"/>
                  <w:noWrap w:val="0"/>
                  <w:vAlign w:val="center"/>
                </w:tcPr>
                <w:p w14:paraId="240AB9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42.76</w:t>
                  </w:r>
                </w:p>
              </w:tc>
              <w:tc>
                <w:tcPr>
                  <w:tcW w:w="162" w:type="pct"/>
                  <w:vMerge w:val="restart"/>
                  <w:noWrap w:val="0"/>
                  <w:vAlign w:val="center"/>
                </w:tcPr>
                <w:p w14:paraId="41D0AF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35.02</w:t>
                  </w:r>
                </w:p>
              </w:tc>
              <w:tc>
                <w:tcPr>
                  <w:tcW w:w="183" w:type="pct"/>
                  <w:vMerge w:val="restart"/>
                  <w:noWrap w:val="0"/>
                  <w:vAlign w:val="center"/>
                </w:tcPr>
                <w:p w14:paraId="0A023C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35.46</w:t>
                  </w:r>
                </w:p>
              </w:tc>
              <w:tc>
                <w:tcPr>
                  <w:tcW w:w="189" w:type="pct"/>
                  <w:vMerge w:val="restart"/>
                  <w:noWrap w:val="0"/>
                  <w:vAlign w:val="center"/>
                </w:tcPr>
                <w:p w14:paraId="457AB35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5FBF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450821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6FF48B5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5E20784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6CA32C2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0DE10E7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3E9A05D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79F84C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183E9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66A7E25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461046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6348C2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04BADA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0DC08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18082C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1709C3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3EDA56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4F6171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0095EEE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2011029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58B50F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1915A6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547D08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1DC152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7BA19E8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4D60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03D8FE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6</w:t>
                  </w:r>
                </w:p>
              </w:tc>
              <w:tc>
                <w:tcPr>
                  <w:tcW w:w="177" w:type="pct"/>
                  <w:vMerge w:val="continue"/>
                  <w:noWrap w:val="0"/>
                  <w:vAlign w:val="center"/>
                </w:tcPr>
                <w:p w14:paraId="2DB8C90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56BA20B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注塑机5</w:t>
                  </w:r>
                </w:p>
              </w:tc>
              <w:tc>
                <w:tcPr>
                  <w:tcW w:w="252" w:type="pct"/>
                  <w:vMerge w:val="restart"/>
                  <w:noWrap w:val="0"/>
                  <w:vAlign w:val="center"/>
                </w:tcPr>
                <w:p w14:paraId="65E8DC3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KY600</w:t>
                  </w:r>
                </w:p>
              </w:tc>
              <w:tc>
                <w:tcPr>
                  <w:tcW w:w="282" w:type="pct"/>
                  <w:vMerge w:val="restart"/>
                  <w:noWrap w:val="0"/>
                  <w:vAlign w:val="center"/>
                </w:tcPr>
                <w:p w14:paraId="0F5B65D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36C970D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0A3182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-22.78</w:t>
                  </w:r>
                </w:p>
              </w:tc>
              <w:tc>
                <w:tcPr>
                  <w:tcW w:w="239" w:type="pct"/>
                  <w:vMerge w:val="restart"/>
                  <w:noWrap w:val="0"/>
                  <w:vAlign w:val="center"/>
                </w:tcPr>
                <w:p w14:paraId="3C76E8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-0.27</w:t>
                  </w:r>
                </w:p>
              </w:tc>
              <w:tc>
                <w:tcPr>
                  <w:tcW w:w="172" w:type="pct"/>
                  <w:vMerge w:val="restart"/>
                  <w:noWrap w:val="0"/>
                  <w:vAlign w:val="center"/>
                </w:tcPr>
                <w:p w14:paraId="2DD7DC3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33CD37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19.68</w:t>
                  </w:r>
                </w:p>
              </w:tc>
              <w:tc>
                <w:tcPr>
                  <w:tcW w:w="208" w:type="pct"/>
                  <w:vMerge w:val="restart"/>
                  <w:noWrap w:val="0"/>
                  <w:vAlign w:val="center"/>
                </w:tcPr>
                <w:p w14:paraId="76410C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3.58</w:t>
                  </w:r>
                </w:p>
              </w:tc>
              <w:tc>
                <w:tcPr>
                  <w:tcW w:w="193" w:type="pct"/>
                  <w:vMerge w:val="restart"/>
                  <w:noWrap w:val="0"/>
                  <w:vAlign w:val="center"/>
                </w:tcPr>
                <w:p w14:paraId="4F650A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57.15</w:t>
                  </w:r>
                </w:p>
              </w:tc>
              <w:tc>
                <w:tcPr>
                  <w:tcW w:w="219" w:type="pct"/>
                  <w:vMerge w:val="restart"/>
                  <w:noWrap w:val="0"/>
                  <w:vAlign w:val="center"/>
                </w:tcPr>
                <w:p w14:paraId="7EF494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22.37</w:t>
                  </w:r>
                </w:p>
              </w:tc>
              <w:tc>
                <w:tcPr>
                  <w:tcW w:w="173" w:type="pct"/>
                  <w:vMerge w:val="restart"/>
                  <w:noWrap w:val="0"/>
                  <w:vAlign w:val="center"/>
                </w:tcPr>
                <w:p w14:paraId="7A2922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51.61</w:t>
                  </w:r>
                </w:p>
              </w:tc>
              <w:tc>
                <w:tcPr>
                  <w:tcW w:w="198" w:type="pct"/>
                  <w:vMerge w:val="restart"/>
                  <w:noWrap w:val="0"/>
                  <w:vAlign w:val="center"/>
                </w:tcPr>
                <w:p w14:paraId="28D19D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58.72</w:t>
                  </w:r>
                </w:p>
              </w:tc>
              <w:tc>
                <w:tcPr>
                  <w:tcW w:w="167" w:type="pct"/>
                  <w:vMerge w:val="restart"/>
                  <w:noWrap w:val="0"/>
                  <w:vAlign w:val="center"/>
                </w:tcPr>
                <w:p w14:paraId="49C52E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51.03</w:t>
                  </w:r>
                </w:p>
              </w:tc>
              <w:tc>
                <w:tcPr>
                  <w:tcW w:w="194" w:type="pct"/>
                  <w:vMerge w:val="restart"/>
                  <w:noWrap w:val="0"/>
                  <w:vAlign w:val="center"/>
                </w:tcPr>
                <w:p w14:paraId="61031D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51.46</w:t>
                  </w:r>
                </w:p>
              </w:tc>
              <w:tc>
                <w:tcPr>
                  <w:tcW w:w="183" w:type="pct"/>
                  <w:noWrap w:val="0"/>
                  <w:vAlign w:val="center"/>
                </w:tcPr>
                <w:p w14:paraId="6A0B22D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391A5AF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796596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35.61</w:t>
                  </w:r>
                </w:p>
              </w:tc>
              <w:tc>
                <w:tcPr>
                  <w:tcW w:w="188" w:type="pct"/>
                  <w:vMerge w:val="restart"/>
                  <w:noWrap w:val="0"/>
                  <w:vAlign w:val="center"/>
                </w:tcPr>
                <w:p w14:paraId="5E1490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42.72</w:t>
                  </w:r>
                </w:p>
              </w:tc>
              <w:tc>
                <w:tcPr>
                  <w:tcW w:w="162" w:type="pct"/>
                  <w:vMerge w:val="restart"/>
                  <w:noWrap w:val="0"/>
                  <w:vAlign w:val="center"/>
                </w:tcPr>
                <w:p w14:paraId="37955C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35.03</w:t>
                  </w:r>
                </w:p>
              </w:tc>
              <w:tc>
                <w:tcPr>
                  <w:tcW w:w="183" w:type="pct"/>
                  <w:vMerge w:val="restart"/>
                  <w:noWrap w:val="0"/>
                  <w:vAlign w:val="center"/>
                </w:tcPr>
                <w:p w14:paraId="093BB8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35.46</w:t>
                  </w:r>
                </w:p>
              </w:tc>
              <w:tc>
                <w:tcPr>
                  <w:tcW w:w="189" w:type="pct"/>
                  <w:vMerge w:val="restart"/>
                  <w:noWrap w:val="0"/>
                  <w:vAlign w:val="center"/>
                </w:tcPr>
                <w:p w14:paraId="597B53E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245B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461CD2F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343737B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02DD6D6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39E7B27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561AC4D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1F91C62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749C06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1D0B3B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2D98643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20D3CC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54135B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6E662A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6BDADB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69F2F4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22A16E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54B693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15D90F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05787E2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38DF0A8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76A9D5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1792E1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15A59D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7A3EA4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0809913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3B42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37FFD93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w:t>
                  </w:r>
                </w:p>
              </w:tc>
              <w:tc>
                <w:tcPr>
                  <w:tcW w:w="177" w:type="pct"/>
                  <w:vMerge w:val="continue"/>
                  <w:noWrap w:val="0"/>
                  <w:vAlign w:val="center"/>
                </w:tcPr>
                <w:p w14:paraId="2C2D08E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749A96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注塑机6</w:t>
                  </w:r>
                </w:p>
              </w:tc>
              <w:tc>
                <w:tcPr>
                  <w:tcW w:w="252" w:type="pct"/>
                  <w:vMerge w:val="restart"/>
                  <w:noWrap w:val="0"/>
                  <w:vAlign w:val="center"/>
                </w:tcPr>
                <w:p w14:paraId="0D92CCC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KY600</w:t>
                  </w:r>
                </w:p>
              </w:tc>
              <w:tc>
                <w:tcPr>
                  <w:tcW w:w="282" w:type="pct"/>
                  <w:vMerge w:val="restart"/>
                  <w:noWrap w:val="0"/>
                  <w:vAlign w:val="center"/>
                </w:tcPr>
                <w:p w14:paraId="04080F5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4113178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6CA450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-20.01</w:t>
                  </w:r>
                </w:p>
              </w:tc>
              <w:tc>
                <w:tcPr>
                  <w:tcW w:w="239" w:type="pct"/>
                  <w:vMerge w:val="restart"/>
                  <w:noWrap w:val="0"/>
                  <w:vAlign w:val="center"/>
                </w:tcPr>
                <w:p w14:paraId="43B64B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-1.41</w:t>
                  </w:r>
                </w:p>
              </w:tc>
              <w:tc>
                <w:tcPr>
                  <w:tcW w:w="172" w:type="pct"/>
                  <w:vMerge w:val="restart"/>
                  <w:noWrap w:val="0"/>
                  <w:vAlign w:val="center"/>
                </w:tcPr>
                <w:p w14:paraId="169425E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127D49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22.66</w:t>
                  </w:r>
                </w:p>
              </w:tc>
              <w:tc>
                <w:tcPr>
                  <w:tcW w:w="208" w:type="pct"/>
                  <w:vMerge w:val="restart"/>
                  <w:noWrap w:val="0"/>
                  <w:vAlign w:val="center"/>
                </w:tcPr>
                <w:p w14:paraId="0D9FD7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3.76</w:t>
                  </w:r>
                </w:p>
              </w:tc>
              <w:tc>
                <w:tcPr>
                  <w:tcW w:w="193" w:type="pct"/>
                  <w:vMerge w:val="restart"/>
                  <w:noWrap w:val="0"/>
                  <w:vAlign w:val="center"/>
                </w:tcPr>
                <w:p w14:paraId="647793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54.16</w:t>
                  </w:r>
                </w:p>
              </w:tc>
              <w:tc>
                <w:tcPr>
                  <w:tcW w:w="219" w:type="pct"/>
                  <w:vMerge w:val="restart"/>
                  <w:noWrap w:val="0"/>
                  <w:vAlign w:val="center"/>
                </w:tcPr>
                <w:p w14:paraId="7ABBE6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22.19</w:t>
                  </w:r>
                </w:p>
              </w:tc>
              <w:tc>
                <w:tcPr>
                  <w:tcW w:w="173" w:type="pct"/>
                  <w:vMerge w:val="restart"/>
                  <w:noWrap w:val="0"/>
                  <w:vAlign w:val="center"/>
                </w:tcPr>
                <w:p w14:paraId="6F0D11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51.45</w:t>
                  </w:r>
                </w:p>
              </w:tc>
              <w:tc>
                <w:tcPr>
                  <w:tcW w:w="198" w:type="pct"/>
                  <w:vMerge w:val="restart"/>
                  <w:noWrap w:val="0"/>
                  <w:vAlign w:val="center"/>
                </w:tcPr>
                <w:p w14:paraId="349C83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58.37</w:t>
                  </w:r>
                </w:p>
              </w:tc>
              <w:tc>
                <w:tcPr>
                  <w:tcW w:w="167" w:type="pct"/>
                  <w:vMerge w:val="restart"/>
                  <w:noWrap w:val="0"/>
                  <w:vAlign w:val="center"/>
                </w:tcPr>
                <w:p w14:paraId="7824E5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51.03</w:t>
                  </w:r>
                </w:p>
              </w:tc>
              <w:tc>
                <w:tcPr>
                  <w:tcW w:w="194" w:type="pct"/>
                  <w:vMerge w:val="restart"/>
                  <w:noWrap w:val="0"/>
                  <w:vAlign w:val="center"/>
                </w:tcPr>
                <w:p w14:paraId="5AA0E0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51.47</w:t>
                  </w:r>
                </w:p>
              </w:tc>
              <w:tc>
                <w:tcPr>
                  <w:tcW w:w="183" w:type="pct"/>
                  <w:noWrap w:val="0"/>
                  <w:vAlign w:val="center"/>
                </w:tcPr>
                <w:p w14:paraId="6F10270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2F304A8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3D608A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35.45</w:t>
                  </w:r>
                </w:p>
              </w:tc>
              <w:tc>
                <w:tcPr>
                  <w:tcW w:w="188" w:type="pct"/>
                  <w:vMerge w:val="restart"/>
                  <w:noWrap w:val="0"/>
                  <w:vAlign w:val="center"/>
                </w:tcPr>
                <w:p w14:paraId="4315A7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42.37</w:t>
                  </w:r>
                </w:p>
              </w:tc>
              <w:tc>
                <w:tcPr>
                  <w:tcW w:w="162" w:type="pct"/>
                  <w:vMerge w:val="restart"/>
                  <w:noWrap w:val="0"/>
                  <w:vAlign w:val="center"/>
                </w:tcPr>
                <w:p w14:paraId="1C93B2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35.03</w:t>
                  </w:r>
                </w:p>
              </w:tc>
              <w:tc>
                <w:tcPr>
                  <w:tcW w:w="183" w:type="pct"/>
                  <w:vMerge w:val="restart"/>
                  <w:noWrap w:val="0"/>
                  <w:vAlign w:val="center"/>
                </w:tcPr>
                <w:p w14:paraId="156695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35.47</w:t>
                  </w:r>
                </w:p>
              </w:tc>
              <w:tc>
                <w:tcPr>
                  <w:tcW w:w="189" w:type="pct"/>
                  <w:vMerge w:val="restart"/>
                  <w:noWrap w:val="0"/>
                  <w:vAlign w:val="center"/>
                </w:tcPr>
                <w:p w14:paraId="4A58645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7E62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63C3F47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64F0942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399E7FD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22BA39D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4B781D9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78FAFE8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181AF2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6FA5CB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35CB4A0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548373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36DF91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13516B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6495FB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706103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6F8250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087898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36C865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1323BC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1E8927F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21DF12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1C097B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75AA91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044A80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056BDB3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612A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5537A5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w:t>
                  </w:r>
                </w:p>
              </w:tc>
              <w:tc>
                <w:tcPr>
                  <w:tcW w:w="177" w:type="pct"/>
                  <w:vMerge w:val="continue"/>
                  <w:noWrap w:val="0"/>
                  <w:vAlign w:val="center"/>
                </w:tcPr>
                <w:p w14:paraId="3C87B71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784C557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注塑机7</w:t>
                  </w:r>
                </w:p>
              </w:tc>
              <w:tc>
                <w:tcPr>
                  <w:tcW w:w="252" w:type="pct"/>
                  <w:vMerge w:val="restart"/>
                  <w:noWrap w:val="0"/>
                  <w:vAlign w:val="center"/>
                </w:tcPr>
                <w:p w14:paraId="2C267FE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KY600</w:t>
                  </w:r>
                </w:p>
              </w:tc>
              <w:tc>
                <w:tcPr>
                  <w:tcW w:w="282" w:type="pct"/>
                  <w:vMerge w:val="restart"/>
                  <w:noWrap w:val="0"/>
                  <w:vAlign w:val="center"/>
                </w:tcPr>
                <w:p w14:paraId="2370A3F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6770D20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336695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-17.24</w:t>
                  </w:r>
                </w:p>
              </w:tc>
              <w:tc>
                <w:tcPr>
                  <w:tcW w:w="239" w:type="pct"/>
                  <w:vMerge w:val="restart"/>
                  <w:noWrap w:val="0"/>
                  <w:vAlign w:val="center"/>
                </w:tcPr>
                <w:p w14:paraId="73E336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-3.53</w:t>
                  </w:r>
                </w:p>
              </w:tc>
              <w:tc>
                <w:tcPr>
                  <w:tcW w:w="172" w:type="pct"/>
                  <w:vMerge w:val="restart"/>
                  <w:noWrap w:val="0"/>
                  <w:vAlign w:val="center"/>
                </w:tcPr>
                <w:p w14:paraId="7BDAD1C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544A91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26.10</w:t>
                  </w:r>
                </w:p>
              </w:tc>
              <w:tc>
                <w:tcPr>
                  <w:tcW w:w="208" w:type="pct"/>
                  <w:vMerge w:val="restart"/>
                  <w:noWrap w:val="0"/>
                  <w:vAlign w:val="center"/>
                </w:tcPr>
                <w:p w14:paraId="665ECA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3.05</w:t>
                  </w:r>
                </w:p>
              </w:tc>
              <w:tc>
                <w:tcPr>
                  <w:tcW w:w="193" w:type="pct"/>
                  <w:vMerge w:val="restart"/>
                  <w:noWrap w:val="0"/>
                  <w:vAlign w:val="center"/>
                </w:tcPr>
                <w:p w14:paraId="310893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50.73</w:t>
                  </w:r>
                </w:p>
              </w:tc>
              <w:tc>
                <w:tcPr>
                  <w:tcW w:w="219" w:type="pct"/>
                  <w:vMerge w:val="restart"/>
                  <w:noWrap w:val="0"/>
                  <w:vAlign w:val="center"/>
                </w:tcPr>
                <w:p w14:paraId="1865E5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22.90</w:t>
                  </w:r>
                </w:p>
              </w:tc>
              <w:tc>
                <w:tcPr>
                  <w:tcW w:w="173" w:type="pct"/>
                  <w:vMerge w:val="restart"/>
                  <w:noWrap w:val="0"/>
                  <w:vAlign w:val="center"/>
                </w:tcPr>
                <w:p w14:paraId="55C8E5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51.33</w:t>
                  </w:r>
                </w:p>
              </w:tc>
              <w:tc>
                <w:tcPr>
                  <w:tcW w:w="198" w:type="pct"/>
                  <w:vMerge w:val="restart"/>
                  <w:noWrap w:val="0"/>
                  <w:vAlign w:val="center"/>
                </w:tcPr>
                <w:p w14:paraId="253F0B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59.91</w:t>
                  </w:r>
                </w:p>
              </w:tc>
              <w:tc>
                <w:tcPr>
                  <w:tcW w:w="167" w:type="pct"/>
                  <w:vMerge w:val="restart"/>
                  <w:noWrap w:val="0"/>
                  <w:vAlign w:val="center"/>
                </w:tcPr>
                <w:p w14:paraId="7E5E7C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51.05</w:t>
                  </w:r>
                </w:p>
              </w:tc>
              <w:tc>
                <w:tcPr>
                  <w:tcW w:w="194" w:type="pct"/>
                  <w:vMerge w:val="restart"/>
                  <w:noWrap w:val="0"/>
                  <w:vAlign w:val="center"/>
                </w:tcPr>
                <w:p w14:paraId="77BF41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51.44</w:t>
                  </w:r>
                </w:p>
              </w:tc>
              <w:tc>
                <w:tcPr>
                  <w:tcW w:w="183" w:type="pct"/>
                  <w:noWrap w:val="0"/>
                  <w:vAlign w:val="center"/>
                </w:tcPr>
                <w:p w14:paraId="4282530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3DB5A85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5E3771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35.33</w:t>
                  </w:r>
                </w:p>
              </w:tc>
              <w:tc>
                <w:tcPr>
                  <w:tcW w:w="188" w:type="pct"/>
                  <w:vMerge w:val="restart"/>
                  <w:noWrap w:val="0"/>
                  <w:vAlign w:val="center"/>
                </w:tcPr>
                <w:p w14:paraId="5E14D2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43.91</w:t>
                  </w:r>
                </w:p>
              </w:tc>
              <w:tc>
                <w:tcPr>
                  <w:tcW w:w="162" w:type="pct"/>
                  <w:vMerge w:val="restart"/>
                  <w:noWrap w:val="0"/>
                  <w:vAlign w:val="center"/>
                </w:tcPr>
                <w:p w14:paraId="2FC8C7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35.05</w:t>
                  </w:r>
                </w:p>
              </w:tc>
              <w:tc>
                <w:tcPr>
                  <w:tcW w:w="183" w:type="pct"/>
                  <w:vMerge w:val="restart"/>
                  <w:noWrap w:val="0"/>
                  <w:vAlign w:val="center"/>
                </w:tcPr>
                <w:p w14:paraId="69EA6A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35.44</w:t>
                  </w:r>
                </w:p>
              </w:tc>
              <w:tc>
                <w:tcPr>
                  <w:tcW w:w="189" w:type="pct"/>
                  <w:vMerge w:val="restart"/>
                  <w:noWrap w:val="0"/>
                  <w:vAlign w:val="center"/>
                </w:tcPr>
                <w:p w14:paraId="276BC04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668B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41B9CD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18A4942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422A7A8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35AF549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4A64C22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69B8C35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7ED85C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278FE5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7C59CD3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16D23F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4D0F39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314B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76BF13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21DDAA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182B16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40F254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09D826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76E6599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0A24441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294BB3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776904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02BD1B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254B1D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1A4D8F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r>
            <w:tr w14:paraId="7487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6AB1633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9</w:t>
                  </w:r>
                </w:p>
              </w:tc>
              <w:tc>
                <w:tcPr>
                  <w:tcW w:w="177" w:type="pct"/>
                  <w:vMerge w:val="continue"/>
                  <w:noWrap w:val="0"/>
                  <w:vAlign w:val="center"/>
                </w:tcPr>
                <w:p w14:paraId="263BCC6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635435A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注塑机8</w:t>
                  </w:r>
                </w:p>
              </w:tc>
              <w:tc>
                <w:tcPr>
                  <w:tcW w:w="252" w:type="pct"/>
                  <w:vMerge w:val="restart"/>
                  <w:noWrap w:val="0"/>
                  <w:vAlign w:val="center"/>
                </w:tcPr>
                <w:p w14:paraId="1D12218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KY600</w:t>
                  </w:r>
                </w:p>
              </w:tc>
              <w:tc>
                <w:tcPr>
                  <w:tcW w:w="282" w:type="pct"/>
                  <w:vMerge w:val="restart"/>
                  <w:noWrap w:val="0"/>
                  <w:vAlign w:val="center"/>
                </w:tcPr>
                <w:p w14:paraId="50E192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2AD6696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2B77FD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-14.8</w:t>
                  </w:r>
                </w:p>
              </w:tc>
              <w:tc>
                <w:tcPr>
                  <w:tcW w:w="239" w:type="pct"/>
                  <w:vMerge w:val="restart"/>
                  <w:noWrap w:val="0"/>
                  <w:vAlign w:val="center"/>
                </w:tcPr>
                <w:p w14:paraId="73DB22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-4.51</w:t>
                  </w:r>
                </w:p>
              </w:tc>
              <w:tc>
                <w:tcPr>
                  <w:tcW w:w="172" w:type="pct"/>
                  <w:vMerge w:val="restart"/>
                  <w:noWrap w:val="0"/>
                  <w:vAlign w:val="center"/>
                </w:tcPr>
                <w:p w14:paraId="2E86D6B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768389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28.72</w:t>
                  </w:r>
                </w:p>
              </w:tc>
              <w:tc>
                <w:tcPr>
                  <w:tcW w:w="208" w:type="pct"/>
                  <w:vMerge w:val="restart"/>
                  <w:noWrap w:val="0"/>
                  <w:vAlign w:val="center"/>
                </w:tcPr>
                <w:p w14:paraId="63A365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3.23</w:t>
                  </w:r>
                </w:p>
              </w:tc>
              <w:tc>
                <w:tcPr>
                  <w:tcW w:w="193" w:type="pct"/>
                  <w:vMerge w:val="restart"/>
                  <w:noWrap w:val="0"/>
                  <w:vAlign w:val="center"/>
                </w:tcPr>
                <w:p w14:paraId="7E8F26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48.11</w:t>
                  </w:r>
                </w:p>
              </w:tc>
              <w:tc>
                <w:tcPr>
                  <w:tcW w:w="219" w:type="pct"/>
                  <w:vMerge w:val="restart"/>
                  <w:noWrap w:val="0"/>
                  <w:vAlign w:val="center"/>
                </w:tcPr>
                <w:p w14:paraId="7462BD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22.73</w:t>
                  </w:r>
                </w:p>
              </w:tc>
              <w:tc>
                <w:tcPr>
                  <w:tcW w:w="173" w:type="pct"/>
                  <w:vMerge w:val="restart"/>
                  <w:noWrap w:val="0"/>
                  <w:vAlign w:val="center"/>
                </w:tcPr>
                <w:p w14:paraId="47DBA9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51.27</w:t>
                  </w:r>
                </w:p>
              </w:tc>
              <w:tc>
                <w:tcPr>
                  <w:tcW w:w="198" w:type="pct"/>
                  <w:vMerge w:val="restart"/>
                  <w:noWrap w:val="0"/>
                  <w:vAlign w:val="center"/>
                </w:tcPr>
                <w:p w14:paraId="51ABE0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59.48</w:t>
                  </w:r>
                </w:p>
              </w:tc>
              <w:tc>
                <w:tcPr>
                  <w:tcW w:w="167" w:type="pct"/>
                  <w:vMerge w:val="restart"/>
                  <w:noWrap w:val="0"/>
                  <w:vAlign w:val="center"/>
                </w:tcPr>
                <w:p w14:paraId="7C822B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51.06</w:t>
                  </w:r>
                </w:p>
              </w:tc>
              <w:tc>
                <w:tcPr>
                  <w:tcW w:w="194" w:type="pct"/>
                  <w:vMerge w:val="restart"/>
                  <w:noWrap w:val="0"/>
                  <w:vAlign w:val="center"/>
                </w:tcPr>
                <w:p w14:paraId="7B3AFA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51.45</w:t>
                  </w:r>
                </w:p>
              </w:tc>
              <w:tc>
                <w:tcPr>
                  <w:tcW w:w="183" w:type="pct"/>
                  <w:noWrap w:val="0"/>
                  <w:vAlign w:val="center"/>
                </w:tcPr>
                <w:p w14:paraId="6CF0E14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3C9BEE3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161004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35.27</w:t>
                  </w:r>
                </w:p>
              </w:tc>
              <w:tc>
                <w:tcPr>
                  <w:tcW w:w="188" w:type="pct"/>
                  <w:vMerge w:val="restart"/>
                  <w:noWrap w:val="0"/>
                  <w:vAlign w:val="center"/>
                </w:tcPr>
                <w:p w14:paraId="09F898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43.48</w:t>
                  </w:r>
                </w:p>
              </w:tc>
              <w:tc>
                <w:tcPr>
                  <w:tcW w:w="162" w:type="pct"/>
                  <w:vMerge w:val="restart"/>
                  <w:noWrap w:val="0"/>
                  <w:vAlign w:val="center"/>
                </w:tcPr>
                <w:p w14:paraId="0AF34A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35.06</w:t>
                  </w:r>
                </w:p>
              </w:tc>
              <w:tc>
                <w:tcPr>
                  <w:tcW w:w="183" w:type="pct"/>
                  <w:vMerge w:val="restart"/>
                  <w:noWrap w:val="0"/>
                  <w:vAlign w:val="center"/>
                </w:tcPr>
                <w:p w14:paraId="7D4D80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35.45</w:t>
                  </w:r>
                </w:p>
              </w:tc>
              <w:tc>
                <w:tcPr>
                  <w:tcW w:w="189" w:type="pct"/>
                  <w:vMerge w:val="restart"/>
                  <w:noWrap w:val="0"/>
                  <w:vAlign w:val="center"/>
                </w:tcPr>
                <w:p w14:paraId="4EE9B49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6E4C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5C6A19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5CD742C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50481D3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0FC22D71">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305DDC3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19BFABD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2F9BEB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1D82FD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09F25AE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44AF2B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4FBA28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1DFDC7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63AB5C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086E5F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49F34E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73DA5E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6382DE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7873E44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367916D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1FF157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22E234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24FA3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1EE17B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17F1A48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7E31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6A1F7A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10</w:t>
                  </w:r>
                </w:p>
              </w:tc>
              <w:tc>
                <w:tcPr>
                  <w:tcW w:w="177" w:type="pct"/>
                  <w:vMerge w:val="continue"/>
                  <w:noWrap w:val="0"/>
                  <w:vAlign w:val="center"/>
                </w:tcPr>
                <w:p w14:paraId="452E3A0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5591ACD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上料机1</w:t>
                  </w:r>
                </w:p>
              </w:tc>
              <w:tc>
                <w:tcPr>
                  <w:tcW w:w="252" w:type="pct"/>
                  <w:vMerge w:val="restart"/>
                  <w:noWrap w:val="0"/>
                  <w:vAlign w:val="center"/>
                </w:tcPr>
                <w:p w14:paraId="20F871E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0B37E1C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0410268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5B957B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-35.16</w:t>
                  </w:r>
                </w:p>
              </w:tc>
              <w:tc>
                <w:tcPr>
                  <w:tcW w:w="239" w:type="pct"/>
                  <w:vMerge w:val="restart"/>
                  <w:noWrap w:val="0"/>
                  <w:vAlign w:val="center"/>
                </w:tcPr>
                <w:p w14:paraId="0FB2F7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4.13</w:t>
                  </w:r>
                </w:p>
              </w:tc>
              <w:tc>
                <w:tcPr>
                  <w:tcW w:w="172" w:type="pct"/>
                  <w:vMerge w:val="restart"/>
                  <w:noWrap w:val="0"/>
                  <w:vAlign w:val="center"/>
                </w:tcPr>
                <w:p w14:paraId="64253C2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19DBDC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6.67</w:t>
                  </w:r>
                </w:p>
              </w:tc>
              <w:tc>
                <w:tcPr>
                  <w:tcW w:w="208" w:type="pct"/>
                  <w:vMerge w:val="restart"/>
                  <w:noWrap w:val="0"/>
                  <w:vAlign w:val="center"/>
                </w:tcPr>
                <w:p w14:paraId="3C2CA4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2.16</w:t>
                  </w:r>
                </w:p>
              </w:tc>
              <w:tc>
                <w:tcPr>
                  <w:tcW w:w="193" w:type="pct"/>
                  <w:vMerge w:val="restart"/>
                  <w:noWrap w:val="0"/>
                  <w:vAlign w:val="center"/>
                </w:tcPr>
                <w:p w14:paraId="0CB57C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70.17</w:t>
                  </w:r>
                </w:p>
              </w:tc>
              <w:tc>
                <w:tcPr>
                  <w:tcW w:w="219" w:type="pct"/>
                  <w:vMerge w:val="restart"/>
                  <w:noWrap w:val="0"/>
                  <w:vAlign w:val="center"/>
                </w:tcPr>
                <w:p w14:paraId="1A85D1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23.77</w:t>
                  </w:r>
                </w:p>
              </w:tc>
              <w:tc>
                <w:tcPr>
                  <w:tcW w:w="173" w:type="pct"/>
                  <w:vMerge w:val="restart"/>
                  <w:noWrap w:val="0"/>
                  <w:vAlign w:val="center"/>
                </w:tcPr>
                <w:p w14:paraId="41EFB6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49.82</w:t>
                  </w:r>
                </w:p>
              </w:tc>
              <w:tc>
                <w:tcPr>
                  <w:tcW w:w="198" w:type="pct"/>
                  <w:vMerge w:val="restart"/>
                  <w:noWrap w:val="0"/>
                  <w:vAlign w:val="center"/>
                </w:tcPr>
                <w:p w14:paraId="448195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57.62</w:t>
                  </w:r>
                </w:p>
              </w:tc>
              <w:tc>
                <w:tcPr>
                  <w:tcW w:w="167" w:type="pct"/>
                  <w:vMerge w:val="restart"/>
                  <w:noWrap w:val="0"/>
                  <w:vAlign w:val="center"/>
                </w:tcPr>
                <w:p w14:paraId="7DC6B3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46.00</w:t>
                  </w:r>
                </w:p>
              </w:tc>
              <w:tc>
                <w:tcPr>
                  <w:tcW w:w="194" w:type="pct"/>
                  <w:vMerge w:val="restart"/>
                  <w:noWrap w:val="0"/>
                  <w:vAlign w:val="center"/>
                </w:tcPr>
                <w:p w14:paraId="60563A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46.41</w:t>
                  </w:r>
                </w:p>
              </w:tc>
              <w:tc>
                <w:tcPr>
                  <w:tcW w:w="183" w:type="pct"/>
                  <w:noWrap w:val="0"/>
                  <w:vAlign w:val="center"/>
                </w:tcPr>
                <w:p w14:paraId="7C63327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4C818E9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1D507D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33.82</w:t>
                  </w:r>
                </w:p>
              </w:tc>
              <w:tc>
                <w:tcPr>
                  <w:tcW w:w="188" w:type="pct"/>
                  <w:vMerge w:val="restart"/>
                  <w:noWrap w:val="0"/>
                  <w:vAlign w:val="center"/>
                </w:tcPr>
                <w:p w14:paraId="7422C2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41.62</w:t>
                  </w:r>
                </w:p>
              </w:tc>
              <w:tc>
                <w:tcPr>
                  <w:tcW w:w="162" w:type="pct"/>
                  <w:vMerge w:val="restart"/>
                  <w:noWrap w:val="0"/>
                  <w:vAlign w:val="center"/>
                </w:tcPr>
                <w:p w14:paraId="4C6B15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183" w:type="pct"/>
                  <w:vMerge w:val="restart"/>
                  <w:noWrap w:val="0"/>
                  <w:vAlign w:val="center"/>
                </w:tcPr>
                <w:p w14:paraId="680139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30.41</w:t>
                  </w:r>
                </w:p>
              </w:tc>
              <w:tc>
                <w:tcPr>
                  <w:tcW w:w="189" w:type="pct"/>
                  <w:vMerge w:val="restart"/>
                  <w:noWrap w:val="0"/>
                  <w:vAlign w:val="center"/>
                </w:tcPr>
                <w:p w14:paraId="5147AEB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375B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654F66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585410A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2FA3E4D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7D6E063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5335CDA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058C08A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1AD169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5F8473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532F956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73E0EA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54B640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55860F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41961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6781A2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68D95B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55DDAC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3A54AB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3C01AA9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7A63874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1E107C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04EA18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074BD6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0A8F94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0D7D758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2740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671AEC9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11</w:t>
                  </w:r>
                </w:p>
              </w:tc>
              <w:tc>
                <w:tcPr>
                  <w:tcW w:w="177" w:type="pct"/>
                  <w:vMerge w:val="continue"/>
                  <w:noWrap w:val="0"/>
                  <w:vAlign w:val="center"/>
                </w:tcPr>
                <w:p w14:paraId="301A1ED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243FCF4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上料机2</w:t>
                  </w:r>
                </w:p>
              </w:tc>
              <w:tc>
                <w:tcPr>
                  <w:tcW w:w="252" w:type="pct"/>
                  <w:vMerge w:val="restart"/>
                  <w:noWrap w:val="0"/>
                  <w:vAlign w:val="center"/>
                </w:tcPr>
                <w:p w14:paraId="67C670D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1EA7C6C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008F3D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6D9327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-31.91</w:t>
                  </w:r>
                </w:p>
              </w:tc>
              <w:tc>
                <w:tcPr>
                  <w:tcW w:w="239" w:type="pct"/>
                  <w:vMerge w:val="restart"/>
                  <w:noWrap w:val="0"/>
                  <w:vAlign w:val="center"/>
                </w:tcPr>
                <w:p w14:paraId="0CCABA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2.66</w:t>
                  </w:r>
                </w:p>
              </w:tc>
              <w:tc>
                <w:tcPr>
                  <w:tcW w:w="172" w:type="pct"/>
                  <w:vMerge w:val="restart"/>
                  <w:noWrap w:val="0"/>
                  <w:vAlign w:val="center"/>
                </w:tcPr>
                <w:p w14:paraId="65D47F9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2586A2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10.23</w:t>
                  </w:r>
                </w:p>
              </w:tc>
              <w:tc>
                <w:tcPr>
                  <w:tcW w:w="208" w:type="pct"/>
                  <w:vMerge w:val="restart"/>
                  <w:noWrap w:val="0"/>
                  <w:vAlign w:val="center"/>
                </w:tcPr>
                <w:p w14:paraId="7BEEB4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2.25</w:t>
                  </w:r>
                </w:p>
              </w:tc>
              <w:tc>
                <w:tcPr>
                  <w:tcW w:w="193" w:type="pct"/>
                  <w:vMerge w:val="restart"/>
                  <w:noWrap w:val="0"/>
                  <w:vAlign w:val="center"/>
                </w:tcPr>
                <w:p w14:paraId="212701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66.61</w:t>
                  </w:r>
                </w:p>
              </w:tc>
              <w:tc>
                <w:tcPr>
                  <w:tcW w:w="219" w:type="pct"/>
                  <w:vMerge w:val="restart"/>
                  <w:noWrap w:val="0"/>
                  <w:vAlign w:val="center"/>
                </w:tcPr>
                <w:p w14:paraId="4330AB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23.69</w:t>
                  </w:r>
                </w:p>
              </w:tc>
              <w:tc>
                <w:tcPr>
                  <w:tcW w:w="173" w:type="pct"/>
                  <w:vMerge w:val="restart"/>
                  <w:noWrap w:val="0"/>
                  <w:vAlign w:val="center"/>
                </w:tcPr>
                <w:p w14:paraId="1BC001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48.02</w:t>
                  </w:r>
                </w:p>
              </w:tc>
              <w:tc>
                <w:tcPr>
                  <w:tcW w:w="198" w:type="pct"/>
                  <w:vMerge w:val="restart"/>
                  <w:noWrap w:val="0"/>
                  <w:vAlign w:val="center"/>
                </w:tcPr>
                <w:p w14:paraId="1224CC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57.29</w:t>
                  </w:r>
                </w:p>
              </w:tc>
              <w:tc>
                <w:tcPr>
                  <w:tcW w:w="167" w:type="pct"/>
                  <w:vMerge w:val="restart"/>
                  <w:noWrap w:val="0"/>
                  <w:vAlign w:val="center"/>
                </w:tcPr>
                <w:p w14:paraId="3101A4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46.00</w:t>
                  </w:r>
                </w:p>
              </w:tc>
              <w:tc>
                <w:tcPr>
                  <w:tcW w:w="194" w:type="pct"/>
                  <w:vMerge w:val="restart"/>
                  <w:noWrap w:val="0"/>
                  <w:vAlign w:val="center"/>
                </w:tcPr>
                <w:p w14:paraId="3E13B9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46.41</w:t>
                  </w:r>
                </w:p>
              </w:tc>
              <w:tc>
                <w:tcPr>
                  <w:tcW w:w="183" w:type="pct"/>
                  <w:noWrap w:val="0"/>
                  <w:vAlign w:val="center"/>
                </w:tcPr>
                <w:p w14:paraId="5CE2E0F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noWrap w:val="0"/>
                  <w:vAlign w:val="center"/>
                </w:tcPr>
                <w:p w14:paraId="3979958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5794DC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32.02</w:t>
                  </w:r>
                </w:p>
              </w:tc>
              <w:tc>
                <w:tcPr>
                  <w:tcW w:w="188" w:type="pct"/>
                  <w:vMerge w:val="restart"/>
                  <w:noWrap w:val="0"/>
                  <w:vAlign w:val="center"/>
                </w:tcPr>
                <w:p w14:paraId="25C887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41.29</w:t>
                  </w:r>
                </w:p>
              </w:tc>
              <w:tc>
                <w:tcPr>
                  <w:tcW w:w="162" w:type="pct"/>
                  <w:vMerge w:val="restart"/>
                  <w:noWrap w:val="0"/>
                  <w:vAlign w:val="center"/>
                </w:tcPr>
                <w:p w14:paraId="74886D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183" w:type="pct"/>
                  <w:vMerge w:val="restart"/>
                  <w:noWrap w:val="0"/>
                  <w:vAlign w:val="center"/>
                </w:tcPr>
                <w:p w14:paraId="69D401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30.41</w:t>
                  </w:r>
                </w:p>
              </w:tc>
              <w:tc>
                <w:tcPr>
                  <w:tcW w:w="189" w:type="pct"/>
                  <w:vMerge w:val="restart"/>
                  <w:noWrap w:val="0"/>
                  <w:vAlign w:val="center"/>
                </w:tcPr>
                <w:p w14:paraId="1E20E9B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78A9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22EF71F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026BB9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42FF16E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21D7F1E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1007D31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1CCAFBE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284167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0CD07D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74365CC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065151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454627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59C3BA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0B0406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7FEE58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5C9767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297ACF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030A1D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774D3D3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noWrap w:val="0"/>
                  <w:vAlign w:val="center"/>
                </w:tcPr>
                <w:p w14:paraId="2698870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10</w:t>
                  </w:r>
                </w:p>
              </w:tc>
              <w:tc>
                <w:tcPr>
                  <w:tcW w:w="167" w:type="pct"/>
                  <w:vMerge w:val="continue"/>
                  <w:noWrap w:val="0"/>
                  <w:vAlign w:val="center"/>
                </w:tcPr>
                <w:p w14:paraId="2E9D0D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2782FA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611757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5A9B8C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4AABC56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6266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78124A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12</w:t>
                  </w:r>
                </w:p>
              </w:tc>
              <w:tc>
                <w:tcPr>
                  <w:tcW w:w="177" w:type="pct"/>
                  <w:vMerge w:val="continue"/>
                  <w:noWrap w:val="0"/>
                  <w:vAlign w:val="center"/>
                </w:tcPr>
                <w:p w14:paraId="52A2F33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07D6DF0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上料机3</w:t>
                  </w:r>
                </w:p>
              </w:tc>
              <w:tc>
                <w:tcPr>
                  <w:tcW w:w="252" w:type="pct"/>
                  <w:vMerge w:val="restart"/>
                  <w:noWrap w:val="0"/>
                  <w:vAlign w:val="center"/>
                </w:tcPr>
                <w:p w14:paraId="0BE67EF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75168FA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3BBF6A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5B40D4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-29.14</w:t>
                  </w:r>
                </w:p>
              </w:tc>
              <w:tc>
                <w:tcPr>
                  <w:tcW w:w="239" w:type="pct"/>
                  <w:vMerge w:val="restart"/>
                  <w:noWrap w:val="0"/>
                  <w:vAlign w:val="center"/>
                </w:tcPr>
                <w:p w14:paraId="0EC2AC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1.03</w:t>
                  </w:r>
                </w:p>
              </w:tc>
              <w:tc>
                <w:tcPr>
                  <w:tcW w:w="172" w:type="pct"/>
                  <w:vMerge w:val="restart"/>
                  <w:noWrap w:val="0"/>
                  <w:vAlign w:val="center"/>
                </w:tcPr>
                <w:p w14:paraId="29DFE02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4AD376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13.44</w:t>
                  </w:r>
                </w:p>
              </w:tc>
              <w:tc>
                <w:tcPr>
                  <w:tcW w:w="208" w:type="pct"/>
                  <w:noWrap w:val="0"/>
                  <w:vAlign w:val="center"/>
                </w:tcPr>
                <w:p w14:paraId="207A26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1.99</w:t>
                  </w:r>
                </w:p>
              </w:tc>
              <w:tc>
                <w:tcPr>
                  <w:tcW w:w="193" w:type="pct"/>
                  <w:noWrap w:val="0"/>
                  <w:vAlign w:val="center"/>
                </w:tcPr>
                <w:p w14:paraId="21443A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63.40</w:t>
                  </w:r>
                </w:p>
              </w:tc>
              <w:tc>
                <w:tcPr>
                  <w:tcW w:w="219" w:type="pct"/>
                  <w:noWrap w:val="0"/>
                  <w:vAlign w:val="center"/>
                </w:tcPr>
                <w:p w14:paraId="453231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23.95</w:t>
                  </w:r>
                </w:p>
              </w:tc>
              <w:tc>
                <w:tcPr>
                  <w:tcW w:w="173" w:type="pct"/>
                  <w:noWrap w:val="0"/>
                  <w:vAlign w:val="center"/>
                </w:tcPr>
                <w:p w14:paraId="1E7228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47.26</w:t>
                  </w:r>
                </w:p>
              </w:tc>
              <w:tc>
                <w:tcPr>
                  <w:tcW w:w="198" w:type="pct"/>
                  <w:noWrap w:val="0"/>
                  <w:vAlign w:val="center"/>
                </w:tcPr>
                <w:p w14:paraId="749486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58.29</w:t>
                  </w:r>
                </w:p>
              </w:tc>
              <w:tc>
                <w:tcPr>
                  <w:tcW w:w="167" w:type="pct"/>
                  <w:noWrap w:val="0"/>
                  <w:vAlign w:val="center"/>
                </w:tcPr>
                <w:p w14:paraId="5BF0F0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46.01</w:t>
                  </w:r>
                </w:p>
              </w:tc>
              <w:tc>
                <w:tcPr>
                  <w:tcW w:w="194" w:type="pct"/>
                  <w:noWrap w:val="0"/>
                  <w:vAlign w:val="center"/>
                </w:tcPr>
                <w:p w14:paraId="10EB7A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46.40</w:t>
                  </w:r>
                </w:p>
              </w:tc>
              <w:tc>
                <w:tcPr>
                  <w:tcW w:w="183" w:type="pct"/>
                  <w:noWrap w:val="0"/>
                  <w:vAlign w:val="center"/>
                </w:tcPr>
                <w:p w14:paraId="52EEE20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noWrap w:val="0"/>
                  <w:vAlign w:val="center"/>
                </w:tcPr>
                <w:p w14:paraId="4A9895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noWrap w:val="0"/>
                  <w:vAlign w:val="center"/>
                </w:tcPr>
                <w:p w14:paraId="445C7C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31.26</w:t>
                  </w:r>
                </w:p>
              </w:tc>
              <w:tc>
                <w:tcPr>
                  <w:tcW w:w="188" w:type="pct"/>
                  <w:noWrap w:val="0"/>
                  <w:vAlign w:val="center"/>
                </w:tcPr>
                <w:p w14:paraId="697585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42.29</w:t>
                  </w:r>
                </w:p>
              </w:tc>
              <w:tc>
                <w:tcPr>
                  <w:tcW w:w="162" w:type="pct"/>
                  <w:noWrap w:val="0"/>
                  <w:vAlign w:val="center"/>
                </w:tcPr>
                <w:p w14:paraId="1BB237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30.01</w:t>
                  </w:r>
                </w:p>
              </w:tc>
              <w:tc>
                <w:tcPr>
                  <w:tcW w:w="183" w:type="pct"/>
                  <w:noWrap w:val="0"/>
                  <w:vAlign w:val="center"/>
                </w:tcPr>
                <w:p w14:paraId="5674C3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30.40</w:t>
                  </w:r>
                </w:p>
              </w:tc>
              <w:tc>
                <w:tcPr>
                  <w:tcW w:w="189" w:type="pct"/>
                  <w:noWrap w:val="0"/>
                  <w:vAlign w:val="center"/>
                </w:tcPr>
                <w:p w14:paraId="246AD70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0E98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6C1E0B1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2AC48B2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7B0E7BD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19E35BC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6BA878B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67AC27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71A2DE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7CD2E2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4785CF0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28B23F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noWrap w:val="0"/>
                  <w:vAlign w:val="center"/>
                </w:tcPr>
                <w:p w14:paraId="2CAAFB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noWrap w:val="0"/>
                  <w:vAlign w:val="center"/>
                </w:tcPr>
                <w:p w14:paraId="2F5011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noWrap w:val="0"/>
                  <w:vAlign w:val="center"/>
                </w:tcPr>
                <w:p w14:paraId="000A0F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noWrap w:val="0"/>
                  <w:vAlign w:val="center"/>
                </w:tcPr>
                <w:p w14:paraId="7CDCA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noWrap w:val="0"/>
                  <w:vAlign w:val="center"/>
                </w:tcPr>
                <w:p w14:paraId="16E875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noWrap w:val="0"/>
                  <w:vAlign w:val="center"/>
                </w:tcPr>
                <w:p w14:paraId="621423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noWrap w:val="0"/>
                  <w:vAlign w:val="center"/>
                </w:tcPr>
                <w:p w14:paraId="454AEF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2AC2F90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noWrap w:val="0"/>
                  <w:vAlign w:val="center"/>
                </w:tcPr>
                <w:p w14:paraId="582E139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noWrap w:val="0"/>
                  <w:vAlign w:val="center"/>
                </w:tcPr>
                <w:p w14:paraId="613D8D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noWrap w:val="0"/>
                  <w:vAlign w:val="center"/>
                </w:tcPr>
                <w:p w14:paraId="65F05D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noWrap w:val="0"/>
                  <w:vAlign w:val="center"/>
                </w:tcPr>
                <w:p w14:paraId="556FE8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36D42A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noWrap w:val="0"/>
                  <w:vAlign w:val="center"/>
                </w:tcPr>
                <w:p w14:paraId="520785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0479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0AC557E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13</w:t>
                  </w:r>
                </w:p>
              </w:tc>
              <w:tc>
                <w:tcPr>
                  <w:tcW w:w="177" w:type="pct"/>
                  <w:vMerge w:val="continue"/>
                  <w:noWrap w:val="0"/>
                  <w:vAlign w:val="center"/>
                </w:tcPr>
                <w:p w14:paraId="7F26FEF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0885F5A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上料机4</w:t>
                  </w:r>
                </w:p>
              </w:tc>
              <w:tc>
                <w:tcPr>
                  <w:tcW w:w="252" w:type="pct"/>
                  <w:vMerge w:val="restart"/>
                  <w:noWrap w:val="0"/>
                  <w:vAlign w:val="center"/>
                </w:tcPr>
                <w:p w14:paraId="3352144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35B1D6C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6033680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2799F7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-26.37</w:t>
                  </w:r>
                </w:p>
              </w:tc>
              <w:tc>
                <w:tcPr>
                  <w:tcW w:w="239" w:type="pct"/>
                  <w:vMerge w:val="restart"/>
                  <w:noWrap w:val="0"/>
                  <w:vAlign w:val="center"/>
                </w:tcPr>
                <w:p w14:paraId="606D81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-0.11</w:t>
                  </w:r>
                </w:p>
              </w:tc>
              <w:tc>
                <w:tcPr>
                  <w:tcW w:w="172" w:type="pct"/>
                  <w:vMerge w:val="restart"/>
                  <w:noWrap w:val="0"/>
                  <w:vAlign w:val="center"/>
                </w:tcPr>
                <w:p w14:paraId="6631184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723896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16.42</w:t>
                  </w:r>
                </w:p>
              </w:tc>
              <w:tc>
                <w:tcPr>
                  <w:tcW w:w="208" w:type="pct"/>
                  <w:vMerge w:val="restart"/>
                  <w:noWrap w:val="0"/>
                  <w:vAlign w:val="center"/>
                </w:tcPr>
                <w:p w14:paraId="303F4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2.16</w:t>
                  </w:r>
                </w:p>
              </w:tc>
              <w:tc>
                <w:tcPr>
                  <w:tcW w:w="193" w:type="pct"/>
                  <w:vMerge w:val="restart"/>
                  <w:noWrap w:val="0"/>
                  <w:vAlign w:val="center"/>
                </w:tcPr>
                <w:p w14:paraId="0F3510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60.41</w:t>
                  </w:r>
                </w:p>
              </w:tc>
              <w:tc>
                <w:tcPr>
                  <w:tcW w:w="219" w:type="pct"/>
                  <w:vMerge w:val="restart"/>
                  <w:noWrap w:val="0"/>
                  <w:vAlign w:val="center"/>
                </w:tcPr>
                <w:p w14:paraId="4833A9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23.78</w:t>
                  </w:r>
                </w:p>
              </w:tc>
              <w:tc>
                <w:tcPr>
                  <w:tcW w:w="173" w:type="pct"/>
                  <w:vMerge w:val="restart"/>
                  <w:noWrap w:val="0"/>
                  <w:vAlign w:val="center"/>
                </w:tcPr>
                <w:p w14:paraId="7F417A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46.87</w:t>
                  </w:r>
                </w:p>
              </w:tc>
              <w:tc>
                <w:tcPr>
                  <w:tcW w:w="198" w:type="pct"/>
                  <w:vMerge w:val="restart"/>
                  <w:noWrap w:val="0"/>
                  <w:vAlign w:val="center"/>
                </w:tcPr>
                <w:p w14:paraId="7C5F0D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57.62</w:t>
                  </w:r>
                </w:p>
              </w:tc>
              <w:tc>
                <w:tcPr>
                  <w:tcW w:w="167" w:type="pct"/>
                  <w:vMerge w:val="restart"/>
                  <w:noWrap w:val="0"/>
                  <w:vAlign w:val="center"/>
                </w:tcPr>
                <w:p w14:paraId="31DA0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46.02</w:t>
                  </w:r>
                </w:p>
              </w:tc>
              <w:tc>
                <w:tcPr>
                  <w:tcW w:w="194" w:type="pct"/>
                  <w:vMerge w:val="restart"/>
                  <w:noWrap w:val="0"/>
                  <w:vAlign w:val="center"/>
                </w:tcPr>
                <w:p w14:paraId="495F7C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46.41</w:t>
                  </w:r>
                </w:p>
              </w:tc>
              <w:tc>
                <w:tcPr>
                  <w:tcW w:w="183" w:type="pct"/>
                  <w:noWrap w:val="0"/>
                  <w:vAlign w:val="center"/>
                </w:tcPr>
                <w:p w14:paraId="574AB35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04E1551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265DD2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30.87</w:t>
                  </w:r>
                </w:p>
              </w:tc>
              <w:tc>
                <w:tcPr>
                  <w:tcW w:w="188" w:type="pct"/>
                  <w:vMerge w:val="restart"/>
                  <w:noWrap w:val="0"/>
                  <w:vAlign w:val="center"/>
                </w:tcPr>
                <w:p w14:paraId="314A65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41.62</w:t>
                  </w:r>
                </w:p>
              </w:tc>
              <w:tc>
                <w:tcPr>
                  <w:tcW w:w="162" w:type="pct"/>
                  <w:vMerge w:val="restart"/>
                  <w:noWrap w:val="0"/>
                  <w:vAlign w:val="center"/>
                </w:tcPr>
                <w:p w14:paraId="3182F5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30.02</w:t>
                  </w:r>
                </w:p>
              </w:tc>
              <w:tc>
                <w:tcPr>
                  <w:tcW w:w="183" w:type="pct"/>
                  <w:vMerge w:val="restart"/>
                  <w:noWrap w:val="0"/>
                  <w:vAlign w:val="center"/>
                </w:tcPr>
                <w:p w14:paraId="11C0FB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30.41</w:t>
                  </w:r>
                </w:p>
              </w:tc>
              <w:tc>
                <w:tcPr>
                  <w:tcW w:w="189" w:type="pct"/>
                  <w:vMerge w:val="restart"/>
                  <w:noWrap w:val="0"/>
                  <w:vAlign w:val="center"/>
                </w:tcPr>
                <w:p w14:paraId="79CF93D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0213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16AF6DD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70783A3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542CE8F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43DF67B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75D9899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0B8F24A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26E219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5C8D7E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66A9643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050499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68DC1B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78912B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52874E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5C8A2E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612F51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1F4A9F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7EB062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47E1228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058648F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69A34D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35B568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147AF9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26B4B4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04BCAEA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67DB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57982A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14</w:t>
                  </w:r>
                </w:p>
              </w:tc>
              <w:tc>
                <w:tcPr>
                  <w:tcW w:w="177" w:type="pct"/>
                  <w:vMerge w:val="continue"/>
                  <w:noWrap w:val="0"/>
                  <w:vAlign w:val="center"/>
                </w:tcPr>
                <w:p w14:paraId="03A9AF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042BAD5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上料机5</w:t>
                  </w:r>
                </w:p>
              </w:tc>
              <w:tc>
                <w:tcPr>
                  <w:tcW w:w="252" w:type="pct"/>
                  <w:vMerge w:val="restart"/>
                  <w:noWrap w:val="0"/>
                  <w:vAlign w:val="center"/>
                </w:tcPr>
                <w:p w14:paraId="1B06515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19294A4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20F2CAE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556139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-23.44</w:t>
                  </w:r>
                </w:p>
              </w:tc>
              <w:tc>
                <w:tcPr>
                  <w:tcW w:w="239" w:type="pct"/>
                  <w:vMerge w:val="restart"/>
                  <w:noWrap w:val="0"/>
                  <w:vAlign w:val="center"/>
                </w:tcPr>
                <w:p w14:paraId="352D3B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-1.57</w:t>
                  </w:r>
                </w:p>
              </w:tc>
              <w:tc>
                <w:tcPr>
                  <w:tcW w:w="172" w:type="pct"/>
                  <w:vMerge w:val="restart"/>
                  <w:noWrap w:val="0"/>
                  <w:vAlign w:val="center"/>
                </w:tcPr>
                <w:p w14:paraId="693E4A06">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13370B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19.70</w:t>
                  </w:r>
                </w:p>
              </w:tc>
              <w:tc>
                <w:tcPr>
                  <w:tcW w:w="208" w:type="pct"/>
                  <w:vMerge w:val="restart"/>
                  <w:noWrap w:val="0"/>
                  <w:vAlign w:val="center"/>
                </w:tcPr>
                <w:p w14:paraId="74CDFC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2.12</w:t>
                  </w:r>
                </w:p>
              </w:tc>
              <w:tc>
                <w:tcPr>
                  <w:tcW w:w="193" w:type="pct"/>
                  <w:vMerge w:val="restart"/>
                  <w:noWrap w:val="0"/>
                  <w:vAlign w:val="center"/>
                </w:tcPr>
                <w:p w14:paraId="6EB586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57.14</w:t>
                  </w:r>
                </w:p>
              </w:tc>
              <w:tc>
                <w:tcPr>
                  <w:tcW w:w="219" w:type="pct"/>
                  <w:vMerge w:val="restart"/>
                  <w:noWrap w:val="0"/>
                  <w:vAlign w:val="center"/>
                </w:tcPr>
                <w:p w14:paraId="0CC205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23.82</w:t>
                  </w:r>
                </w:p>
              </w:tc>
              <w:tc>
                <w:tcPr>
                  <w:tcW w:w="173" w:type="pct"/>
                  <w:vMerge w:val="restart"/>
                  <w:noWrap w:val="0"/>
                  <w:vAlign w:val="center"/>
                </w:tcPr>
                <w:p w14:paraId="3E9C36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46.60</w:t>
                  </w:r>
                </w:p>
              </w:tc>
              <w:tc>
                <w:tcPr>
                  <w:tcW w:w="198" w:type="pct"/>
                  <w:vMerge w:val="restart"/>
                  <w:noWrap w:val="0"/>
                  <w:vAlign w:val="center"/>
                </w:tcPr>
                <w:p w14:paraId="568D0C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57.78</w:t>
                  </w:r>
                </w:p>
              </w:tc>
              <w:tc>
                <w:tcPr>
                  <w:tcW w:w="167" w:type="pct"/>
                  <w:vMerge w:val="restart"/>
                  <w:noWrap w:val="0"/>
                  <w:vAlign w:val="center"/>
                </w:tcPr>
                <w:p w14:paraId="55ACE4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46.03</w:t>
                  </w:r>
                </w:p>
              </w:tc>
              <w:tc>
                <w:tcPr>
                  <w:tcW w:w="194" w:type="pct"/>
                  <w:vMerge w:val="restart"/>
                  <w:noWrap w:val="0"/>
                  <w:vAlign w:val="center"/>
                </w:tcPr>
                <w:p w14:paraId="35E3A0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46.41</w:t>
                  </w:r>
                </w:p>
              </w:tc>
              <w:tc>
                <w:tcPr>
                  <w:tcW w:w="183" w:type="pct"/>
                  <w:noWrap w:val="0"/>
                  <w:vAlign w:val="center"/>
                </w:tcPr>
                <w:p w14:paraId="157CDCA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33AC676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39F809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30.60</w:t>
                  </w:r>
                </w:p>
              </w:tc>
              <w:tc>
                <w:tcPr>
                  <w:tcW w:w="188" w:type="pct"/>
                  <w:vMerge w:val="restart"/>
                  <w:noWrap w:val="0"/>
                  <w:vAlign w:val="center"/>
                </w:tcPr>
                <w:p w14:paraId="2289F1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41.78</w:t>
                  </w:r>
                </w:p>
              </w:tc>
              <w:tc>
                <w:tcPr>
                  <w:tcW w:w="162" w:type="pct"/>
                  <w:vMerge w:val="restart"/>
                  <w:noWrap w:val="0"/>
                  <w:vAlign w:val="center"/>
                </w:tcPr>
                <w:p w14:paraId="28FEBD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30.03</w:t>
                  </w:r>
                </w:p>
              </w:tc>
              <w:tc>
                <w:tcPr>
                  <w:tcW w:w="183" w:type="pct"/>
                  <w:vMerge w:val="restart"/>
                  <w:noWrap w:val="0"/>
                  <w:vAlign w:val="center"/>
                </w:tcPr>
                <w:p w14:paraId="750002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30.41</w:t>
                  </w:r>
                </w:p>
              </w:tc>
              <w:tc>
                <w:tcPr>
                  <w:tcW w:w="189" w:type="pct"/>
                  <w:vMerge w:val="restart"/>
                  <w:noWrap w:val="0"/>
                  <w:vAlign w:val="center"/>
                </w:tcPr>
                <w:p w14:paraId="012E621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6956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2E8B0FB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0E279AC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207B377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3753D02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43BC4F60">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7CC0495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59C36A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5ECC46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3CAA974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696D90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5B7EFD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162B6E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53503B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515190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401E4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4280DC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658B65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78F5938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77602A7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6352AD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31EC36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00275F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1CCE70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7DF2A50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1266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62C6ADA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15</w:t>
                  </w:r>
                </w:p>
              </w:tc>
              <w:tc>
                <w:tcPr>
                  <w:tcW w:w="177" w:type="pct"/>
                  <w:vMerge w:val="continue"/>
                  <w:noWrap w:val="0"/>
                  <w:vAlign w:val="center"/>
                </w:tcPr>
                <w:p w14:paraId="60D8B5C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43F1E4C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上料机6</w:t>
                  </w:r>
                </w:p>
              </w:tc>
              <w:tc>
                <w:tcPr>
                  <w:tcW w:w="252" w:type="pct"/>
                  <w:vMerge w:val="restart"/>
                  <w:noWrap w:val="0"/>
                  <w:vAlign w:val="center"/>
                </w:tcPr>
                <w:p w14:paraId="00EEA79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7AC5FF0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3F03D52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68800F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-20.99</w:t>
                  </w:r>
                </w:p>
              </w:tc>
              <w:tc>
                <w:tcPr>
                  <w:tcW w:w="239" w:type="pct"/>
                  <w:vMerge w:val="restart"/>
                  <w:noWrap w:val="0"/>
                  <w:vAlign w:val="center"/>
                </w:tcPr>
                <w:p w14:paraId="3462C2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-2.71</w:t>
                  </w:r>
                </w:p>
              </w:tc>
              <w:tc>
                <w:tcPr>
                  <w:tcW w:w="172" w:type="pct"/>
                  <w:vMerge w:val="restart"/>
                  <w:noWrap w:val="0"/>
                  <w:vAlign w:val="center"/>
                </w:tcPr>
                <w:p w14:paraId="7A4F5B6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31BAAE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22.40</w:t>
                  </w:r>
                </w:p>
              </w:tc>
              <w:tc>
                <w:tcPr>
                  <w:tcW w:w="208" w:type="pct"/>
                  <w:vMerge w:val="restart"/>
                  <w:noWrap w:val="0"/>
                  <w:vAlign w:val="center"/>
                </w:tcPr>
                <w:p w14:paraId="5076F0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2.16</w:t>
                  </w:r>
                </w:p>
              </w:tc>
              <w:tc>
                <w:tcPr>
                  <w:tcW w:w="193" w:type="pct"/>
                  <w:vMerge w:val="restart"/>
                  <w:noWrap w:val="0"/>
                  <w:vAlign w:val="center"/>
                </w:tcPr>
                <w:p w14:paraId="237FAA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54.44</w:t>
                  </w:r>
                </w:p>
              </w:tc>
              <w:tc>
                <w:tcPr>
                  <w:tcW w:w="219" w:type="pct"/>
                  <w:vMerge w:val="restart"/>
                  <w:noWrap w:val="0"/>
                  <w:vAlign w:val="center"/>
                </w:tcPr>
                <w:p w14:paraId="6AC937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23.79</w:t>
                  </w:r>
                </w:p>
              </w:tc>
              <w:tc>
                <w:tcPr>
                  <w:tcW w:w="173" w:type="pct"/>
                  <w:vMerge w:val="restart"/>
                  <w:noWrap w:val="0"/>
                  <w:vAlign w:val="center"/>
                </w:tcPr>
                <w:p w14:paraId="367294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46.46</w:t>
                  </w:r>
                </w:p>
              </w:tc>
              <w:tc>
                <w:tcPr>
                  <w:tcW w:w="198" w:type="pct"/>
                  <w:vMerge w:val="restart"/>
                  <w:noWrap w:val="0"/>
                  <w:vAlign w:val="center"/>
                </w:tcPr>
                <w:p w14:paraId="5A1FA3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57.62</w:t>
                  </w:r>
                </w:p>
              </w:tc>
              <w:tc>
                <w:tcPr>
                  <w:tcW w:w="167" w:type="pct"/>
                  <w:vMerge w:val="restart"/>
                  <w:noWrap w:val="0"/>
                  <w:vAlign w:val="center"/>
                </w:tcPr>
                <w:p w14:paraId="3F37E3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46.03</w:t>
                  </w:r>
                </w:p>
              </w:tc>
              <w:tc>
                <w:tcPr>
                  <w:tcW w:w="194" w:type="pct"/>
                  <w:vMerge w:val="restart"/>
                  <w:noWrap w:val="0"/>
                  <w:vAlign w:val="center"/>
                </w:tcPr>
                <w:p w14:paraId="17C993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46.41</w:t>
                  </w:r>
                </w:p>
              </w:tc>
              <w:tc>
                <w:tcPr>
                  <w:tcW w:w="183" w:type="pct"/>
                  <w:noWrap w:val="0"/>
                  <w:vAlign w:val="center"/>
                </w:tcPr>
                <w:p w14:paraId="02EC422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5DD3235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6CE614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30.46</w:t>
                  </w:r>
                </w:p>
              </w:tc>
              <w:tc>
                <w:tcPr>
                  <w:tcW w:w="188" w:type="pct"/>
                  <w:vMerge w:val="restart"/>
                  <w:noWrap w:val="0"/>
                  <w:vAlign w:val="center"/>
                </w:tcPr>
                <w:p w14:paraId="5F8E81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41.62</w:t>
                  </w:r>
                </w:p>
              </w:tc>
              <w:tc>
                <w:tcPr>
                  <w:tcW w:w="162" w:type="pct"/>
                  <w:vMerge w:val="restart"/>
                  <w:noWrap w:val="0"/>
                  <w:vAlign w:val="center"/>
                </w:tcPr>
                <w:p w14:paraId="794311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30.03</w:t>
                  </w:r>
                </w:p>
              </w:tc>
              <w:tc>
                <w:tcPr>
                  <w:tcW w:w="183" w:type="pct"/>
                  <w:vMerge w:val="restart"/>
                  <w:noWrap w:val="0"/>
                  <w:vAlign w:val="center"/>
                </w:tcPr>
                <w:p w14:paraId="7A7BDC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30.41</w:t>
                  </w:r>
                </w:p>
              </w:tc>
              <w:tc>
                <w:tcPr>
                  <w:tcW w:w="189" w:type="pct"/>
                  <w:vMerge w:val="restart"/>
                  <w:noWrap w:val="0"/>
                  <w:vAlign w:val="center"/>
                </w:tcPr>
                <w:p w14:paraId="7CD1AA8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21FB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4FD792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3C34AFC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2273E88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154474E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653FA1E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0738E8C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6D7D53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6E8419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38F10DD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7E619B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141AF1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2AADF1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03DEE0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2F4BD9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76B4D7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3AB149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52D055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6650059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4C00C49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590819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1B6886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296814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67B799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320C4DD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0330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069E319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16</w:t>
                  </w:r>
                </w:p>
              </w:tc>
              <w:tc>
                <w:tcPr>
                  <w:tcW w:w="177" w:type="pct"/>
                  <w:vMerge w:val="continue"/>
                  <w:noWrap w:val="0"/>
                  <w:vAlign w:val="center"/>
                </w:tcPr>
                <w:p w14:paraId="4FF95F5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3C2C1F1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上料机7</w:t>
                  </w:r>
                </w:p>
              </w:tc>
              <w:tc>
                <w:tcPr>
                  <w:tcW w:w="252" w:type="pct"/>
                  <w:vMerge w:val="restart"/>
                  <w:noWrap w:val="0"/>
                  <w:vAlign w:val="center"/>
                </w:tcPr>
                <w:p w14:paraId="08E51ED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3211FBD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6EB7861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15F917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-17.9</w:t>
                  </w:r>
                </w:p>
              </w:tc>
              <w:tc>
                <w:tcPr>
                  <w:tcW w:w="239" w:type="pct"/>
                  <w:vMerge w:val="restart"/>
                  <w:noWrap w:val="0"/>
                  <w:vAlign w:val="center"/>
                </w:tcPr>
                <w:p w14:paraId="7C3F18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-4.51</w:t>
                  </w:r>
                </w:p>
              </w:tc>
              <w:tc>
                <w:tcPr>
                  <w:tcW w:w="172" w:type="pct"/>
                  <w:vMerge w:val="restart"/>
                  <w:noWrap w:val="0"/>
                  <w:vAlign w:val="center"/>
                </w:tcPr>
                <w:p w14:paraId="2225ED5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753D7F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25.97</w:t>
                  </w:r>
                </w:p>
              </w:tc>
              <w:tc>
                <w:tcPr>
                  <w:tcW w:w="208" w:type="pct"/>
                  <w:vMerge w:val="restart"/>
                  <w:noWrap w:val="0"/>
                  <w:vAlign w:val="center"/>
                </w:tcPr>
                <w:p w14:paraId="391025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1.88</w:t>
                  </w:r>
                </w:p>
              </w:tc>
              <w:tc>
                <w:tcPr>
                  <w:tcW w:w="193" w:type="pct"/>
                  <w:vMerge w:val="restart"/>
                  <w:noWrap w:val="0"/>
                  <w:vAlign w:val="center"/>
                </w:tcPr>
                <w:p w14:paraId="62708E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50.87</w:t>
                  </w:r>
                </w:p>
              </w:tc>
              <w:tc>
                <w:tcPr>
                  <w:tcW w:w="219" w:type="pct"/>
                  <w:vMerge w:val="restart"/>
                  <w:noWrap w:val="0"/>
                  <w:vAlign w:val="center"/>
                </w:tcPr>
                <w:p w14:paraId="6185F9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24.07</w:t>
                  </w:r>
                </w:p>
              </w:tc>
              <w:tc>
                <w:tcPr>
                  <w:tcW w:w="173" w:type="pct"/>
                  <w:vMerge w:val="restart"/>
                  <w:noWrap w:val="0"/>
                  <w:vAlign w:val="center"/>
                </w:tcPr>
                <w:p w14:paraId="2E8A24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46.34</w:t>
                  </w:r>
                </w:p>
              </w:tc>
              <w:tc>
                <w:tcPr>
                  <w:tcW w:w="198" w:type="pct"/>
                  <w:vMerge w:val="restart"/>
                  <w:noWrap w:val="0"/>
                  <w:vAlign w:val="center"/>
                </w:tcPr>
                <w:p w14:paraId="375E0E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58.76</w:t>
                  </w:r>
                </w:p>
              </w:tc>
              <w:tc>
                <w:tcPr>
                  <w:tcW w:w="167" w:type="pct"/>
                  <w:vMerge w:val="restart"/>
                  <w:noWrap w:val="0"/>
                  <w:vAlign w:val="center"/>
                </w:tcPr>
                <w:p w14:paraId="7D3301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46.05</w:t>
                  </w:r>
                </w:p>
              </w:tc>
              <w:tc>
                <w:tcPr>
                  <w:tcW w:w="194" w:type="pct"/>
                  <w:vMerge w:val="restart"/>
                  <w:noWrap w:val="0"/>
                  <w:vAlign w:val="center"/>
                </w:tcPr>
                <w:p w14:paraId="0C622D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46.40</w:t>
                  </w:r>
                </w:p>
              </w:tc>
              <w:tc>
                <w:tcPr>
                  <w:tcW w:w="183" w:type="pct"/>
                  <w:noWrap w:val="0"/>
                  <w:vAlign w:val="center"/>
                </w:tcPr>
                <w:p w14:paraId="09817E8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75B19D1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7EAF4F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30.34</w:t>
                  </w:r>
                </w:p>
              </w:tc>
              <w:tc>
                <w:tcPr>
                  <w:tcW w:w="188" w:type="pct"/>
                  <w:vMerge w:val="restart"/>
                  <w:noWrap w:val="0"/>
                  <w:vAlign w:val="center"/>
                </w:tcPr>
                <w:p w14:paraId="316ACF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42.76</w:t>
                  </w:r>
                </w:p>
              </w:tc>
              <w:tc>
                <w:tcPr>
                  <w:tcW w:w="162" w:type="pct"/>
                  <w:vMerge w:val="restart"/>
                  <w:noWrap w:val="0"/>
                  <w:vAlign w:val="center"/>
                </w:tcPr>
                <w:p w14:paraId="7C57CD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30.05</w:t>
                  </w:r>
                </w:p>
              </w:tc>
              <w:tc>
                <w:tcPr>
                  <w:tcW w:w="183" w:type="pct"/>
                  <w:vMerge w:val="restart"/>
                  <w:noWrap w:val="0"/>
                  <w:vAlign w:val="center"/>
                </w:tcPr>
                <w:p w14:paraId="6437DB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30.40</w:t>
                  </w:r>
                </w:p>
              </w:tc>
              <w:tc>
                <w:tcPr>
                  <w:tcW w:w="189" w:type="pct"/>
                  <w:vMerge w:val="restart"/>
                  <w:noWrap w:val="0"/>
                  <w:vAlign w:val="center"/>
                </w:tcPr>
                <w:p w14:paraId="3FECB84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6C3D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25237A9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25E3579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7380E83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43545F3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7B426D38">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46D87D2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1A98A9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047DAE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3173B26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6E705B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4F82A1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4E342F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4DEB7B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01F7CA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79757F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38736E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2A257B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4FCD8CF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21A2D9F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476C8B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391214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1D5E43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0FA762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7491D3E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2576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2401DD5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17</w:t>
                  </w:r>
                </w:p>
              </w:tc>
              <w:tc>
                <w:tcPr>
                  <w:tcW w:w="177" w:type="pct"/>
                  <w:vMerge w:val="continue"/>
                  <w:noWrap w:val="0"/>
                  <w:vAlign w:val="center"/>
                </w:tcPr>
                <w:p w14:paraId="7585E07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2C1648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上料机8</w:t>
                  </w:r>
                </w:p>
              </w:tc>
              <w:tc>
                <w:tcPr>
                  <w:tcW w:w="252" w:type="pct"/>
                  <w:vMerge w:val="restart"/>
                  <w:noWrap w:val="0"/>
                  <w:vAlign w:val="center"/>
                </w:tcPr>
                <w:p w14:paraId="5C3E9FD5">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LS160</w:t>
                  </w:r>
                </w:p>
              </w:tc>
              <w:tc>
                <w:tcPr>
                  <w:tcW w:w="282" w:type="pct"/>
                  <w:vMerge w:val="restart"/>
                  <w:noWrap w:val="0"/>
                  <w:vAlign w:val="center"/>
                </w:tcPr>
                <w:p w14:paraId="6DAABC14">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55787C7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742452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-15.29</w:t>
                  </w:r>
                </w:p>
              </w:tc>
              <w:tc>
                <w:tcPr>
                  <w:tcW w:w="239" w:type="pct"/>
                  <w:vMerge w:val="restart"/>
                  <w:noWrap w:val="0"/>
                  <w:vAlign w:val="center"/>
                </w:tcPr>
                <w:p w14:paraId="5242C0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-5.65</w:t>
                  </w:r>
                </w:p>
              </w:tc>
              <w:tc>
                <w:tcPr>
                  <w:tcW w:w="172" w:type="pct"/>
                  <w:vMerge w:val="restart"/>
                  <w:noWrap w:val="0"/>
                  <w:vAlign w:val="center"/>
                </w:tcPr>
                <w:p w14:paraId="2CB0D5A7">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23C763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28.81</w:t>
                  </w:r>
                </w:p>
              </w:tc>
              <w:tc>
                <w:tcPr>
                  <w:tcW w:w="208" w:type="pct"/>
                  <w:vMerge w:val="restart"/>
                  <w:noWrap w:val="0"/>
                  <w:vAlign w:val="center"/>
                </w:tcPr>
                <w:p w14:paraId="664B76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1.99</w:t>
                  </w:r>
                </w:p>
              </w:tc>
              <w:tc>
                <w:tcPr>
                  <w:tcW w:w="193" w:type="pct"/>
                  <w:vMerge w:val="restart"/>
                  <w:noWrap w:val="0"/>
                  <w:vAlign w:val="center"/>
                </w:tcPr>
                <w:p w14:paraId="4D3EB4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48.02</w:t>
                  </w:r>
                </w:p>
              </w:tc>
              <w:tc>
                <w:tcPr>
                  <w:tcW w:w="219" w:type="pct"/>
                  <w:vMerge w:val="restart"/>
                  <w:noWrap w:val="0"/>
                  <w:vAlign w:val="center"/>
                </w:tcPr>
                <w:p w14:paraId="035F7A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23.97</w:t>
                  </w:r>
                </w:p>
              </w:tc>
              <w:tc>
                <w:tcPr>
                  <w:tcW w:w="173" w:type="pct"/>
                  <w:vMerge w:val="restart"/>
                  <w:noWrap w:val="0"/>
                  <w:vAlign w:val="center"/>
                </w:tcPr>
                <w:p w14:paraId="1FE1D3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46.26</w:t>
                  </w:r>
                </w:p>
              </w:tc>
              <w:tc>
                <w:tcPr>
                  <w:tcW w:w="198" w:type="pct"/>
                  <w:vMerge w:val="restart"/>
                  <w:noWrap w:val="0"/>
                  <w:vAlign w:val="center"/>
                </w:tcPr>
                <w:p w14:paraId="77B613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58.29</w:t>
                  </w:r>
                </w:p>
              </w:tc>
              <w:tc>
                <w:tcPr>
                  <w:tcW w:w="167" w:type="pct"/>
                  <w:vMerge w:val="restart"/>
                  <w:noWrap w:val="0"/>
                  <w:vAlign w:val="center"/>
                </w:tcPr>
                <w:p w14:paraId="4BEC23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46.06</w:t>
                  </w:r>
                </w:p>
              </w:tc>
              <w:tc>
                <w:tcPr>
                  <w:tcW w:w="194" w:type="pct"/>
                  <w:vMerge w:val="restart"/>
                  <w:noWrap w:val="0"/>
                  <w:vAlign w:val="center"/>
                </w:tcPr>
                <w:p w14:paraId="173E06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46.40</w:t>
                  </w:r>
                </w:p>
              </w:tc>
              <w:tc>
                <w:tcPr>
                  <w:tcW w:w="183" w:type="pct"/>
                  <w:noWrap w:val="0"/>
                  <w:vAlign w:val="center"/>
                </w:tcPr>
                <w:p w14:paraId="244FF5E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271963B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355604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30.26</w:t>
                  </w:r>
                </w:p>
              </w:tc>
              <w:tc>
                <w:tcPr>
                  <w:tcW w:w="188" w:type="pct"/>
                  <w:vMerge w:val="restart"/>
                  <w:noWrap w:val="0"/>
                  <w:vAlign w:val="center"/>
                </w:tcPr>
                <w:p w14:paraId="678E8D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42.29</w:t>
                  </w:r>
                </w:p>
              </w:tc>
              <w:tc>
                <w:tcPr>
                  <w:tcW w:w="162" w:type="pct"/>
                  <w:vMerge w:val="restart"/>
                  <w:noWrap w:val="0"/>
                  <w:vAlign w:val="center"/>
                </w:tcPr>
                <w:p w14:paraId="052C62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30.06</w:t>
                  </w:r>
                </w:p>
              </w:tc>
              <w:tc>
                <w:tcPr>
                  <w:tcW w:w="183" w:type="pct"/>
                  <w:vMerge w:val="restart"/>
                  <w:noWrap w:val="0"/>
                  <w:vAlign w:val="center"/>
                </w:tcPr>
                <w:p w14:paraId="11591D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30.40</w:t>
                  </w:r>
                </w:p>
              </w:tc>
              <w:tc>
                <w:tcPr>
                  <w:tcW w:w="189" w:type="pct"/>
                  <w:vMerge w:val="restart"/>
                  <w:noWrap w:val="0"/>
                  <w:vAlign w:val="center"/>
                </w:tcPr>
                <w:p w14:paraId="76050E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2EEE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460C68B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72F4569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17BA934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033CCF8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6AC9A5F3">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1DE8ED9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4635B3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386E54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4FA0406B">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103564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491BE7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168AE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670836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5851B0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5F2903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1BB49C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2957B4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6B8C562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6411E52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5E6F73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1C605C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378089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77C3AD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01990D5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263A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79BE8C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18</w:t>
                  </w:r>
                </w:p>
              </w:tc>
              <w:tc>
                <w:tcPr>
                  <w:tcW w:w="177" w:type="pct"/>
                  <w:vMerge w:val="continue"/>
                  <w:noWrap w:val="0"/>
                  <w:vAlign w:val="center"/>
                </w:tcPr>
                <w:p w14:paraId="613684A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74D6766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水塔</w:t>
                  </w:r>
                </w:p>
              </w:tc>
              <w:tc>
                <w:tcPr>
                  <w:tcW w:w="252" w:type="pct"/>
                  <w:vMerge w:val="restart"/>
                  <w:noWrap w:val="0"/>
                  <w:vAlign w:val="center"/>
                </w:tcPr>
                <w:p w14:paraId="21BC2E3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30T</w:t>
                  </w:r>
                </w:p>
              </w:tc>
              <w:tc>
                <w:tcPr>
                  <w:tcW w:w="282" w:type="pct"/>
                  <w:vMerge w:val="restart"/>
                  <w:noWrap w:val="0"/>
                  <w:vAlign w:val="center"/>
                </w:tcPr>
                <w:p w14:paraId="7F51EA8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75</w:t>
                  </w:r>
                </w:p>
              </w:tc>
              <w:tc>
                <w:tcPr>
                  <w:tcW w:w="356" w:type="pct"/>
                  <w:vMerge w:val="restart"/>
                  <w:noWrap w:val="0"/>
                  <w:vAlign w:val="center"/>
                </w:tcPr>
                <w:p w14:paraId="687998B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309D5E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-27.67</w:t>
                  </w:r>
                </w:p>
              </w:tc>
              <w:tc>
                <w:tcPr>
                  <w:tcW w:w="239" w:type="pct"/>
                  <w:vMerge w:val="restart"/>
                  <w:noWrap w:val="0"/>
                  <w:vAlign w:val="center"/>
                </w:tcPr>
                <w:p w14:paraId="6C6D8F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20.91</w:t>
                  </w:r>
                </w:p>
              </w:tc>
              <w:tc>
                <w:tcPr>
                  <w:tcW w:w="172" w:type="pct"/>
                  <w:vMerge w:val="restart"/>
                  <w:noWrap w:val="0"/>
                  <w:vAlign w:val="center"/>
                </w:tcPr>
                <w:p w14:paraId="49308699">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31BC9A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5.55</w:t>
                  </w:r>
                </w:p>
              </w:tc>
              <w:tc>
                <w:tcPr>
                  <w:tcW w:w="208" w:type="pct"/>
                  <w:vMerge w:val="restart"/>
                  <w:noWrap w:val="0"/>
                  <w:vAlign w:val="center"/>
                </w:tcPr>
                <w:p w14:paraId="0C0A80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20.53</w:t>
                  </w:r>
                </w:p>
              </w:tc>
              <w:tc>
                <w:tcPr>
                  <w:tcW w:w="193" w:type="pct"/>
                  <w:vMerge w:val="restart"/>
                  <w:noWrap w:val="0"/>
                  <w:vAlign w:val="center"/>
                </w:tcPr>
                <w:p w14:paraId="295656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71.18</w:t>
                  </w:r>
                </w:p>
              </w:tc>
              <w:tc>
                <w:tcPr>
                  <w:tcW w:w="219" w:type="pct"/>
                  <w:vMerge w:val="restart"/>
                  <w:noWrap w:val="0"/>
                  <w:vAlign w:val="center"/>
                </w:tcPr>
                <w:p w14:paraId="03482D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5.40</w:t>
                  </w:r>
                </w:p>
              </w:tc>
              <w:tc>
                <w:tcPr>
                  <w:tcW w:w="173" w:type="pct"/>
                  <w:vMerge w:val="restart"/>
                  <w:noWrap w:val="0"/>
                  <w:vAlign w:val="center"/>
                </w:tcPr>
                <w:p w14:paraId="151447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50.83</w:t>
                  </w:r>
                </w:p>
              </w:tc>
              <w:tc>
                <w:tcPr>
                  <w:tcW w:w="198" w:type="pct"/>
                  <w:vMerge w:val="restart"/>
                  <w:noWrap w:val="0"/>
                  <w:vAlign w:val="center"/>
                </w:tcPr>
                <w:p w14:paraId="639164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46.56</w:t>
                  </w:r>
                </w:p>
              </w:tc>
              <w:tc>
                <w:tcPr>
                  <w:tcW w:w="167" w:type="pct"/>
                  <w:vMerge w:val="restart"/>
                  <w:noWrap w:val="0"/>
                  <w:vAlign w:val="center"/>
                </w:tcPr>
                <w:p w14:paraId="720DC6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46.00</w:t>
                  </w:r>
                </w:p>
              </w:tc>
              <w:tc>
                <w:tcPr>
                  <w:tcW w:w="194" w:type="pct"/>
                  <w:vMerge w:val="restart"/>
                  <w:noWrap w:val="0"/>
                  <w:vAlign w:val="center"/>
                </w:tcPr>
                <w:p w14:paraId="7D0508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50.99</w:t>
                  </w:r>
                </w:p>
              </w:tc>
              <w:tc>
                <w:tcPr>
                  <w:tcW w:w="183" w:type="pct"/>
                  <w:noWrap w:val="0"/>
                  <w:vAlign w:val="center"/>
                </w:tcPr>
                <w:p w14:paraId="773C22B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05785B7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74035C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34.83</w:t>
                  </w:r>
                </w:p>
              </w:tc>
              <w:tc>
                <w:tcPr>
                  <w:tcW w:w="188" w:type="pct"/>
                  <w:vMerge w:val="restart"/>
                  <w:noWrap w:val="0"/>
                  <w:vAlign w:val="center"/>
                </w:tcPr>
                <w:p w14:paraId="6A9E56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30.56</w:t>
                  </w:r>
                </w:p>
              </w:tc>
              <w:tc>
                <w:tcPr>
                  <w:tcW w:w="162" w:type="pct"/>
                  <w:vMerge w:val="restart"/>
                  <w:noWrap w:val="0"/>
                  <w:vAlign w:val="center"/>
                </w:tcPr>
                <w:p w14:paraId="2B04A3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183" w:type="pct"/>
                  <w:vMerge w:val="restart"/>
                  <w:noWrap w:val="0"/>
                  <w:vAlign w:val="center"/>
                </w:tcPr>
                <w:p w14:paraId="402FD9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34.99</w:t>
                  </w:r>
                </w:p>
              </w:tc>
              <w:tc>
                <w:tcPr>
                  <w:tcW w:w="189" w:type="pct"/>
                  <w:vMerge w:val="restart"/>
                  <w:noWrap w:val="0"/>
                  <w:vAlign w:val="center"/>
                </w:tcPr>
                <w:p w14:paraId="4D4D35A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1EBD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7F8D3B3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685040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3E210D6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69659F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282" w:type="pct"/>
                  <w:vMerge w:val="continue"/>
                  <w:noWrap w:val="0"/>
                  <w:vAlign w:val="center"/>
                </w:tcPr>
                <w:p w14:paraId="6F81569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0C24453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3ED18D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5998CF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10CB789C">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2EFCB5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615A67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37A6D7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14C257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2FDCEC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0A2E44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08C8B9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575A41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595308A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3A9371D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68BF4F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0BCBE0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607B6B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31B881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36FE7FA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r w14:paraId="3323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restart"/>
                  <w:noWrap w:val="0"/>
                  <w:vAlign w:val="center"/>
                </w:tcPr>
                <w:p w14:paraId="40FB71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19</w:t>
                  </w:r>
                </w:p>
              </w:tc>
              <w:tc>
                <w:tcPr>
                  <w:tcW w:w="177" w:type="pct"/>
                  <w:vMerge w:val="continue"/>
                  <w:noWrap w:val="0"/>
                  <w:vAlign w:val="center"/>
                </w:tcPr>
                <w:p w14:paraId="4E16802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restart"/>
                  <w:noWrap w:val="0"/>
                  <w:vAlign w:val="center"/>
                </w:tcPr>
                <w:p w14:paraId="40E648F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破碎机</w:t>
                  </w:r>
                </w:p>
              </w:tc>
              <w:tc>
                <w:tcPr>
                  <w:tcW w:w="252" w:type="pct"/>
                  <w:vMerge w:val="restart"/>
                  <w:noWrap w:val="0"/>
                  <w:vAlign w:val="center"/>
                </w:tcPr>
                <w:p w14:paraId="48E31E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650</w:t>
                  </w:r>
                </w:p>
              </w:tc>
              <w:tc>
                <w:tcPr>
                  <w:tcW w:w="282" w:type="pct"/>
                  <w:vMerge w:val="restart"/>
                  <w:noWrap w:val="0"/>
                  <w:vAlign w:val="center"/>
                </w:tcPr>
                <w:p w14:paraId="7A548DC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356" w:type="pct"/>
                  <w:vMerge w:val="restart"/>
                  <w:noWrap w:val="0"/>
                  <w:vAlign w:val="center"/>
                </w:tcPr>
                <w:p w14:paraId="4BD3698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厂房隔声、减振</w:t>
                  </w:r>
                </w:p>
              </w:tc>
              <w:tc>
                <w:tcPr>
                  <w:tcW w:w="229" w:type="pct"/>
                  <w:vMerge w:val="restart"/>
                  <w:noWrap w:val="0"/>
                  <w:vAlign w:val="center"/>
                </w:tcPr>
                <w:p w14:paraId="264E35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-15.94</w:t>
                  </w:r>
                </w:p>
              </w:tc>
              <w:tc>
                <w:tcPr>
                  <w:tcW w:w="239" w:type="pct"/>
                  <w:vMerge w:val="restart"/>
                  <w:noWrap w:val="0"/>
                  <w:vAlign w:val="center"/>
                </w:tcPr>
                <w:p w14:paraId="04F421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14.55</w:t>
                  </w:r>
                </w:p>
              </w:tc>
              <w:tc>
                <w:tcPr>
                  <w:tcW w:w="172" w:type="pct"/>
                  <w:vMerge w:val="restart"/>
                  <w:noWrap w:val="0"/>
                  <w:vAlign w:val="center"/>
                </w:tcPr>
                <w:p w14:paraId="6DA9FF8D">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93" w:type="pct"/>
                  <w:vMerge w:val="restart"/>
                  <w:noWrap w:val="0"/>
                  <w:vAlign w:val="center"/>
                </w:tcPr>
                <w:p w14:paraId="2FF1A4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18.89</w:t>
                  </w:r>
                </w:p>
              </w:tc>
              <w:tc>
                <w:tcPr>
                  <w:tcW w:w="208" w:type="pct"/>
                  <w:vMerge w:val="restart"/>
                  <w:noWrap w:val="0"/>
                  <w:vAlign w:val="center"/>
                </w:tcPr>
                <w:p w14:paraId="72B9DC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19.90</w:t>
                  </w:r>
                </w:p>
              </w:tc>
              <w:tc>
                <w:tcPr>
                  <w:tcW w:w="193" w:type="pct"/>
                  <w:vMerge w:val="restart"/>
                  <w:noWrap w:val="0"/>
                  <w:vAlign w:val="center"/>
                </w:tcPr>
                <w:p w14:paraId="719910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57.84</w:t>
                  </w:r>
                </w:p>
              </w:tc>
              <w:tc>
                <w:tcPr>
                  <w:tcW w:w="219" w:type="pct"/>
                  <w:vMerge w:val="restart"/>
                  <w:noWrap w:val="0"/>
                  <w:vAlign w:val="center"/>
                </w:tcPr>
                <w:p w14:paraId="7909C7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6.05</w:t>
                  </w:r>
                </w:p>
              </w:tc>
              <w:tc>
                <w:tcPr>
                  <w:tcW w:w="173" w:type="pct"/>
                  <w:vMerge w:val="restart"/>
                  <w:noWrap w:val="0"/>
                  <w:vAlign w:val="center"/>
                </w:tcPr>
                <w:p w14:paraId="640CAD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51.66</w:t>
                  </w:r>
                </w:p>
              </w:tc>
              <w:tc>
                <w:tcPr>
                  <w:tcW w:w="198" w:type="pct"/>
                  <w:vMerge w:val="restart"/>
                  <w:noWrap w:val="0"/>
                  <w:vAlign w:val="center"/>
                </w:tcPr>
                <w:p w14:paraId="077AE5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51.59</w:t>
                  </w:r>
                </w:p>
              </w:tc>
              <w:tc>
                <w:tcPr>
                  <w:tcW w:w="167" w:type="pct"/>
                  <w:vMerge w:val="restart"/>
                  <w:noWrap w:val="0"/>
                  <w:vAlign w:val="center"/>
                </w:tcPr>
                <w:p w14:paraId="23B727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51.02</w:t>
                  </w:r>
                </w:p>
              </w:tc>
              <w:tc>
                <w:tcPr>
                  <w:tcW w:w="194" w:type="pct"/>
                  <w:vMerge w:val="restart"/>
                  <w:noWrap w:val="0"/>
                  <w:vAlign w:val="center"/>
                </w:tcPr>
                <w:p w14:paraId="3335CB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55.34</w:t>
                  </w:r>
                </w:p>
              </w:tc>
              <w:tc>
                <w:tcPr>
                  <w:tcW w:w="183" w:type="pct"/>
                  <w:noWrap w:val="0"/>
                  <w:vAlign w:val="center"/>
                </w:tcPr>
                <w:p w14:paraId="4831A8B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昼间</w:t>
                  </w:r>
                </w:p>
              </w:tc>
              <w:tc>
                <w:tcPr>
                  <w:tcW w:w="223" w:type="pct"/>
                  <w:vMerge w:val="restart"/>
                  <w:noWrap w:val="0"/>
                  <w:vAlign w:val="center"/>
                </w:tcPr>
                <w:p w14:paraId="33E27EA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 w:type="pct"/>
                  <w:vMerge w:val="restart"/>
                  <w:noWrap w:val="0"/>
                  <w:vAlign w:val="center"/>
                </w:tcPr>
                <w:p w14:paraId="029062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35.66</w:t>
                  </w:r>
                </w:p>
              </w:tc>
              <w:tc>
                <w:tcPr>
                  <w:tcW w:w="188" w:type="pct"/>
                  <w:vMerge w:val="restart"/>
                  <w:noWrap w:val="0"/>
                  <w:vAlign w:val="center"/>
                </w:tcPr>
                <w:p w14:paraId="1CC50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35.59</w:t>
                  </w:r>
                </w:p>
              </w:tc>
              <w:tc>
                <w:tcPr>
                  <w:tcW w:w="162" w:type="pct"/>
                  <w:vMerge w:val="restart"/>
                  <w:noWrap w:val="0"/>
                  <w:vAlign w:val="center"/>
                </w:tcPr>
                <w:p w14:paraId="789A28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35.02</w:t>
                  </w:r>
                </w:p>
              </w:tc>
              <w:tc>
                <w:tcPr>
                  <w:tcW w:w="183" w:type="pct"/>
                  <w:vMerge w:val="restart"/>
                  <w:noWrap w:val="0"/>
                  <w:vAlign w:val="center"/>
                </w:tcPr>
                <w:p w14:paraId="6BC385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39.34</w:t>
                  </w:r>
                </w:p>
              </w:tc>
              <w:tc>
                <w:tcPr>
                  <w:tcW w:w="189" w:type="pct"/>
                  <w:vMerge w:val="restart"/>
                  <w:noWrap w:val="0"/>
                  <w:vAlign w:val="center"/>
                </w:tcPr>
                <w:p w14:paraId="74CCA09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0747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123" w:type="pct"/>
                  <w:vMerge w:val="continue"/>
                  <w:noWrap w:val="0"/>
                  <w:vAlign w:val="center"/>
                </w:tcPr>
                <w:p w14:paraId="61DD1A5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77" w:type="pct"/>
                  <w:vMerge w:val="continue"/>
                  <w:noWrap w:val="0"/>
                  <w:vAlign w:val="center"/>
                </w:tcPr>
                <w:p w14:paraId="5BE4610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23" w:type="pct"/>
                  <w:vMerge w:val="continue"/>
                  <w:noWrap w:val="0"/>
                  <w:vAlign w:val="center"/>
                </w:tcPr>
                <w:p w14:paraId="210E60E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252" w:type="pct"/>
                  <w:vMerge w:val="continue"/>
                  <w:noWrap w:val="0"/>
                  <w:vAlign w:val="center"/>
                </w:tcPr>
                <w:p w14:paraId="7332E40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rPr>
                  </w:pPr>
                </w:p>
              </w:tc>
              <w:tc>
                <w:tcPr>
                  <w:tcW w:w="282" w:type="pct"/>
                  <w:vMerge w:val="continue"/>
                  <w:noWrap w:val="0"/>
                  <w:vAlign w:val="center"/>
                </w:tcPr>
                <w:p w14:paraId="76CAC89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highlight w:val="none"/>
                      <w:lang w:val="en-US" w:eastAsia="zh-CN"/>
                    </w:rPr>
                  </w:pPr>
                </w:p>
              </w:tc>
              <w:tc>
                <w:tcPr>
                  <w:tcW w:w="356" w:type="pct"/>
                  <w:vMerge w:val="continue"/>
                  <w:noWrap w:val="0"/>
                  <w:vAlign w:val="center"/>
                </w:tcPr>
                <w:p w14:paraId="1FB941E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rPr>
                  </w:pPr>
                </w:p>
              </w:tc>
              <w:tc>
                <w:tcPr>
                  <w:tcW w:w="229" w:type="pct"/>
                  <w:vMerge w:val="continue"/>
                  <w:noWrap w:val="0"/>
                  <w:vAlign w:val="center"/>
                </w:tcPr>
                <w:p w14:paraId="41D750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39" w:type="pct"/>
                  <w:vMerge w:val="continue"/>
                  <w:noWrap w:val="0"/>
                  <w:vAlign w:val="center"/>
                </w:tcPr>
                <w:p w14:paraId="518BC8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2" w:type="pct"/>
                  <w:vMerge w:val="continue"/>
                  <w:noWrap w:val="0"/>
                  <w:vAlign w:val="center"/>
                </w:tcPr>
                <w:p w14:paraId="1D684D3E">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lang w:val="en-US" w:eastAsia="zh-CN"/>
                    </w:rPr>
                  </w:pPr>
                </w:p>
              </w:tc>
              <w:tc>
                <w:tcPr>
                  <w:tcW w:w="193" w:type="pct"/>
                  <w:vMerge w:val="continue"/>
                  <w:noWrap w:val="0"/>
                  <w:vAlign w:val="center"/>
                </w:tcPr>
                <w:p w14:paraId="38F1D7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08" w:type="pct"/>
                  <w:vMerge w:val="continue"/>
                  <w:noWrap w:val="0"/>
                  <w:vAlign w:val="center"/>
                </w:tcPr>
                <w:p w14:paraId="479363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3" w:type="pct"/>
                  <w:vMerge w:val="continue"/>
                  <w:noWrap w:val="0"/>
                  <w:vAlign w:val="center"/>
                </w:tcPr>
                <w:p w14:paraId="56414A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19" w:type="pct"/>
                  <w:vMerge w:val="continue"/>
                  <w:noWrap w:val="0"/>
                  <w:vAlign w:val="center"/>
                </w:tcPr>
                <w:p w14:paraId="3015E2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73" w:type="pct"/>
                  <w:vMerge w:val="continue"/>
                  <w:noWrap w:val="0"/>
                  <w:vAlign w:val="center"/>
                </w:tcPr>
                <w:p w14:paraId="3C60F3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8" w:type="pct"/>
                  <w:vMerge w:val="continue"/>
                  <w:noWrap w:val="0"/>
                  <w:vAlign w:val="center"/>
                </w:tcPr>
                <w:p w14:paraId="0CA14A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7" w:type="pct"/>
                  <w:vMerge w:val="continue"/>
                  <w:noWrap w:val="0"/>
                  <w:vAlign w:val="center"/>
                </w:tcPr>
                <w:p w14:paraId="00F868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94" w:type="pct"/>
                  <w:vMerge w:val="continue"/>
                  <w:noWrap w:val="0"/>
                  <w:vAlign w:val="center"/>
                </w:tcPr>
                <w:p w14:paraId="4C156A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noWrap w:val="0"/>
                  <w:vAlign w:val="center"/>
                </w:tcPr>
                <w:p w14:paraId="7CC7223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夜间</w:t>
                  </w:r>
                </w:p>
              </w:tc>
              <w:tc>
                <w:tcPr>
                  <w:tcW w:w="223" w:type="pct"/>
                  <w:vMerge w:val="continue"/>
                  <w:noWrap w:val="0"/>
                  <w:vAlign w:val="center"/>
                </w:tcPr>
                <w:p w14:paraId="6DC5222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67" w:type="pct"/>
                  <w:vMerge w:val="continue"/>
                  <w:noWrap w:val="0"/>
                  <w:vAlign w:val="center"/>
                </w:tcPr>
                <w:p w14:paraId="6A7D74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8" w:type="pct"/>
                  <w:vMerge w:val="continue"/>
                  <w:noWrap w:val="0"/>
                  <w:vAlign w:val="center"/>
                </w:tcPr>
                <w:p w14:paraId="0F0ED6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62" w:type="pct"/>
                  <w:vMerge w:val="continue"/>
                  <w:noWrap w:val="0"/>
                  <w:vAlign w:val="center"/>
                </w:tcPr>
                <w:p w14:paraId="58CBA6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3" w:type="pct"/>
                  <w:vMerge w:val="continue"/>
                  <w:noWrap w:val="0"/>
                  <w:vAlign w:val="center"/>
                </w:tcPr>
                <w:p w14:paraId="7D7365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89" w:type="pct"/>
                  <w:vMerge w:val="continue"/>
                  <w:noWrap w:val="0"/>
                  <w:vAlign w:val="center"/>
                </w:tcPr>
                <w:p w14:paraId="4FBE13D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highlight w:val="none"/>
                      <w:lang w:val="en-US" w:eastAsia="zh-CN"/>
                    </w:rPr>
                  </w:pPr>
                </w:p>
              </w:tc>
            </w:tr>
          </w:tbl>
          <w:p w14:paraId="17B7BC79">
            <w:pPr>
              <w:pStyle w:val="59"/>
              <w:keepNext w:val="0"/>
              <w:keepLines w:val="0"/>
              <w:pageBreakBefore w:val="0"/>
              <w:suppressLineNumbers w:val="0"/>
              <w:kinsoku/>
              <w:overflowPunct/>
              <w:autoSpaceDE/>
              <w:autoSpaceDN/>
              <w:bidi w:val="0"/>
              <w:snapToGrid/>
              <w:spacing w:before="157" w:beforeLines="50" w:beforeAutospacing="0" w:after="0" w:afterAutospacing="0" w:line="360" w:lineRule="auto"/>
              <w:ind w:firstLine="0"/>
              <w:jc w:val="center"/>
              <w:rPr>
                <w:rFonts w:hint="default"/>
                <w:color w:val="auto"/>
                <w:vertAlign w:val="baseline"/>
              </w:rPr>
            </w:pPr>
            <w:r>
              <w:rPr>
                <w:rFonts w:hint="eastAsia" w:cs="Times New Roman"/>
                <w:b/>
                <w:color w:val="auto"/>
                <w:sz w:val="21"/>
                <w:szCs w:val="21"/>
              </w:rPr>
              <w:t>表4-</w:t>
            </w:r>
            <w:r>
              <w:rPr>
                <w:rFonts w:hint="eastAsia" w:cs="Times New Roman"/>
                <w:b/>
                <w:color w:val="auto"/>
                <w:sz w:val="21"/>
                <w:szCs w:val="21"/>
                <w:lang w:val="en-US" w:eastAsia="zh-CN"/>
              </w:rPr>
              <w:t>14</w:t>
            </w:r>
            <w:r>
              <w:rPr>
                <w:rFonts w:hint="eastAsia" w:cs="Times New Roman"/>
                <w:b/>
                <w:color w:val="auto"/>
                <w:sz w:val="21"/>
                <w:szCs w:val="21"/>
              </w:rPr>
              <w:t xml:space="preserve">  </w:t>
            </w:r>
            <w:r>
              <w:rPr>
                <w:rFonts w:hint="default" w:ascii="Times New Roman" w:hAnsi="Times New Roman"/>
                <w:b/>
                <w:bCs/>
                <w:color w:val="auto"/>
                <w:szCs w:val="21"/>
                <w:highlight w:val="none"/>
              </w:rPr>
              <w:t>工业企业噪声源强调查清单（室</w:t>
            </w:r>
            <w:r>
              <w:rPr>
                <w:rFonts w:hint="eastAsia" w:hAnsi="Times New Roman"/>
                <w:b/>
                <w:bCs/>
                <w:color w:val="auto"/>
                <w:szCs w:val="21"/>
                <w:highlight w:val="none"/>
                <w:lang w:val="en-US" w:eastAsia="zh-CN"/>
              </w:rPr>
              <w:t>外</w:t>
            </w:r>
            <w:r>
              <w:rPr>
                <w:rFonts w:hint="default" w:ascii="Times New Roman" w:hAnsi="Times New Roman"/>
                <w:b/>
                <w:bCs/>
                <w:color w:val="auto"/>
                <w:szCs w:val="21"/>
                <w:highlight w:val="none"/>
              </w:rPr>
              <w:t>声源）</w:t>
            </w:r>
          </w:p>
          <w:tbl>
            <w:tblPr>
              <w:tblStyle w:val="36"/>
              <w:tblW w:w="135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727"/>
              <w:gridCol w:w="1277"/>
              <w:gridCol w:w="727"/>
              <w:gridCol w:w="1117"/>
              <w:gridCol w:w="1280"/>
              <w:gridCol w:w="1204"/>
              <w:gridCol w:w="2997"/>
              <w:gridCol w:w="2943"/>
              <w:gridCol w:w="1281"/>
            </w:tblGrid>
            <w:tr w14:paraId="603BB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97" w:hRule="atLeast"/>
              </w:trPr>
              <w:tc>
                <w:tcPr>
                  <w:tcW w:w="268" w:type="pct"/>
                  <w:vMerge w:val="restart"/>
                  <w:tcBorders>
                    <w:top w:val="single" w:color="auto" w:sz="4" w:space="0"/>
                    <w:left w:val="single" w:color="auto" w:sz="0" w:space="0"/>
                    <w:bottom w:val="single" w:color="auto" w:sz="4" w:space="0"/>
                    <w:right w:val="single" w:color="auto" w:sz="4" w:space="0"/>
                  </w:tcBorders>
                  <w:shd w:val="clear" w:color="auto" w:fill="FFFFFF" w:themeFill="background1"/>
                  <w:noWrap/>
                  <w:vAlign w:val="center"/>
                </w:tcPr>
                <w:p w14:paraId="730605B4">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序号</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B33AFF">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声源名称</w:t>
                  </w:r>
                </w:p>
              </w:tc>
              <w:tc>
                <w:tcPr>
                  <w:tcW w:w="268" w:type="pct"/>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9D4B43">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型号</w:t>
                  </w:r>
                </w:p>
              </w:tc>
              <w:tc>
                <w:tcPr>
                  <w:tcW w:w="1328" w:type="pct"/>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2E0533">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空间相对位置/m</w:t>
                  </w:r>
                </w:p>
              </w:tc>
              <w:tc>
                <w:tcPr>
                  <w:tcW w:w="110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F957FD">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声源源强</w:t>
                  </w:r>
                </w:p>
              </w:tc>
              <w:tc>
                <w:tcPr>
                  <w:tcW w:w="108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DB2DB0">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声源控制措施</w:t>
                  </w:r>
                </w:p>
              </w:tc>
              <w:tc>
                <w:tcPr>
                  <w:tcW w:w="472" w:type="pct"/>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2CEDB7">
                  <w:pPr>
                    <w:keepNext w:val="0"/>
                    <w:keepLines w:val="0"/>
                    <w:pageBreakBefore w:val="0"/>
                    <w:widowControl/>
                    <w:suppressLineNumbers w:val="0"/>
                    <w:kinsoku/>
                    <w:overflowPunct/>
                    <w:autoSpaceDE/>
                    <w:autoSpaceDN/>
                    <w:bidi w:val="0"/>
                    <w:snapToGrid/>
                    <w:spacing w:before="157" w:beforeLines="50" w:beforeAutospacing="0" w:after="0" w:afterAutospacing="0" w:line="360" w:lineRule="auto"/>
                    <w:ind w:left="0" w:right="0" w:firstLine="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运行时段</w:t>
                  </w:r>
                </w:p>
              </w:tc>
            </w:tr>
            <w:tr w14:paraId="3553D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6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DD466F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p>
              </w:tc>
              <w:tc>
                <w:tcPr>
                  <w:tcW w:w="471"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012BC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p>
              </w:tc>
              <w:tc>
                <w:tcPr>
                  <w:tcW w:w="26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DC0F2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D1605E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X</w:t>
                  </w:r>
                </w:p>
              </w:tc>
              <w:tc>
                <w:tcPr>
                  <w:tcW w:w="47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385DF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Y</w:t>
                  </w:r>
                </w:p>
              </w:tc>
              <w:tc>
                <w:tcPr>
                  <w:tcW w:w="44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35349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Z</w:t>
                  </w:r>
                </w:p>
              </w:tc>
              <w:tc>
                <w:tcPr>
                  <w:tcW w:w="1105"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9C5B3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highlight w:val="none"/>
                      <w:u w:val="none"/>
                      <w:lang w:val="en-US" w:eastAsia="zh-CN" w:bidi="ar"/>
                    </w:rPr>
                  </w:pPr>
                  <w:r>
                    <w:rPr>
                      <w:rFonts w:hint="eastAsia" w:ascii="Times New Roman" w:hAnsi="Times New Roman" w:eastAsia="宋体" w:cs="Times New Roman"/>
                      <w:b/>
                      <w:bCs/>
                      <w:i w:val="0"/>
                      <w:iCs w:val="0"/>
                      <w:color w:val="auto"/>
                      <w:kern w:val="0"/>
                      <w:sz w:val="21"/>
                      <w:szCs w:val="21"/>
                      <w:highlight w:val="none"/>
                      <w:u w:val="none"/>
                      <w:lang w:val="en-US" w:eastAsia="zh-CN" w:bidi="ar"/>
                    </w:rPr>
                    <w:t>声功率级/dB</w:t>
                  </w:r>
                  <w:r>
                    <w:rPr>
                      <w:rFonts w:hint="default" w:ascii="Times New Roman" w:hAnsi="Times New Roman" w:eastAsia="宋体" w:cs="Times New Roman"/>
                      <w:b/>
                      <w:bCs/>
                      <w:color w:val="auto"/>
                      <w:sz w:val="21"/>
                      <w:szCs w:val="21"/>
                      <w:highlight w:val="none"/>
                    </w:rPr>
                    <w:t>（A）</w:t>
                  </w:r>
                </w:p>
              </w:tc>
              <w:tc>
                <w:tcPr>
                  <w:tcW w:w="108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74107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472"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20547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2ABF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68" w:type="pct"/>
                  <w:vMerge w:val="restart"/>
                  <w:tcBorders>
                    <w:top w:val="single" w:color="auto" w:sz="4" w:space="0"/>
                    <w:left w:val="single" w:color="auto" w:sz="4" w:space="0"/>
                    <w:right w:val="single" w:color="auto" w:sz="4" w:space="0"/>
                  </w:tcBorders>
                  <w:shd w:val="clear" w:color="auto" w:fill="FFFFFF" w:themeFill="background1"/>
                  <w:noWrap/>
                  <w:vAlign w:val="center"/>
                </w:tcPr>
                <w:p w14:paraId="3519879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471" w:type="pct"/>
                  <w:vMerge w:val="restart"/>
                  <w:tcBorders>
                    <w:top w:val="single" w:color="auto" w:sz="4" w:space="0"/>
                    <w:left w:val="single" w:color="auto" w:sz="4" w:space="0"/>
                    <w:right w:val="single" w:color="auto" w:sz="4" w:space="0"/>
                  </w:tcBorders>
                  <w:shd w:val="clear" w:color="auto" w:fill="FFFFFF" w:themeFill="background1"/>
                  <w:noWrap/>
                  <w:vAlign w:val="center"/>
                </w:tcPr>
                <w:p w14:paraId="00785B1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风机</w:t>
                  </w:r>
                </w:p>
              </w:tc>
              <w:tc>
                <w:tcPr>
                  <w:tcW w:w="268" w:type="pct"/>
                  <w:vMerge w:val="restart"/>
                  <w:tcBorders>
                    <w:top w:val="single" w:color="auto" w:sz="4" w:space="0"/>
                    <w:left w:val="single" w:color="auto" w:sz="4" w:space="0"/>
                    <w:right w:val="single" w:color="auto" w:sz="4" w:space="0"/>
                  </w:tcBorders>
                  <w:shd w:val="clear" w:color="auto" w:fill="FFFFFF" w:themeFill="background1"/>
                  <w:noWrap/>
                  <w:vAlign w:val="center"/>
                </w:tcPr>
                <w:p w14:paraId="49610B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c>
                <w:tcPr>
                  <w:tcW w:w="41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7B250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47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7470D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-25.09</w:t>
                  </w:r>
                </w:p>
              </w:tc>
              <w:tc>
                <w:tcPr>
                  <w:tcW w:w="44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D2797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10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AB301B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75</w:t>
                  </w:r>
                </w:p>
              </w:tc>
              <w:tc>
                <w:tcPr>
                  <w:tcW w:w="1085" w:type="pct"/>
                  <w:vMerge w:val="restart"/>
                  <w:tcBorders>
                    <w:top w:val="single" w:color="auto" w:sz="4" w:space="0"/>
                    <w:left w:val="single" w:color="auto" w:sz="4" w:space="0"/>
                    <w:right w:val="single" w:color="auto" w:sz="4" w:space="0"/>
                  </w:tcBorders>
                  <w:shd w:val="clear" w:color="auto" w:fill="FFFFFF" w:themeFill="background1"/>
                  <w:noWrap/>
                  <w:vAlign w:val="center"/>
                </w:tcPr>
                <w:p w14:paraId="216BE6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基础减振</w:t>
                  </w:r>
                </w:p>
              </w:tc>
              <w:tc>
                <w:tcPr>
                  <w:tcW w:w="47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928B5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昼间</w:t>
                  </w:r>
                </w:p>
              </w:tc>
            </w:tr>
            <w:tr w14:paraId="29C41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68" w:type="pct"/>
                  <w:vMerge w:val="continue"/>
                  <w:tcBorders>
                    <w:left w:val="single" w:color="auto" w:sz="4" w:space="0"/>
                    <w:bottom w:val="single" w:color="auto" w:sz="4" w:space="0"/>
                    <w:right w:val="single" w:color="auto" w:sz="4" w:space="0"/>
                  </w:tcBorders>
                  <w:shd w:val="clear" w:color="auto" w:fill="FFFFFF" w:themeFill="background1"/>
                  <w:noWrap/>
                  <w:vAlign w:val="center"/>
                </w:tcPr>
                <w:p w14:paraId="6C5A6EF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471" w:type="pct"/>
                  <w:vMerge w:val="continue"/>
                  <w:tcBorders>
                    <w:left w:val="single" w:color="auto" w:sz="4" w:space="0"/>
                    <w:bottom w:val="single" w:color="auto" w:sz="4" w:space="0"/>
                    <w:right w:val="single" w:color="auto" w:sz="4" w:space="0"/>
                  </w:tcBorders>
                  <w:shd w:val="clear" w:color="auto" w:fill="FFFFFF" w:themeFill="background1"/>
                  <w:noWrap/>
                  <w:vAlign w:val="center"/>
                </w:tcPr>
                <w:p w14:paraId="4BE5201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268" w:type="pct"/>
                  <w:vMerge w:val="continue"/>
                  <w:tcBorders>
                    <w:left w:val="single" w:color="auto" w:sz="4" w:space="0"/>
                    <w:bottom w:val="single" w:color="auto" w:sz="4" w:space="0"/>
                    <w:right w:val="single" w:color="auto" w:sz="4" w:space="0"/>
                  </w:tcBorders>
                  <w:shd w:val="clear" w:color="auto" w:fill="FFFFFF" w:themeFill="background1"/>
                  <w:noWrap/>
                  <w:vAlign w:val="center"/>
                </w:tcPr>
                <w:p w14:paraId="518E30B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C8611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47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BFB6F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-25.09</w:t>
                  </w:r>
                </w:p>
              </w:tc>
              <w:tc>
                <w:tcPr>
                  <w:tcW w:w="444"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72F51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105"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B5F96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75</w:t>
                  </w:r>
                </w:p>
              </w:tc>
              <w:tc>
                <w:tcPr>
                  <w:tcW w:w="1085" w:type="pct"/>
                  <w:vMerge w:val="continue"/>
                  <w:tcBorders>
                    <w:left w:val="single" w:color="auto" w:sz="4" w:space="0"/>
                    <w:bottom w:val="single" w:color="auto" w:sz="4" w:space="0"/>
                    <w:right w:val="single" w:color="auto" w:sz="4" w:space="0"/>
                  </w:tcBorders>
                  <w:shd w:val="clear" w:color="auto" w:fill="FFFFFF" w:themeFill="background1"/>
                  <w:noWrap/>
                  <w:vAlign w:val="center"/>
                </w:tcPr>
                <w:p w14:paraId="7780FE8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47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77351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夜间</w:t>
                  </w:r>
                </w:p>
              </w:tc>
            </w:tr>
          </w:tbl>
          <w:p w14:paraId="613781D7">
            <w:pPr>
              <w:pStyle w:val="61"/>
              <w:keepNext w:val="0"/>
              <w:keepLines w:val="0"/>
              <w:suppressLineNumbers w:val="0"/>
              <w:spacing w:before="0" w:beforeAutospacing="0" w:after="0" w:afterAutospacing="0"/>
              <w:ind w:left="0" w:right="0"/>
              <w:rPr>
                <w:rFonts w:hint="default"/>
                <w:color w:val="auto"/>
              </w:rPr>
            </w:pPr>
          </w:p>
        </w:tc>
      </w:tr>
    </w:tbl>
    <w:p w14:paraId="66215777">
      <w:pPr>
        <w:pStyle w:val="59"/>
        <w:ind w:firstLine="412"/>
        <w:rPr>
          <w:color w:val="auto"/>
        </w:rPr>
        <w:sectPr>
          <w:pgSz w:w="16840" w:h="11907" w:orient="landscape"/>
          <w:pgMar w:top="1531" w:right="1440" w:bottom="1531" w:left="1440" w:header="851" w:footer="851" w:gutter="0"/>
          <w:pgBorders>
            <w:top w:val="none" w:sz="0" w:space="0"/>
            <w:left w:val="none" w:sz="0" w:space="0"/>
            <w:bottom w:val="none" w:sz="0" w:space="0"/>
            <w:right w:val="none" w:sz="0" w:space="0"/>
          </w:pgBorders>
          <w:cols w:space="720" w:num="1"/>
          <w:docGrid w:linePitch="312" w:charSpace="0"/>
        </w:sectPr>
      </w:pPr>
    </w:p>
    <w:tbl>
      <w:tblPr>
        <w:tblStyle w:val="36"/>
        <w:tblW w:w="8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8599"/>
      </w:tblGrid>
      <w:tr w14:paraId="42C6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2" w:type="dxa"/>
            <w:noWrap w:val="0"/>
            <w:tcMar>
              <w:left w:w="28" w:type="dxa"/>
              <w:right w:w="28" w:type="dxa"/>
            </w:tcMar>
            <w:vAlign w:val="center"/>
          </w:tcPr>
          <w:p w14:paraId="7944306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rPr>
            </w:pPr>
          </w:p>
        </w:tc>
        <w:tc>
          <w:tcPr>
            <w:tcW w:w="8599" w:type="dxa"/>
            <w:noWrap w:val="0"/>
            <w:vAlign w:val="top"/>
          </w:tcPr>
          <w:p w14:paraId="1976FB4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（2）声环境保护目标</w:t>
            </w:r>
          </w:p>
          <w:p w14:paraId="166F31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default" w:ascii="Times New Roman" w:hAnsi="Times New Roman" w:eastAsia="宋体" w:cs="Times New Roman"/>
                <w:color w:val="auto"/>
                <w:sz w:val="24"/>
                <w:highlight w:val="none"/>
              </w:rPr>
              <w:t>，根据现场踏勘，周边50m范围内不存在声环境保护目标。</w:t>
            </w:r>
          </w:p>
          <w:p w14:paraId="7DC7129C">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（3）预测范围和预测点</w:t>
            </w:r>
          </w:p>
          <w:p w14:paraId="4D453F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根据项目周边环境关系，项目周边50m范围内不存在敏感点，故本次评价对东、南、西、北四个厂界外 1m 处各设置 1 个预测点，共 4 个预测点，预测项目噪声源对四面厂界的噪声贡献值，进行达标分析。</w:t>
            </w:r>
          </w:p>
          <w:p w14:paraId="6BFFE2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本次预测</w:t>
            </w:r>
            <w:r>
              <w:rPr>
                <w:rFonts w:hint="default" w:ascii="Times New Roman" w:hAnsi="Times New Roman" w:eastAsia="宋体" w:cs="Times New Roman"/>
                <w:color w:val="auto"/>
                <w:sz w:val="24"/>
                <w:highlight w:val="none"/>
              </w:rPr>
              <w:t>以项目厂界为基准，在</w:t>
            </w:r>
            <w:r>
              <w:rPr>
                <w:rFonts w:hint="eastAsia" w:cs="Times New Roman"/>
                <w:color w:val="auto"/>
                <w:sz w:val="24"/>
                <w:highlight w:val="none"/>
                <w:lang w:val="en-US" w:eastAsia="zh-CN"/>
              </w:rPr>
              <w:t>项目</w:t>
            </w:r>
            <w:r>
              <w:rPr>
                <w:rFonts w:hint="default" w:ascii="Times New Roman" w:hAnsi="Times New Roman" w:eastAsia="宋体" w:cs="Times New Roman"/>
                <w:color w:val="auto"/>
                <w:sz w:val="24"/>
                <w:highlight w:val="none"/>
              </w:rPr>
              <w:t xml:space="preserve">厂界外 </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 xml:space="preserve">00m 评价范围内布设预测网格，网格步长取 10m×10m，计算各网格点噪声贡献值，据此绘制项目噪声贡献值等声级线图，给出厂界外 </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00m 范围内噪声</w:t>
            </w:r>
            <w:r>
              <w:rPr>
                <w:rFonts w:hint="eastAsia" w:cs="Times New Roman"/>
                <w:color w:val="auto"/>
                <w:sz w:val="24"/>
                <w:highlight w:val="none"/>
                <w:lang w:val="en-US" w:eastAsia="zh-CN"/>
              </w:rPr>
              <w:t>最大</w:t>
            </w:r>
            <w:r>
              <w:rPr>
                <w:rFonts w:hint="default" w:ascii="Times New Roman" w:hAnsi="Times New Roman" w:eastAsia="宋体" w:cs="Times New Roman"/>
                <w:color w:val="auto"/>
                <w:sz w:val="24"/>
                <w:highlight w:val="none"/>
              </w:rPr>
              <w:t>贡献值，进行达标分析。</w:t>
            </w:r>
          </w:p>
          <w:p w14:paraId="69832E9E">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（4）预测方法</w:t>
            </w:r>
          </w:p>
          <w:p w14:paraId="1B9111E5">
            <w:pPr>
              <w:pStyle w:val="60"/>
              <w:keepNext w:val="0"/>
              <w:keepLines w:val="0"/>
              <w:suppressLineNumbers w:val="0"/>
              <w:spacing w:before="0" w:beforeAutospacing="0" w:after="0" w:afterAutospacing="0"/>
              <w:rPr>
                <w:rFonts w:hint="default" w:ascii="Times New Roman" w:hAnsi="Times New Roman" w:eastAsia="宋体" w:cs="Times New Roman"/>
                <w:highlight w:val="none"/>
              </w:rPr>
            </w:pPr>
            <w:r>
              <w:rPr>
                <w:rFonts w:hint="default" w:ascii="Times New Roman" w:hAnsi="Times New Roman" w:eastAsia="宋体" w:cs="Times New Roman"/>
                <w:bCs/>
                <w:color w:val="auto"/>
                <w:sz w:val="24"/>
                <w:szCs w:val="24"/>
                <w:highlight w:val="none"/>
              </w:rPr>
              <w:t>根据项目建设内容及《环境影响评价技术导则 声环境》（HJ2.4-2021）的要求，项目噪声评价采用模型为《环境影响评价技术导则 声环境》（HJ2.4-2021）附录 A（规范性附录）户外声传播的衰减和附录 B（规范性附录）中“B.1 工业噪声预测计算模型”。</w:t>
            </w:r>
          </w:p>
          <w:p w14:paraId="7A48F0B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 xml:space="preserve">根据《环境影响评价技术导则 声环境》（HJ2.4-2021），声源位于室内，室内声源可采用等效室外声源声功率级法进行计算。 </w:t>
            </w:r>
          </w:p>
          <w:p w14:paraId="4A1DD81E">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Lp2=Lp1</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（TL+6）</w:t>
            </w:r>
          </w:p>
          <w:p w14:paraId="36165EF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 xml:space="preserve">式中：Lp1—靠近开口处（或窗户）室内某倍频带的声压级或 A 声级，dB； </w:t>
            </w:r>
          </w:p>
          <w:p w14:paraId="38F86A08">
            <w:pPr>
              <w:keepNext w:val="0"/>
              <w:keepLines w:val="0"/>
              <w:widowControl/>
              <w:suppressLineNumbers w:val="0"/>
              <w:spacing w:before="0" w:beforeAutospacing="0" w:after="0" w:afterAutospacing="0" w:line="360" w:lineRule="auto"/>
              <w:ind w:left="0" w:right="0" w:firstLine="1200" w:firstLineChars="5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 xml:space="preserve">Lp2—靠近开口处（或窗户）室外某倍频带的声压级或 A 声级，dB； </w:t>
            </w:r>
          </w:p>
          <w:p w14:paraId="3BD3706E">
            <w:pPr>
              <w:keepNext w:val="0"/>
              <w:keepLines w:val="0"/>
              <w:widowControl/>
              <w:suppressLineNumbers w:val="0"/>
              <w:spacing w:before="0" w:beforeAutospacing="0" w:after="0" w:afterAutospacing="0" w:line="360" w:lineRule="auto"/>
              <w:ind w:left="0" w:right="0" w:firstLine="1200" w:firstLineChars="500"/>
              <w:jc w:val="left"/>
              <w:rPr>
                <w:rFonts w:hint="default" w:ascii="Times New Roman" w:hAnsi="Times New Roman" w:eastAsia="宋体" w:cs="Times New Roman"/>
                <w:highlight w:val="none"/>
              </w:rPr>
            </w:pPr>
            <w:r>
              <w:rPr>
                <w:rFonts w:hint="default" w:ascii="Times New Roman" w:hAnsi="Times New Roman" w:eastAsia="宋体" w:cs="Times New Roman"/>
                <w:color w:val="auto"/>
                <w:kern w:val="0"/>
                <w:sz w:val="24"/>
                <w:highlight w:val="none"/>
              </w:rPr>
              <w:t>TL—隔墙（或窗户）倍频带或 A 声级的隔声量，dB。</w:t>
            </w:r>
            <w:r>
              <w:rPr>
                <w:rFonts w:hint="default" w:ascii="Times New Roman" w:hAnsi="Times New Roman" w:eastAsia="宋体" w:cs="Times New Roman"/>
                <w:color w:val="000000"/>
                <w:kern w:val="0"/>
                <w:sz w:val="24"/>
                <w:szCs w:val="24"/>
                <w:highlight w:val="none"/>
                <w:lang w:val="en-US" w:eastAsia="zh-CN" w:bidi="ar"/>
              </w:rPr>
              <w:t>本项目生产厂房为钢结构，高噪声设备安装消声减振装置，因此本项目建筑物隔音量选取 10dB（A）。</w:t>
            </w:r>
          </w:p>
          <w:p w14:paraId="1D06D93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highlight w:val="none"/>
              </w:rPr>
            </w:pPr>
            <w:r>
              <w:rPr>
                <w:rFonts w:hint="default" w:ascii="Times New Roman" w:hAnsi="Times New Roman" w:eastAsia="宋体" w:cs="Times New Roman"/>
                <w:color w:val="auto"/>
                <w:kern w:val="0"/>
                <w:sz w:val="24"/>
                <w:highlight w:val="none"/>
              </w:rPr>
              <w:t>设第i个室外声源在预测点产生的A声级为LAi，在T时间内该声源工作时间为ti；第j个等效室外声源在预测点产生的A声级为LAj，在T时间内该声源</w:t>
            </w:r>
            <w:r>
              <w:rPr>
                <w:rFonts w:hint="default" w:ascii="Times New Roman" w:hAnsi="Times New Roman" w:eastAsia="宋体" w:cs="Times New Roman"/>
                <w:color w:val="auto"/>
                <w:sz w:val="24"/>
                <w:highlight w:val="none"/>
              </w:rPr>
              <w:t>工作时间为tj，则拟建工程声源对预测点产生的贡献值（Leqg）为：</w:t>
            </w:r>
          </w:p>
          <w:p w14:paraId="6C55B34B">
            <w:pPr>
              <w:pStyle w:val="60"/>
              <w:keepNext w:val="0"/>
              <w:keepLines w:val="0"/>
              <w:suppressLineNumbers w:val="0"/>
              <w:spacing w:before="0" w:beforeAutospacing="0" w:after="0" w:afterAutospacing="0"/>
              <w:ind w:firstLine="0"/>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3554730" cy="690880"/>
                  <wp:effectExtent l="0" t="0" r="7620" b="13970"/>
                  <wp:docPr id="8"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9"/>
                          <pic:cNvPicPr>
                            <a:picLocks noChangeAspect="1"/>
                          </pic:cNvPicPr>
                        </pic:nvPicPr>
                        <pic:blipFill>
                          <a:blip r:embed="rId14"/>
                          <a:srcRect t="11305" b="6221"/>
                          <a:stretch>
                            <a:fillRect/>
                          </a:stretch>
                        </pic:blipFill>
                        <pic:spPr>
                          <a:xfrm>
                            <a:off x="0" y="0"/>
                            <a:ext cx="3554730" cy="690880"/>
                          </a:xfrm>
                          <a:prstGeom prst="rect">
                            <a:avLst/>
                          </a:prstGeom>
                          <a:noFill/>
                          <a:ln>
                            <a:noFill/>
                          </a:ln>
                        </pic:spPr>
                      </pic:pic>
                    </a:graphicData>
                  </a:graphic>
                </wp:inline>
              </w:drawing>
            </w:r>
          </w:p>
          <w:p w14:paraId="782F6963">
            <w:pPr>
              <w:pStyle w:val="60"/>
              <w:keepNext w:val="0"/>
              <w:keepLines w:val="0"/>
              <w:suppressLineNumbers w:val="0"/>
              <w:spacing w:before="0" w:beforeAutospacing="0" w:after="0" w:afterAutospacing="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式中：</w:t>
            </w:r>
            <w:r>
              <w:rPr>
                <w:rFonts w:hint="default" w:ascii="Times New Roman" w:hAnsi="Times New Roman" w:eastAsia="宋体" w:cs="Times New Roman"/>
                <w:bCs/>
                <w:i/>
                <w:iCs/>
                <w:color w:val="auto"/>
                <w:sz w:val="24"/>
                <w:szCs w:val="24"/>
                <w:highlight w:val="none"/>
              </w:rPr>
              <w:t>Leqg</w:t>
            </w:r>
            <w:r>
              <w:rPr>
                <w:rFonts w:hint="default" w:ascii="Times New Roman" w:hAnsi="Times New Roman" w:eastAsia="宋体" w:cs="Times New Roman"/>
                <w:bCs/>
                <w:color w:val="auto"/>
                <w:sz w:val="24"/>
                <w:szCs w:val="24"/>
                <w:highlight w:val="none"/>
              </w:rPr>
              <w:t xml:space="preserve">——建设项目声源在预测点产生的噪声贡献值，dB； </w:t>
            </w:r>
          </w:p>
          <w:p w14:paraId="3C641A82">
            <w:pPr>
              <w:pStyle w:val="60"/>
              <w:keepNext w:val="0"/>
              <w:keepLines w:val="0"/>
              <w:suppressLineNumbers w:val="0"/>
              <w:spacing w:before="0" w:beforeAutospacing="0" w:after="0" w:afterAutospacing="0"/>
              <w:ind w:firstLine="1204" w:firstLineChars="502"/>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T——用于计算等效声级的时间，s；</w:t>
            </w:r>
          </w:p>
          <w:p w14:paraId="76E68042">
            <w:pPr>
              <w:pStyle w:val="60"/>
              <w:keepNext w:val="0"/>
              <w:keepLines w:val="0"/>
              <w:suppressLineNumbers w:val="0"/>
              <w:spacing w:before="0" w:beforeAutospacing="0" w:after="0" w:afterAutospacing="0"/>
              <w:ind w:firstLine="1204" w:firstLineChars="502"/>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N——室外声源个数；</w:t>
            </w:r>
          </w:p>
          <w:p w14:paraId="30CD88FF">
            <w:pPr>
              <w:pStyle w:val="60"/>
              <w:keepNext w:val="0"/>
              <w:keepLines w:val="0"/>
              <w:suppressLineNumbers w:val="0"/>
              <w:spacing w:before="0" w:beforeAutospacing="0" w:after="0" w:afterAutospacing="0"/>
              <w:ind w:firstLine="1204" w:firstLineChars="502"/>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 xml:space="preserve">ti——在 T 时间内i声源工作时间，s； </w:t>
            </w:r>
          </w:p>
          <w:p w14:paraId="103E2A19">
            <w:pPr>
              <w:pStyle w:val="60"/>
              <w:keepNext w:val="0"/>
              <w:keepLines w:val="0"/>
              <w:suppressLineNumbers w:val="0"/>
              <w:spacing w:before="0" w:beforeAutospacing="0" w:after="0" w:afterAutospacing="0"/>
              <w:ind w:firstLine="1204" w:firstLineChars="502"/>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 xml:space="preserve">m——等效室外声源个数； </w:t>
            </w:r>
          </w:p>
          <w:p w14:paraId="5B279D18">
            <w:pPr>
              <w:pStyle w:val="60"/>
              <w:keepNext w:val="0"/>
              <w:keepLines w:val="0"/>
              <w:suppressLineNumbers w:val="0"/>
              <w:spacing w:before="0" w:beforeAutospacing="0" w:after="0" w:afterAutospacing="0"/>
              <w:ind w:firstLine="1204" w:firstLineChars="502"/>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tj——在 T 时间内j声源工作时间，s。</w:t>
            </w:r>
          </w:p>
          <w:p w14:paraId="3C7D673A">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w:t>
            </w:r>
            <w:r>
              <w:rPr>
                <w:rFonts w:hint="eastAsia"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rPr>
              <w:t>）厂界噪声预测结果</w:t>
            </w:r>
          </w:p>
          <w:p w14:paraId="10EE7DA9">
            <w:pPr>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项目夜间不生产，仅预测昼间厂界噪声，根据噪声预测软件进行预测，项目昼间厂界噪声值如下表所示。</w:t>
            </w:r>
          </w:p>
          <w:p w14:paraId="45521050">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表4-</w:t>
            </w:r>
            <w:r>
              <w:rPr>
                <w:rFonts w:hint="eastAsia" w:cs="Times New Roman"/>
                <w:b/>
                <w:color w:val="auto"/>
                <w:sz w:val="21"/>
                <w:szCs w:val="21"/>
                <w:highlight w:val="none"/>
                <w:lang w:val="en-US" w:eastAsia="zh-CN"/>
              </w:rPr>
              <w:t>15</w:t>
            </w:r>
            <w:r>
              <w:rPr>
                <w:rFonts w:hint="default" w:ascii="Times New Roman" w:hAnsi="Times New Roman" w:eastAsia="宋体" w:cs="Times New Roman"/>
                <w:b/>
                <w:color w:val="auto"/>
                <w:sz w:val="21"/>
                <w:szCs w:val="21"/>
                <w:highlight w:val="none"/>
                <w:lang w:val="en-US" w:eastAsia="zh-CN"/>
              </w:rPr>
              <w:t xml:space="preserve"> </w:t>
            </w:r>
            <w:r>
              <w:rPr>
                <w:rFonts w:hint="default" w:ascii="Times New Roman" w:hAnsi="Times New Roman" w:eastAsia="宋体" w:cs="Times New Roman"/>
                <w:b/>
                <w:color w:val="auto"/>
                <w:sz w:val="21"/>
                <w:szCs w:val="21"/>
                <w:highlight w:val="none"/>
              </w:rPr>
              <w:t xml:space="preserve"> 项目昼间厂界四周噪声预测值     单位：dB（A）</w:t>
            </w:r>
          </w:p>
          <w:tbl>
            <w:tblPr>
              <w:tblStyle w:val="36"/>
              <w:tblW w:w="8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1064"/>
              <w:gridCol w:w="914"/>
              <w:gridCol w:w="944"/>
              <w:gridCol w:w="1196"/>
              <w:gridCol w:w="1010"/>
              <w:gridCol w:w="1185"/>
            </w:tblGrid>
            <w:tr w14:paraId="43B1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12DF4D3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项目厂界</w:t>
                  </w:r>
                </w:p>
              </w:tc>
              <w:tc>
                <w:tcPr>
                  <w:tcW w:w="1736" w:type="pct"/>
                  <w:gridSpan w:val="3"/>
                  <w:noWrap w:val="0"/>
                  <w:vAlign w:val="center"/>
                </w:tcPr>
                <w:p w14:paraId="30B083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kern w:val="0"/>
                      <w:sz w:val="20"/>
                      <w:szCs w:val="20"/>
                      <w:highlight w:val="none"/>
                      <w:lang w:val="en-US" w:eastAsia="zh-CN" w:bidi="ar"/>
                    </w:rPr>
                    <w:t>最大值点空间相对位置/m</w:t>
                  </w:r>
                </w:p>
              </w:tc>
              <w:tc>
                <w:tcPr>
                  <w:tcW w:w="710" w:type="pct"/>
                  <w:vMerge w:val="restart"/>
                  <w:noWrap w:val="0"/>
                  <w:vAlign w:val="center"/>
                </w:tcPr>
                <w:p w14:paraId="4BF43AA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贡献值</w:t>
                  </w:r>
                </w:p>
              </w:tc>
              <w:tc>
                <w:tcPr>
                  <w:tcW w:w="600" w:type="pct"/>
                  <w:vMerge w:val="restart"/>
                  <w:noWrap w:val="0"/>
                  <w:vAlign w:val="center"/>
                </w:tcPr>
                <w:p w14:paraId="52FA128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标准值</w:t>
                  </w:r>
                </w:p>
              </w:tc>
              <w:tc>
                <w:tcPr>
                  <w:tcW w:w="704" w:type="pct"/>
                  <w:vMerge w:val="restart"/>
                  <w:noWrap w:val="0"/>
                  <w:vAlign w:val="center"/>
                </w:tcPr>
                <w:p w14:paraId="02A5807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达标情况</w:t>
                  </w:r>
                </w:p>
              </w:tc>
            </w:tr>
            <w:tr w14:paraId="6366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19B6F6F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p>
              </w:tc>
              <w:tc>
                <w:tcPr>
                  <w:tcW w:w="632" w:type="pct"/>
                  <w:noWrap w:val="0"/>
                  <w:vAlign w:val="center"/>
                </w:tcPr>
                <w:p w14:paraId="613AC42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color w:val="auto"/>
                      <w:kern w:val="0"/>
                      <w:sz w:val="20"/>
                      <w:szCs w:val="20"/>
                      <w:highlight w:val="none"/>
                      <w:lang w:val="en-US" w:eastAsia="zh-CN" w:bidi="ar"/>
                    </w:rPr>
                    <w:t>X</w:t>
                  </w:r>
                </w:p>
              </w:tc>
              <w:tc>
                <w:tcPr>
                  <w:tcW w:w="543" w:type="pct"/>
                  <w:noWrap w:val="0"/>
                  <w:vAlign w:val="center"/>
                </w:tcPr>
                <w:p w14:paraId="4CE9D94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lang w:val="en-US"/>
                    </w:rPr>
                  </w:pPr>
                  <w:r>
                    <w:rPr>
                      <w:rFonts w:hint="default" w:ascii="Times New Roman" w:hAnsi="Times New Roman" w:eastAsia="宋体" w:cs="Times New Roman"/>
                      <w:color w:val="auto"/>
                      <w:kern w:val="0"/>
                      <w:sz w:val="20"/>
                      <w:szCs w:val="20"/>
                      <w:highlight w:val="none"/>
                      <w:lang w:val="en-US" w:eastAsia="zh-CN" w:bidi="ar"/>
                    </w:rPr>
                    <w:t>Y</w:t>
                  </w:r>
                </w:p>
              </w:tc>
              <w:tc>
                <w:tcPr>
                  <w:tcW w:w="561" w:type="pct"/>
                  <w:noWrap w:val="0"/>
                  <w:vAlign w:val="center"/>
                </w:tcPr>
                <w:p w14:paraId="4884996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color w:val="auto"/>
                      <w:kern w:val="0"/>
                      <w:sz w:val="20"/>
                      <w:szCs w:val="20"/>
                      <w:highlight w:val="none"/>
                      <w:lang w:val="en-US" w:eastAsia="zh-CN" w:bidi="ar"/>
                    </w:rPr>
                    <w:t>Z</w:t>
                  </w:r>
                </w:p>
              </w:tc>
              <w:tc>
                <w:tcPr>
                  <w:tcW w:w="710" w:type="pct"/>
                  <w:vMerge w:val="continue"/>
                  <w:noWrap w:val="0"/>
                  <w:vAlign w:val="center"/>
                </w:tcPr>
                <w:p w14:paraId="33F6F10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p>
              </w:tc>
              <w:tc>
                <w:tcPr>
                  <w:tcW w:w="600" w:type="pct"/>
                  <w:vMerge w:val="continue"/>
                  <w:noWrap w:val="0"/>
                  <w:vAlign w:val="center"/>
                </w:tcPr>
                <w:p w14:paraId="04EE0B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p>
              </w:tc>
              <w:tc>
                <w:tcPr>
                  <w:tcW w:w="704" w:type="pct"/>
                  <w:vMerge w:val="continue"/>
                  <w:noWrap w:val="0"/>
                  <w:vAlign w:val="center"/>
                </w:tcPr>
                <w:p w14:paraId="54B6ED9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Cs w:val="21"/>
                      <w:highlight w:val="none"/>
                    </w:rPr>
                  </w:pPr>
                </w:p>
              </w:tc>
            </w:tr>
            <w:tr w14:paraId="2DAA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506BCBA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西</w:t>
                  </w:r>
                  <w:r>
                    <w:rPr>
                      <w:rFonts w:hint="default" w:ascii="Times New Roman" w:hAnsi="Times New Roman" w:eastAsia="宋体" w:cs="Times New Roman"/>
                      <w:color w:val="auto"/>
                      <w:szCs w:val="21"/>
                      <w:highlight w:val="none"/>
                    </w:rPr>
                    <w:t>厂界贡献最大值</w:t>
                  </w:r>
                </w:p>
              </w:tc>
              <w:tc>
                <w:tcPr>
                  <w:tcW w:w="632" w:type="pct"/>
                  <w:vMerge w:val="restart"/>
                  <w:noWrap w:val="0"/>
                  <w:vAlign w:val="center"/>
                </w:tcPr>
                <w:p w14:paraId="07EDCE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-39.53</w:t>
                  </w:r>
                </w:p>
              </w:tc>
              <w:tc>
                <w:tcPr>
                  <w:tcW w:w="543" w:type="pct"/>
                  <w:vMerge w:val="restart"/>
                  <w:noWrap w:val="0"/>
                  <w:vAlign w:val="center"/>
                </w:tcPr>
                <w:p w14:paraId="5CC0C8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10.44</w:t>
                  </w:r>
                </w:p>
              </w:tc>
              <w:tc>
                <w:tcPr>
                  <w:tcW w:w="561" w:type="pct"/>
                  <w:vMerge w:val="restart"/>
                  <w:noWrap w:val="0"/>
                  <w:vAlign w:val="center"/>
                </w:tcPr>
                <w:p w14:paraId="0B6EDF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710" w:type="pct"/>
                  <w:vMerge w:val="restart"/>
                  <w:noWrap w:val="0"/>
                  <w:vAlign w:val="center"/>
                </w:tcPr>
                <w:p w14:paraId="19FC32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47.</w:t>
                  </w:r>
                  <w:r>
                    <w:rPr>
                      <w:rFonts w:hint="eastAsia" w:cs="Times New Roman"/>
                      <w:i w:val="0"/>
                      <w:iCs w:val="0"/>
                      <w:color w:val="auto"/>
                      <w:kern w:val="0"/>
                      <w:sz w:val="21"/>
                      <w:szCs w:val="21"/>
                      <w:highlight w:val="none"/>
                      <w:u w:val="none"/>
                      <w:lang w:val="en-US" w:eastAsia="zh-CN" w:bidi="ar"/>
                    </w:rPr>
                    <w:t>08</w:t>
                  </w:r>
                </w:p>
              </w:tc>
              <w:tc>
                <w:tcPr>
                  <w:tcW w:w="600" w:type="pct"/>
                  <w:noWrap w:val="0"/>
                  <w:vAlign w:val="center"/>
                </w:tcPr>
                <w:p w14:paraId="40D856B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昼间70</w:t>
                  </w:r>
                </w:p>
              </w:tc>
              <w:tc>
                <w:tcPr>
                  <w:tcW w:w="704" w:type="pct"/>
                  <w:noWrap w:val="0"/>
                  <w:vAlign w:val="center"/>
                </w:tcPr>
                <w:p w14:paraId="573AEFB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14:paraId="2527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58B6BA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p>
              </w:tc>
              <w:tc>
                <w:tcPr>
                  <w:tcW w:w="632" w:type="pct"/>
                  <w:vMerge w:val="continue"/>
                  <w:noWrap w:val="0"/>
                  <w:vAlign w:val="center"/>
                </w:tcPr>
                <w:p w14:paraId="74446B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43" w:type="pct"/>
                  <w:vMerge w:val="continue"/>
                  <w:noWrap w:val="0"/>
                  <w:vAlign w:val="center"/>
                </w:tcPr>
                <w:p w14:paraId="46689A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1" w:type="pct"/>
                  <w:vMerge w:val="continue"/>
                  <w:noWrap w:val="0"/>
                  <w:vAlign w:val="center"/>
                </w:tcPr>
                <w:p w14:paraId="0A6DF2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710" w:type="pct"/>
                  <w:vMerge w:val="continue"/>
                  <w:noWrap w:val="0"/>
                  <w:vAlign w:val="center"/>
                </w:tcPr>
                <w:p w14:paraId="5BD43C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00" w:type="pct"/>
                  <w:noWrap w:val="0"/>
                  <w:vAlign w:val="center"/>
                </w:tcPr>
                <w:p w14:paraId="5D9A65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夜间55</w:t>
                  </w:r>
                </w:p>
              </w:tc>
              <w:tc>
                <w:tcPr>
                  <w:tcW w:w="704" w:type="pct"/>
                  <w:noWrap w:val="0"/>
                  <w:vAlign w:val="center"/>
                </w:tcPr>
                <w:p w14:paraId="2480843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达标</w:t>
                  </w:r>
                </w:p>
              </w:tc>
            </w:tr>
            <w:tr w14:paraId="5A86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69F45AA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南厂界贡献最大值</w:t>
                  </w:r>
                </w:p>
              </w:tc>
              <w:tc>
                <w:tcPr>
                  <w:tcW w:w="632" w:type="pct"/>
                  <w:vMerge w:val="restart"/>
                  <w:noWrap w:val="0"/>
                  <w:vAlign w:val="center"/>
                </w:tcPr>
                <w:p w14:paraId="4B838E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-42.33</w:t>
                  </w:r>
                </w:p>
              </w:tc>
              <w:tc>
                <w:tcPr>
                  <w:tcW w:w="543" w:type="pct"/>
                  <w:vMerge w:val="restart"/>
                  <w:noWrap w:val="0"/>
                  <w:vAlign w:val="center"/>
                </w:tcPr>
                <w:p w14:paraId="0B9C23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5.27</w:t>
                  </w:r>
                </w:p>
              </w:tc>
              <w:tc>
                <w:tcPr>
                  <w:tcW w:w="561" w:type="pct"/>
                  <w:vMerge w:val="restart"/>
                  <w:noWrap w:val="0"/>
                  <w:vAlign w:val="center"/>
                </w:tcPr>
                <w:p w14:paraId="0D7367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710" w:type="pct"/>
                  <w:vMerge w:val="restart"/>
                  <w:noWrap w:val="0"/>
                  <w:vAlign w:val="center"/>
                </w:tcPr>
                <w:p w14:paraId="402A41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54.73</w:t>
                  </w:r>
                </w:p>
              </w:tc>
              <w:tc>
                <w:tcPr>
                  <w:tcW w:w="600" w:type="pct"/>
                  <w:shd w:val="clear" w:color="auto" w:fill="auto"/>
                  <w:noWrap w:val="0"/>
                  <w:vAlign w:val="center"/>
                </w:tcPr>
                <w:p w14:paraId="1721886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昼间</w:t>
                  </w:r>
                  <w:r>
                    <w:rPr>
                      <w:rFonts w:hint="default" w:ascii="Times New Roman" w:hAnsi="Times New Roman" w:eastAsia="宋体" w:cs="Times New Roman"/>
                      <w:color w:val="auto"/>
                      <w:sz w:val="21"/>
                      <w:szCs w:val="21"/>
                      <w:highlight w:val="none"/>
                      <w:lang w:val="en-US" w:eastAsia="zh-CN"/>
                    </w:rPr>
                    <w:t>65</w:t>
                  </w:r>
                </w:p>
              </w:tc>
              <w:tc>
                <w:tcPr>
                  <w:tcW w:w="704" w:type="pct"/>
                  <w:shd w:val="clear" w:color="auto" w:fill="auto"/>
                  <w:noWrap w:val="0"/>
                  <w:vAlign w:val="center"/>
                </w:tcPr>
                <w:p w14:paraId="3071A25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达标</w:t>
                  </w:r>
                </w:p>
              </w:tc>
            </w:tr>
            <w:tr w14:paraId="11A5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4F3376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632" w:type="pct"/>
                  <w:vMerge w:val="continue"/>
                  <w:noWrap w:val="0"/>
                  <w:vAlign w:val="center"/>
                </w:tcPr>
                <w:p w14:paraId="29E475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43" w:type="pct"/>
                  <w:vMerge w:val="continue"/>
                  <w:noWrap w:val="0"/>
                  <w:vAlign w:val="center"/>
                </w:tcPr>
                <w:p w14:paraId="580DD1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1" w:type="pct"/>
                  <w:vMerge w:val="continue"/>
                  <w:noWrap w:val="0"/>
                  <w:vAlign w:val="center"/>
                </w:tcPr>
                <w:p w14:paraId="6A693A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710" w:type="pct"/>
                  <w:vMerge w:val="continue"/>
                  <w:noWrap w:val="0"/>
                  <w:vAlign w:val="center"/>
                </w:tcPr>
                <w:p w14:paraId="3237BC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00" w:type="pct"/>
                  <w:shd w:val="clear" w:color="auto" w:fill="auto"/>
                  <w:noWrap w:val="0"/>
                  <w:vAlign w:val="center"/>
                </w:tcPr>
                <w:p w14:paraId="3E0DA8D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夜间55</w:t>
                  </w:r>
                </w:p>
              </w:tc>
              <w:tc>
                <w:tcPr>
                  <w:tcW w:w="704" w:type="pct"/>
                  <w:shd w:val="clear" w:color="auto" w:fill="auto"/>
                  <w:noWrap w:val="0"/>
                  <w:vAlign w:val="center"/>
                </w:tcPr>
                <w:p w14:paraId="31B551E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达标</w:t>
                  </w:r>
                </w:p>
              </w:tc>
            </w:tr>
            <w:tr w14:paraId="39CB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6E3C6C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东</w:t>
                  </w:r>
                  <w:r>
                    <w:rPr>
                      <w:rFonts w:hint="default" w:ascii="Times New Roman" w:hAnsi="Times New Roman" w:eastAsia="宋体" w:cs="Times New Roman"/>
                      <w:color w:val="auto"/>
                      <w:szCs w:val="21"/>
                      <w:highlight w:val="none"/>
                    </w:rPr>
                    <w:t>厂界贡献最大值</w:t>
                  </w:r>
                </w:p>
              </w:tc>
              <w:tc>
                <w:tcPr>
                  <w:tcW w:w="632" w:type="pct"/>
                  <w:vMerge w:val="restart"/>
                  <w:noWrap w:val="0"/>
                  <w:vAlign w:val="center"/>
                </w:tcPr>
                <w:p w14:paraId="22B5EB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39.29</w:t>
                  </w:r>
                </w:p>
              </w:tc>
              <w:tc>
                <w:tcPr>
                  <w:tcW w:w="543" w:type="pct"/>
                  <w:vMerge w:val="restart"/>
                  <w:noWrap w:val="0"/>
                  <w:vAlign w:val="center"/>
                </w:tcPr>
                <w:p w14:paraId="02B6DB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-5.30</w:t>
                  </w:r>
                </w:p>
              </w:tc>
              <w:tc>
                <w:tcPr>
                  <w:tcW w:w="561" w:type="pct"/>
                  <w:vMerge w:val="restart"/>
                  <w:noWrap w:val="0"/>
                  <w:vAlign w:val="center"/>
                </w:tcPr>
                <w:p w14:paraId="3623B65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710" w:type="pct"/>
                  <w:vMerge w:val="restart"/>
                  <w:noWrap w:val="0"/>
                  <w:vAlign w:val="center"/>
                </w:tcPr>
                <w:p w14:paraId="7DE5A2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eastAsia="zh-CN"/>
                    </w:rPr>
                  </w:pPr>
                  <w:r>
                    <w:rPr>
                      <w:rFonts w:hint="eastAsia" w:cs="Times New Roman"/>
                      <w:i w:val="0"/>
                      <w:iCs w:val="0"/>
                      <w:color w:val="auto"/>
                      <w:kern w:val="0"/>
                      <w:sz w:val="21"/>
                      <w:szCs w:val="21"/>
                      <w:highlight w:val="none"/>
                      <w:u w:val="none"/>
                      <w:lang w:val="en-US" w:eastAsia="zh-CN" w:bidi="ar"/>
                    </w:rPr>
                    <w:t>54.73</w:t>
                  </w:r>
                </w:p>
              </w:tc>
              <w:tc>
                <w:tcPr>
                  <w:tcW w:w="600" w:type="pct"/>
                  <w:shd w:val="clear" w:color="auto" w:fill="auto"/>
                  <w:noWrap w:val="0"/>
                  <w:vAlign w:val="center"/>
                </w:tcPr>
                <w:p w14:paraId="7A67AF8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昼间</w:t>
                  </w:r>
                  <w:r>
                    <w:rPr>
                      <w:rFonts w:hint="default" w:ascii="Times New Roman" w:hAnsi="Times New Roman" w:eastAsia="宋体" w:cs="Times New Roman"/>
                      <w:color w:val="auto"/>
                      <w:sz w:val="21"/>
                      <w:szCs w:val="21"/>
                      <w:highlight w:val="none"/>
                      <w:lang w:val="en-US" w:eastAsia="zh-CN"/>
                    </w:rPr>
                    <w:t>65</w:t>
                  </w:r>
                </w:p>
              </w:tc>
              <w:tc>
                <w:tcPr>
                  <w:tcW w:w="704" w:type="pct"/>
                  <w:shd w:val="clear" w:color="auto" w:fill="auto"/>
                  <w:noWrap w:val="0"/>
                  <w:vAlign w:val="center"/>
                </w:tcPr>
                <w:p w14:paraId="6AA5D60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达标</w:t>
                  </w:r>
                </w:p>
              </w:tc>
            </w:tr>
            <w:tr w14:paraId="7B8A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32ECF26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p>
              </w:tc>
              <w:tc>
                <w:tcPr>
                  <w:tcW w:w="632" w:type="pct"/>
                  <w:vMerge w:val="continue"/>
                  <w:noWrap w:val="0"/>
                  <w:vAlign w:val="center"/>
                </w:tcPr>
                <w:p w14:paraId="050DCB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43" w:type="pct"/>
                  <w:vMerge w:val="continue"/>
                  <w:noWrap w:val="0"/>
                  <w:vAlign w:val="center"/>
                </w:tcPr>
                <w:p w14:paraId="0ABA74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1" w:type="pct"/>
                  <w:vMerge w:val="continue"/>
                  <w:noWrap w:val="0"/>
                  <w:vAlign w:val="center"/>
                </w:tcPr>
                <w:p w14:paraId="49D404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710" w:type="pct"/>
                  <w:vMerge w:val="continue"/>
                  <w:noWrap w:val="0"/>
                  <w:vAlign w:val="center"/>
                </w:tcPr>
                <w:p w14:paraId="1F3698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00" w:type="pct"/>
                  <w:shd w:val="clear" w:color="auto" w:fill="auto"/>
                  <w:noWrap w:val="0"/>
                  <w:vAlign w:val="center"/>
                </w:tcPr>
                <w:p w14:paraId="628668A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夜间55</w:t>
                  </w:r>
                </w:p>
              </w:tc>
              <w:tc>
                <w:tcPr>
                  <w:tcW w:w="704" w:type="pct"/>
                  <w:shd w:val="clear" w:color="auto" w:fill="auto"/>
                  <w:noWrap w:val="0"/>
                  <w:vAlign w:val="center"/>
                </w:tcPr>
                <w:p w14:paraId="2F07F4C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达标</w:t>
                  </w:r>
                </w:p>
              </w:tc>
            </w:tr>
            <w:tr w14:paraId="42D7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379A101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北厂界贡献最大值</w:t>
                  </w:r>
                </w:p>
              </w:tc>
              <w:tc>
                <w:tcPr>
                  <w:tcW w:w="632" w:type="pct"/>
                  <w:vMerge w:val="restart"/>
                  <w:noWrap w:val="0"/>
                  <w:vAlign w:val="center"/>
                </w:tcPr>
                <w:p w14:paraId="6497A2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-14.78</w:t>
                  </w:r>
                </w:p>
              </w:tc>
              <w:tc>
                <w:tcPr>
                  <w:tcW w:w="543" w:type="pct"/>
                  <w:vMerge w:val="restart"/>
                  <w:noWrap w:val="0"/>
                  <w:vAlign w:val="center"/>
                </w:tcPr>
                <w:p w14:paraId="1F36B9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20.71</w:t>
                  </w:r>
                </w:p>
              </w:tc>
              <w:tc>
                <w:tcPr>
                  <w:tcW w:w="561" w:type="pct"/>
                  <w:vMerge w:val="restart"/>
                  <w:noWrap w:val="0"/>
                  <w:vAlign w:val="center"/>
                </w:tcPr>
                <w:p w14:paraId="6BC3242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710" w:type="pct"/>
                  <w:vMerge w:val="restart"/>
                  <w:noWrap w:val="0"/>
                  <w:vAlign w:val="center"/>
                </w:tcPr>
                <w:p w14:paraId="2E0793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47.74</w:t>
                  </w:r>
                </w:p>
              </w:tc>
              <w:tc>
                <w:tcPr>
                  <w:tcW w:w="600" w:type="pct"/>
                  <w:shd w:val="clear" w:color="auto" w:fill="auto"/>
                  <w:noWrap w:val="0"/>
                  <w:vAlign w:val="center"/>
                </w:tcPr>
                <w:p w14:paraId="69D5E69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昼间</w:t>
                  </w:r>
                  <w:r>
                    <w:rPr>
                      <w:rFonts w:hint="default" w:ascii="Times New Roman" w:hAnsi="Times New Roman" w:eastAsia="宋体" w:cs="Times New Roman"/>
                      <w:color w:val="auto"/>
                      <w:sz w:val="21"/>
                      <w:szCs w:val="21"/>
                      <w:highlight w:val="none"/>
                      <w:lang w:val="en-US" w:eastAsia="zh-CN"/>
                    </w:rPr>
                    <w:t>65</w:t>
                  </w:r>
                </w:p>
              </w:tc>
              <w:tc>
                <w:tcPr>
                  <w:tcW w:w="704" w:type="pct"/>
                  <w:shd w:val="clear" w:color="auto" w:fill="auto"/>
                  <w:noWrap w:val="0"/>
                  <w:vAlign w:val="center"/>
                </w:tcPr>
                <w:p w14:paraId="42201D4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达标</w:t>
                  </w:r>
                </w:p>
              </w:tc>
            </w:tr>
            <w:tr w14:paraId="124B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6FD947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632" w:type="pct"/>
                  <w:vMerge w:val="continue"/>
                  <w:noWrap w:val="0"/>
                  <w:vAlign w:val="center"/>
                </w:tcPr>
                <w:p w14:paraId="45D388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43" w:type="pct"/>
                  <w:vMerge w:val="continue"/>
                  <w:noWrap w:val="0"/>
                  <w:vAlign w:val="center"/>
                </w:tcPr>
                <w:p w14:paraId="30D5B2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1" w:type="pct"/>
                  <w:vMerge w:val="continue"/>
                  <w:noWrap w:val="0"/>
                  <w:vAlign w:val="center"/>
                </w:tcPr>
                <w:p w14:paraId="0947BA9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c>
                <w:tcPr>
                  <w:tcW w:w="710" w:type="pct"/>
                  <w:vMerge w:val="continue"/>
                  <w:noWrap w:val="0"/>
                  <w:vAlign w:val="center"/>
                </w:tcPr>
                <w:p w14:paraId="6C0974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00" w:type="pct"/>
                  <w:shd w:val="clear" w:color="auto" w:fill="auto"/>
                  <w:noWrap w:val="0"/>
                  <w:vAlign w:val="center"/>
                </w:tcPr>
                <w:p w14:paraId="3CD1601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夜间55</w:t>
                  </w:r>
                </w:p>
              </w:tc>
              <w:tc>
                <w:tcPr>
                  <w:tcW w:w="704" w:type="pct"/>
                  <w:shd w:val="clear" w:color="auto" w:fill="auto"/>
                  <w:noWrap w:val="0"/>
                  <w:vAlign w:val="center"/>
                </w:tcPr>
                <w:p w14:paraId="71D2FC6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达标</w:t>
                  </w:r>
                </w:p>
              </w:tc>
            </w:tr>
            <w:tr w14:paraId="67F0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25CB88B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厂界线最大点</w:t>
                  </w:r>
                </w:p>
              </w:tc>
              <w:tc>
                <w:tcPr>
                  <w:tcW w:w="632" w:type="pct"/>
                  <w:vMerge w:val="restart"/>
                  <w:noWrap w:val="0"/>
                  <w:vAlign w:val="center"/>
                </w:tcPr>
                <w:p w14:paraId="301A05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-14.78</w:t>
                  </w:r>
                </w:p>
              </w:tc>
              <w:tc>
                <w:tcPr>
                  <w:tcW w:w="543" w:type="pct"/>
                  <w:vMerge w:val="restart"/>
                  <w:noWrap w:val="0"/>
                  <w:vAlign w:val="center"/>
                </w:tcPr>
                <w:p w14:paraId="019F47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20.71</w:t>
                  </w:r>
                </w:p>
              </w:tc>
              <w:tc>
                <w:tcPr>
                  <w:tcW w:w="561" w:type="pct"/>
                  <w:vMerge w:val="restart"/>
                  <w:noWrap w:val="0"/>
                  <w:vAlign w:val="center"/>
                </w:tcPr>
                <w:p w14:paraId="5C9B639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710" w:type="pct"/>
                  <w:vMerge w:val="restart"/>
                  <w:noWrap w:val="0"/>
                  <w:vAlign w:val="center"/>
                </w:tcPr>
                <w:p w14:paraId="2274E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54.73</w:t>
                  </w:r>
                </w:p>
              </w:tc>
              <w:tc>
                <w:tcPr>
                  <w:tcW w:w="600" w:type="pct"/>
                  <w:shd w:val="clear" w:color="auto" w:fill="auto"/>
                  <w:noWrap w:val="0"/>
                  <w:vAlign w:val="center"/>
                </w:tcPr>
                <w:p w14:paraId="38415296">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昼间</w:t>
                  </w:r>
                  <w:r>
                    <w:rPr>
                      <w:rFonts w:hint="default" w:ascii="Times New Roman" w:hAnsi="Times New Roman" w:eastAsia="宋体" w:cs="Times New Roman"/>
                      <w:color w:val="auto"/>
                      <w:sz w:val="21"/>
                      <w:szCs w:val="21"/>
                      <w:highlight w:val="none"/>
                      <w:lang w:val="en-US" w:eastAsia="zh-CN"/>
                    </w:rPr>
                    <w:t>65</w:t>
                  </w:r>
                </w:p>
              </w:tc>
              <w:tc>
                <w:tcPr>
                  <w:tcW w:w="704" w:type="pct"/>
                  <w:shd w:val="clear" w:color="auto" w:fill="auto"/>
                  <w:noWrap w:val="0"/>
                  <w:vAlign w:val="center"/>
                </w:tcPr>
                <w:p w14:paraId="279FA475">
                  <w:pPr>
                    <w:keepNext w:val="0"/>
                    <w:keepLines w:val="0"/>
                    <w:suppressLineNumbers w:val="0"/>
                    <w:spacing w:before="0" w:beforeAutospacing="0" w:after="0" w:afterAutospacing="0" w:line="240" w:lineRule="auto"/>
                    <w:ind w:left="0" w:leftChars="0" w:right="0" w:rightChars="0"/>
                    <w:jc w:val="center"/>
                    <w:rPr>
                      <w:rFonts w:hint="eastAsia" w:cs="Times New Roman"/>
                      <w:color w:val="auto"/>
                      <w:szCs w:val="21"/>
                      <w:highlight w:val="none"/>
                      <w:lang w:val="en-US" w:eastAsia="zh-CN"/>
                    </w:rPr>
                  </w:pPr>
                  <w:r>
                    <w:rPr>
                      <w:rFonts w:hint="default" w:ascii="Times New Roman" w:hAnsi="Times New Roman" w:eastAsia="宋体" w:cs="Times New Roman"/>
                      <w:color w:val="auto"/>
                      <w:szCs w:val="21"/>
                      <w:highlight w:val="none"/>
                    </w:rPr>
                    <w:t>达标</w:t>
                  </w:r>
                </w:p>
              </w:tc>
            </w:tr>
            <w:tr w14:paraId="68FD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6C981DE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p>
              </w:tc>
              <w:tc>
                <w:tcPr>
                  <w:tcW w:w="632" w:type="pct"/>
                  <w:vMerge w:val="continue"/>
                  <w:noWrap w:val="0"/>
                  <w:vAlign w:val="center"/>
                </w:tcPr>
                <w:p w14:paraId="524E4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43" w:type="pct"/>
                  <w:vMerge w:val="continue"/>
                  <w:noWrap w:val="0"/>
                  <w:vAlign w:val="center"/>
                </w:tcPr>
                <w:p w14:paraId="0D3DC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1" w:type="pct"/>
                  <w:vMerge w:val="continue"/>
                  <w:noWrap w:val="0"/>
                  <w:vAlign w:val="center"/>
                </w:tcPr>
                <w:p w14:paraId="2BFAFCF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p>
              </w:tc>
              <w:tc>
                <w:tcPr>
                  <w:tcW w:w="710" w:type="pct"/>
                  <w:vMerge w:val="continue"/>
                  <w:noWrap w:val="0"/>
                  <w:vAlign w:val="center"/>
                </w:tcPr>
                <w:p w14:paraId="47E16C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00" w:type="pct"/>
                  <w:shd w:val="clear" w:color="auto" w:fill="auto"/>
                  <w:noWrap w:val="0"/>
                  <w:vAlign w:val="center"/>
                </w:tcPr>
                <w:p w14:paraId="3DF77021">
                  <w:pPr>
                    <w:keepNext w:val="0"/>
                    <w:keepLines w:val="0"/>
                    <w:suppressLineNumbers w:val="0"/>
                    <w:spacing w:before="0" w:beforeAutospacing="0" w:after="0" w:afterAutospacing="0" w:line="240" w:lineRule="auto"/>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夜间55</w:t>
                  </w:r>
                </w:p>
              </w:tc>
              <w:tc>
                <w:tcPr>
                  <w:tcW w:w="704" w:type="pct"/>
                  <w:shd w:val="clear" w:color="auto" w:fill="auto"/>
                  <w:noWrap w:val="0"/>
                  <w:vAlign w:val="center"/>
                </w:tcPr>
                <w:p w14:paraId="5CA00DD0">
                  <w:pPr>
                    <w:keepNext w:val="0"/>
                    <w:keepLines w:val="0"/>
                    <w:suppressLineNumbers w:val="0"/>
                    <w:spacing w:before="0" w:beforeAutospacing="0" w:after="0" w:afterAutospacing="0" w:line="240" w:lineRule="auto"/>
                    <w:ind w:left="0" w:leftChars="0" w:right="0" w:rightChars="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达标</w:t>
                  </w:r>
                </w:p>
              </w:tc>
            </w:tr>
            <w:tr w14:paraId="4844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restart"/>
                  <w:noWrap w:val="0"/>
                  <w:vAlign w:val="center"/>
                </w:tcPr>
                <w:p w14:paraId="148CA64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厂界外网格最大点</w:t>
                  </w:r>
                </w:p>
              </w:tc>
              <w:tc>
                <w:tcPr>
                  <w:tcW w:w="632" w:type="pct"/>
                  <w:vMerge w:val="restart"/>
                  <w:noWrap w:val="0"/>
                  <w:vAlign w:val="center"/>
                </w:tcPr>
                <w:p w14:paraId="5C6687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10</w:t>
                  </w:r>
                </w:p>
              </w:tc>
              <w:tc>
                <w:tcPr>
                  <w:tcW w:w="543" w:type="pct"/>
                  <w:vMerge w:val="restart"/>
                  <w:noWrap w:val="0"/>
                  <w:vAlign w:val="center"/>
                </w:tcPr>
                <w:p w14:paraId="577FA9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10</w:t>
                  </w:r>
                </w:p>
              </w:tc>
              <w:tc>
                <w:tcPr>
                  <w:tcW w:w="561" w:type="pct"/>
                  <w:vMerge w:val="restart"/>
                  <w:noWrap w:val="0"/>
                  <w:vAlign w:val="center"/>
                </w:tcPr>
                <w:p w14:paraId="6E0EDC8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w:t>
                  </w:r>
                </w:p>
              </w:tc>
              <w:tc>
                <w:tcPr>
                  <w:tcW w:w="710" w:type="pct"/>
                  <w:vMerge w:val="restart"/>
                  <w:noWrap w:val="0"/>
                  <w:vAlign w:val="center"/>
                </w:tcPr>
                <w:p w14:paraId="59647B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53.44</w:t>
                  </w:r>
                </w:p>
              </w:tc>
              <w:tc>
                <w:tcPr>
                  <w:tcW w:w="600" w:type="pct"/>
                  <w:shd w:val="clear" w:color="auto" w:fill="auto"/>
                  <w:noWrap w:val="0"/>
                  <w:vAlign w:val="center"/>
                </w:tcPr>
                <w:p w14:paraId="182C794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昼间</w:t>
                  </w:r>
                  <w:r>
                    <w:rPr>
                      <w:rFonts w:hint="default" w:ascii="Times New Roman" w:hAnsi="Times New Roman" w:eastAsia="宋体" w:cs="Times New Roman"/>
                      <w:color w:val="auto"/>
                      <w:sz w:val="21"/>
                      <w:szCs w:val="21"/>
                      <w:highlight w:val="none"/>
                      <w:lang w:val="en-US" w:eastAsia="zh-CN"/>
                    </w:rPr>
                    <w:t>65</w:t>
                  </w:r>
                </w:p>
              </w:tc>
              <w:tc>
                <w:tcPr>
                  <w:tcW w:w="704" w:type="pct"/>
                  <w:shd w:val="clear" w:color="auto" w:fill="auto"/>
                  <w:noWrap w:val="0"/>
                  <w:vAlign w:val="center"/>
                </w:tcPr>
                <w:p w14:paraId="177136D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达标</w:t>
                  </w:r>
                </w:p>
              </w:tc>
            </w:tr>
            <w:tr w14:paraId="1BFF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8" w:type="pct"/>
                  <w:vMerge w:val="continue"/>
                  <w:noWrap w:val="0"/>
                  <w:vAlign w:val="center"/>
                </w:tcPr>
                <w:p w14:paraId="722DC54A">
                  <w:pPr>
                    <w:keepNext w:val="0"/>
                    <w:keepLines w:val="0"/>
                    <w:suppressLineNumbers w:val="0"/>
                    <w:spacing w:before="0" w:beforeAutospacing="0" w:after="0" w:afterAutospacing="0" w:line="240" w:lineRule="auto"/>
                    <w:ind w:left="0" w:right="0"/>
                    <w:jc w:val="center"/>
                    <w:rPr>
                      <w:rFonts w:hint="eastAsia" w:cs="Times New Roman"/>
                      <w:color w:val="auto"/>
                      <w:szCs w:val="21"/>
                      <w:highlight w:val="none"/>
                      <w:lang w:val="en-US" w:eastAsia="zh-CN"/>
                    </w:rPr>
                  </w:pPr>
                </w:p>
              </w:tc>
              <w:tc>
                <w:tcPr>
                  <w:tcW w:w="632" w:type="pct"/>
                  <w:vMerge w:val="continue"/>
                  <w:noWrap w:val="0"/>
                  <w:vAlign w:val="center"/>
                </w:tcPr>
                <w:p w14:paraId="5963B8FF">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18"/>
                      <w:szCs w:val="18"/>
                      <w:highlight w:val="none"/>
                      <w:u w:val="none"/>
                      <w:lang w:val="en-US" w:eastAsia="zh-CN" w:bidi="ar"/>
                    </w:rPr>
                  </w:pPr>
                </w:p>
              </w:tc>
              <w:tc>
                <w:tcPr>
                  <w:tcW w:w="543" w:type="pct"/>
                  <w:vMerge w:val="continue"/>
                  <w:noWrap w:val="0"/>
                  <w:vAlign w:val="center"/>
                </w:tcPr>
                <w:p w14:paraId="37F716C4">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18"/>
                      <w:szCs w:val="18"/>
                      <w:highlight w:val="none"/>
                      <w:u w:val="none"/>
                      <w:lang w:val="en-US" w:eastAsia="zh-CN" w:bidi="ar"/>
                    </w:rPr>
                  </w:pPr>
                </w:p>
              </w:tc>
              <w:tc>
                <w:tcPr>
                  <w:tcW w:w="561" w:type="pct"/>
                  <w:vMerge w:val="continue"/>
                  <w:noWrap w:val="0"/>
                  <w:vAlign w:val="center"/>
                </w:tcPr>
                <w:p w14:paraId="5BC6A19E">
                  <w:pPr>
                    <w:keepNext w:val="0"/>
                    <w:keepLines w:val="0"/>
                    <w:suppressLineNumbers w:val="0"/>
                    <w:spacing w:before="0" w:beforeAutospacing="0" w:after="0" w:afterAutospacing="0" w:line="240" w:lineRule="auto"/>
                    <w:ind w:left="0" w:right="0"/>
                    <w:jc w:val="center"/>
                    <w:rPr>
                      <w:rFonts w:hint="eastAsia" w:cs="Times New Roman"/>
                      <w:color w:val="auto"/>
                      <w:sz w:val="21"/>
                      <w:szCs w:val="21"/>
                      <w:highlight w:val="none"/>
                      <w:lang w:val="en-US" w:eastAsia="zh-CN"/>
                    </w:rPr>
                  </w:pPr>
                </w:p>
              </w:tc>
              <w:tc>
                <w:tcPr>
                  <w:tcW w:w="710" w:type="pct"/>
                  <w:vMerge w:val="continue"/>
                  <w:noWrap w:val="0"/>
                  <w:vAlign w:val="center"/>
                </w:tcPr>
                <w:p w14:paraId="69C7FC6E">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highlight w:val="none"/>
                      <w:u w:val="none"/>
                      <w:lang w:val="en-US" w:eastAsia="zh-CN" w:bidi="ar"/>
                    </w:rPr>
                  </w:pPr>
                </w:p>
              </w:tc>
              <w:tc>
                <w:tcPr>
                  <w:tcW w:w="600" w:type="pct"/>
                  <w:shd w:val="clear" w:color="auto" w:fill="auto"/>
                  <w:noWrap w:val="0"/>
                  <w:vAlign w:val="center"/>
                </w:tcPr>
                <w:p w14:paraId="41FFBC9E">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夜间55</w:t>
                  </w:r>
                </w:p>
              </w:tc>
              <w:tc>
                <w:tcPr>
                  <w:tcW w:w="704" w:type="pct"/>
                  <w:shd w:val="clear" w:color="auto" w:fill="auto"/>
                  <w:noWrap w:val="0"/>
                  <w:vAlign w:val="center"/>
                </w:tcPr>
                <w:p w14:paraId="73FE79F2">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达标</w:t>
                  </w:r>
                </w:p>
              </w:tc>
            </w:tr>
            <w:tr w14:paraId="0930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noWrap w:val="0"/>
                  <w:vAlign w:val="center"/>
                </w:tcPr>
                <w:p w14:paraId="1D37CE45">
                  <w:pPr>
                    <w:keepNext w:val="0"/>
                    <w:keepLines w:val="0"/>
                    <w:suppressLineNumbers w:val="0"/>
                    <w:spacing w:before="0" w:beforeAutospacing="0" w:after="0" w:afterAutospacing="0" w:line="240" w:lineRule="auto"/>
                    <w:ind w:left="0" w:leftChars="0" w:right="0" w:rightChars="0"/>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注：东、南、西、北侧最大贡献值及厂界线最大点最大贡献值以各厂界线为曲线步长10m的曲线点预测所得；厂界外网格最大点以（x，y）为（-500，-500）至（500，500）、步长10m的计算网格计算所得，项目贡献值等声值线图见图4-1所示。</w:t>
                  </w:r>
                </w:p>
              </w:tc>
            </w:tr>
          </w:tbl>
          <w:p w14:paraId="2C9ECA30">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根据上表预测结果，</w:t>
            </w:r>
            <w:r>
              <w:rPr>
                <w:rFonts w:hint="default" w:ascii="Times New Roman" w:hAnsi="Times New Roman" w:eastAsia="宋体" w:cs="Times New Roman"/>
                <w:color w:val="auto"/>
                <w:kern w:val="0"/>
                <w:sz w:val="24"/>
                <w:szCs w:val="24"/>
                <w:highlight w:val="none"/>
                <w:lang w:val="en-US" w:eastAsia="zh-CN" w:bidi="ar"/>
              </w:rPr>
              <w:t>项目生产设备在</w:t>
            </w:r>
            <w:r>
              <w:rPr>
                <w:rFonts w:hint="eastAsia" w:ascii="Times New Roman" w:hAnsi="Times New Roman" w:eastAsia="宋体" w:cs="Times New Roman"/>
                <w:color w:val="auto"/>
                <w:kern w:val="0"/>
                <w:sz w:val="24"/>
                <w:szCs w:val="24"/>
                <w:highlight w:val="none"/>
                <w:lang w:val="en-US" w:eastAsia="zh-CN" w:bidi="ar"/>
              </w:rPr>
              <w:t>经过</w:t>
            </w:r>
            <w:r>
              <w:rPr>
                <w:rFonts w:hint="default" w:ascii="Times New Roman" w:hAnsi="Times New Roman" w:eastAsia="宋体" w:cs="Times New Roman"/>
                <w:color w:val="auto"/>
                <w:kern w:val="0"/>
                <w:sz w:val="24"/>
                <w:szCs w:val="24"/>
                <w:highlight w:val="none"/>
                <w:lang w:val="en-US" w:eastAsia="zh-CN" w:bidi="ar"/>
              </w:rPr>
              <w:t>降噪措施、距离衰减后，项目</w:t>
            </w:r>
            <w:r>
              <w:rPr>
                <w:rFonts w:hint="eastAsia" w:cs="Times New Roman"/>
                <w:color w:val="auto"/>
                <w:kern w:val="0"/>
                <w:sz w:val="24"/>
                <w:szCs w:val="24"/>
                <w:highlight w:val="none"/>
                <w:lang w:val="en-US" w:eastAsia="zh-CN" w:bidi="ar"/>
              </w:rPr>
              <w:t>东、南、北面</w:t>
            </w:r>
            <w:r>
              <w:rPr>
                <w:rFonts w:hint="eastAsia" w:cs="Times New Roman"/>
                <w:color w:val="auto"/>
                <w:sz w:val="24"/>
                <w:szCs w:val="24"/>
                <w:highlight w:val="none"/>
                <w:lang w:val="en-US" w:eastAsia="zh-CN"/>
              </w:rPr>
              <w:t>厂界外网格最大点贡献值</w:t>
            </w:r>
            <w:r>
              <w:rPr>
                <w:rFonts w:hint="eastAsia" w:cs="Times New Roman"/>
                <w:color w:val="auto"/>
                <w:kern w:val="0"/>
                <w:sz w:val="24"/>
                <w:szCs w:val="24"/>
                <w:highlight w:val="none"/>
                <w:lang w:val="en-US" w:eastAsia="zh-CN" w:bidi="ar"/>
              </w:rPr>
              <w:t>均能</w:t>
            </w:r>
            <w:r>
              <w:rPr>
                <w:rFonts w:hint="default" w:ascii="Times New Roman" w:hAnsi="Times New Roman" w:eastAsia="宋体" w:cs="Times New Roman"/>
                <w:color w:val="auto"/>
                <w:kern w:val="0"/>
                <w:sz w:val="24"/>
                <w:szCs w:val="24"/>
                <w:highlight w:val="none"/>
                <w:lang w:val="en-US" w:eastAsia="zh-CN" w:bidi="ar"/>
              </w:rPr>
              <w:t>满足《工业企业厂界环境噪声排放标准》（GB12348-2008）中3类标准要求（昼间≤65dB(A)</w:t>
            </w:r>
            <w:r>
              <w:rPr>
                <w:rFonts w:hint="eastAsia" w:cs="Times New Roman"/>
                <w:color w:val="auto"/>
                <w:kern w:val="0"/>
                <w:sz w:val="24"/>
                <w:szCs w:val="24"/>
                <w:highlight w:val="none"/>
                <w:lang w:val="en-US" w:eastAsia="zh-CN" w:bidi="ar"/>
              </w:rPr>
              <w:t>，夜间</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val="en-US" w:eastAsia="zh-CN" w:bidi="ar"/>
              </w:rPr>
              <w:t>5dB(A)）</w:t>
            </w:r>
            <w:r>
              <w:rPr>
                <w:rFonts w:hint="eastAsia" w:cs="Times New Roman"/>
                <w:color w:val="auto"/>
                <w:kern w:val="0"/>
                <w:sz w:val="24"/>
                <w:szCs w:val="24"/>
                <w:highlight w:val="none"/>
                <w:lang w:val="en-US" w:eastAsia="zh-CN" w:bidi="ar"/>
              </w:rPr>
              <w:t>，项目西面</w:t>
            </w:r>
            <w:r>
              <w:rPr>
                <w:rFonts w:hint="eastAsia" w:cs="Times New Roman"/>
                <w:color w:val="auto"/>
                <w:sz w:val="24"/>
                <w:szCs w:val="24"/>
                <w:highlight w:val="none"/>
                <w:lang w:val="en-US" w:eastAsia="zh-CN"/>
              </w:rPr>
              <w:t>厂界外网格最大点贡献值</w:t>
            </w:r>
            <w:r>
              <w:rPr>
                <w:rFonts w:hint="eastAsia" w:cs="Times New Roman"/>
                <w:color w:val="auto"/>
                <w:kern w:val="0"/>
                <w:sz w:val="24"/>
                <w:szCs w:val="24"/>
                <w:highlight w:val="none"/>
                <w:lang w:val="en-US" w:eastAsia="zh-CN" w:bidi="ar"/>
              </w:rPr>
              <w:t>均能</w:t>
            </w:r>
            <w:r>
              <w:rPr>
                <w:rFonts w:hint="default" w:ascii="Times New Roman" w:hAnsi="Times New Roman" w:eastAsia="宋体" w:cs="Times New Roman"/>
                <w:color w:val="auto"/>
                <w:kern w:val="0"/>
                <w:sz w:val="24"/>
                <w:szCs w:val="24"/>
                <w:highlight w:val="none"/>
                <w:lang w:val="en-US" w:eastAsia="zh-CN" w:bidi="ar"/>
              </w:rPr>
              <w:t>满足《工业企业厂界环境噪声排放标准》（GB12348-2008）中</w:t>
            </w:r>
            <w:r>
              <w:rPr>
                <w:rFonts w:hint="eastAsia" w:ascii="Times New Roman" w:hAnsi="Times New Roman" w:eastAsia="宋体" w:cs="Times New Roman"/>
                <w:color w:val="auto"/>
                <w:kern w:val="0"/>
                <w:sz w:val="24"/>
                <w:szCs w:val="24"/>
                <w:highlight w:val="none"/>
                <w:lang w:val="en-US" w:eastAsia="zh-CN" w:bidi="ar"/>
              </w:rPr>
              <w:t>4</w:t>
            </w:r>
            <w:r>
              <w:rPr>
                <w:rFonts w:hint="default" w:ascii="Times New Roman" w:hAnsi="Times New Roman" w:eastAsia="宋体" w:cs="Times New Roman"/>
                <w:color w:val="auto"/>
                <w:kern w:val="0"/>
                <w:sz w:val="24"/>
                <w:szCs w:val="24"/>
                <w:highlight w:val="none"/>
                <w:lang w:val="en-US" w:eastAsia="zh-CN" w:bidi="ar"/>
              </w:rPr>
              <w:t>类标准要求（昼间≤</w:t>
            </w:r>
            <w:r>
              <w:rPr>
                <w:rFonts w:hint="eastAsia" w:ascii="Times New Roman" w:hAnsi="Times New Roman" w:eastAsia="宋体" w:cs="Times New Roman"/>
                <w:color w:val="auto"/>
                <w:kern w:val="0"/>
                <w:sz w:val="24"/>
                <w:szCs w:val="24"/>
                <w:highlight w:val="none"/>
                <w:lang w:val="en-US" w:eastAsia="zh-CN" w:bidi="ar"/>
              </w:rPr>
              <w:t>70</w:t>
            </w:r>
            <w:r>
              <w:rPr>
                <w:rFonts w:hint="default" w:ascii="Times New Roman" w:hAnsi="Times New Roman" w:eastAsia="宋体" w:cs="Times New Roman"/>
                <w:color w:val="auto"/>
                <w:kern w:val="0"/>
                <w:sz w:val="24"/>
                <w:szCs w:val="24"/>
                <w:highlight w:val="none"/>
                <w:lang w:val="en-US" w:eastAsia="zh-CN" w:bidi="ar"/>
              </w:rPr>
              <w:t>dB(A)</w:t>
            </w:r>
            <w:r>
              <w:rPr>
                <w:rFonts w:hint="eastAsia" w:cs="Times New Roman"/>
                <w:color w:val="auto"/>
                <w:kern w:val="0"/>
                <w:sz w:val="24"/>
                <w:szCs w:val="24"/>
                <w:highlight w:val="none"/>
                <w:lang w:val="en-US" w:eastAsia="zh-CN" w:bidi="ar"/>
              </w:rPr>
              <w:t>，夜间</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val="en-US" w:eastAsia="zh-CN" w:bidi="ar"/>
              </w:rPr>
              <w:t>5dB(A)）。</w:t>
            </w:r>
            <w:r>
              <w:rPr>
                <w:rFonts w:hint="default" w:ascii="Times New Roman" w:hAnsi="Times New Roman" w:eastAsia="宋体" w:cs="Times New Roman"/>
                <w:color w:val="auto"/>
                <w:sz w:val="24"/>
                <w:szCs w:val="24"/>
                <w:highlight w:val="none"/>
              </w:rPr>
              <w:t>项目50m范围内无声环境保护目标，项目运营期噪声对周围环境影响较小。</w:t>
            </w:r>
          </w:p>
          <w:p w14:paraId="1ABFDDD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highlight w:val="yellow"/>
              </w:rPr>
            </w:pPr>
            <w:r>
              <w:rPr>
                <w:rFonts w:hint="default"/>
              </w:rPr>
              <w:drawing>
                <wp:inline distT="0" distB="0" distL="114300" distR="114300">
                  <wp:extent cx="5321300" cy="5937885"/>
                  <wp:effectExtent l="0" t="0" r="12700" b="571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5"/>
                          <a:stretch>
                            <a:fillRect/>
                          </a:stretch>
                        </pic:blipFill>
                        <pic:spPr>
                          <a:xfrm>
                            <a:off x="0" y="0"/>
                            <a:ext cx="5321300" cy="5937885"/>
                          </a:xfrm>
                          <a:prstGeom prst="rect">
                            <a:avLst/>
                          </a:prstGeom>
                          <a:noFill/>
                          <a:ln>
                            <a:noFill/>
                          </a:ln>
                        </pic:spPr>
                      </pic:pic>
                    </a:graphicData>
                  </a:graphic>
                </wp:inline>
              </w:drawing>
            </w:r>
          </w:p>
          <w:p w14:paraId="6E1E63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 xml:space="preserve">图4-1  </w:t>
            </w:r>
            <w:r>
              <w:rPr>
                <w:rFonts w:hint="default" w:ascii="Times New Roman" w:hAnsi="Times New Roman" w:eastAsia="宋体" w:cs="Times New Roman"/>
                <w:b/>
                <w:bCs/>
                <w:caps w:val="0"/>
                <w:smallCaps w:val="0"/>
                <w:color w:val="auto"/>
                <w:sz w:val="21"/>
                <w:szCs w:val="21"/>
              </w:rPr>
              <w:t>项目对厂界外环境噪声贡献值等声级线图</w:t>
            </w:r>
          </w:p>
          <w:p w14:paraId="0E0080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为进一步降低项目噪声对周围环境的影响，本次评价提出以下降噪措施：</w:t>
            </w:r>
          </w:p>
          <w:p w14:paraId="6C91334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①生产设备置于车间内，合理布局；</w:t>
            </w:r>
          </w:p>
          <w:p w14:paraId="1A3ACD0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②对</w:t>
            </w:r>
            <w:r>
              <w:rPr>
                <w:rFonts w:hint="default" w:ascii="Times New Roman" w:hAnsi="Times New Roman" w:eastAsia="宋体" w:cs="Times New Roman"/>
                <w:color w:val="auto"/>
                <w:sz w:val="24"/>
                <w:highlight w:val="none"/>
                <w:lang w:val="en-US" w:eastAsia="zh-CN"/>
              </w:rPr>
              <w:t>混料机</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上料机</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注塑机</w:t>
            </w:r>
            <w:r>
              <w:rPr>
                <w:rFonts w:hint="default" w:ascii="Times New Roman" w:hAnsi="Times New Roman" w:eastAsia="宋体" w:cs="Times New Roman"/>
                <w:color w:val="auto"/>
                <w:sz w:val="24"/>
                <w:highlight w:val="none"/>
              </w:rPr>
              <w:t>等产噪设备安装减震垫，风机进行消声措施；</w:t>
            </w:r>
          </w:p>
          <w:p w14:paraId="2BA38433">
            <w:pPr>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③加强生产设备的维护，确保设备处于良好的运行状态。</w:t>
            </w:r>
          </w:p>
          <w:p w14:paraId="3DB37228">
            <w:pPr>
              <w:pStyle w:val="60"/>
              <w:keepNext w:val="0"/>
              <w:keepLines w:val="0"/>
              <w:suppressLineNumbers w:val="0"/>
              <w:spacing w:before="0" w:beforeAutospacing="0" w:after="0" w:afterAutospacing="0"/>
              <w:ind w:left="595" w:right="113" w:firstLine="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eastAsia"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）监测计划</w:t>
            </w:r>
          </w:p>
          <w:p w14:paraId="6D64FF83">
            <w:pPr>
              <w:pStyle w:val="60"/>
              <w:keepNext w:val="0"/>
              <w:keepLines w:val="0"/>
              <w:pageBreakBefore w:val="0"/>
              <w:widowControl w:val="0"/>
              <w:suppressLineNumbers w:val="0"/>
              <w:kinsoku/>
              <w:wordWrap w:val="0"/>
              <w:overflowPunct/>
              <w:topLinePunct/>
              <w:autoSpaceDE/>
              <w:autoSpaceDN/>
              <w:bidi w:val="0"/>
              <w:adjustRightInd w:val="0"/>
              <w:snapToGrid/>
              <w:spacing w:before="0" w:beforeAutospacing="0" w:after="0" w:afterAutospacing="0"/>
              <w:ind w:firstLine="480" w:firstLineChars="200"/>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sz w:val="24"/>
              </w:rPr>
              <w:t>根据</w:t>
            </w:r>
            <w:r>
              <w:rPr>
                <w:rFonts w:hint="default" w:ascii="Times New Roman" w:hAnsi="Times New Roman" w:eastAsia="宋体" w:cs="Times New Roman"/>
                <w:bCs/>
                <w:color w:val="auto"/>
                <w:kern w:val="0"/>
                <w:sz w:val="24"/>
              </w:rPr>
              <w:t>《排污单位自行监测技术指南</w:t>
            </w:r>
            <w:r>
              <w:rPr>
                <w:rFonts w:hint="eastAsia" w:ascii="Times New Roman" w:hAnsi="Times New Roman" w:eastAsia="宋体" w:cs="Times New Roman"/>
                <w:bCs/>
                <w:color w:val="auto"/>
                <w:kern w:val="0"/>
                <w:sz w:val="24"/>
                <w:lang w:val="en-US" w:eastAsia="zh-CN"/>
              </w:rPr>
              <w:t xml:space="preserve"> </w:t>
            </w:r>
            <w:r>
              <w:rPr>
                <w:rFonts w:hint="default" w:ascii="Times New Roman" w:hAnsi="Times New Roman" w:eastAsia="宋体" w:cs="Times New Roman"/>
                <w:bCs/>
                <w:color w:val="auto"/>
                <w:kern w:val="0"/>
                <w:sz w:val="24"/>
              </w:rPr>
              <w:t>总则》（HJ819-2017）</w:t>
            </w:r>
            <w:r>
              <w:rPr>
                <w:rFonts w:hint="eastAsia" w:ascii="Times New Roman" w:hAnsi="Times New Roman" w:eastAsia="宋体" w:cs="Times New Roman"/>
                <w:bCs/>
                <w:color w:val="auto"/>
                <w:kern w:val="0"/>
                <w:sz w:val="24"/>
                <w:lang w:eastAsia="zh-CN"/>
              </w:rPr>
              <w:t>、</w:t>
            </w:r>
            <w:r>
              <w:rPr>
                <w:rFonts w:hint="default" w:ascii="Times New Roman" w:hAnsi="Times New Roman" w:eastAsia="宋体" w:cs="Times New Roman"/>
                <w:bCs/>
                <w:color w:val="auto"/>
                <w:kern w:val="0"/>
                <w:sz w:val="24"/>
              </w:rPr>
              <w:t>《</w:t>
            </w:r>
            <w:r>
              <w:rPr>
                <w:rFonts w:hint="default" w:ascii="Times New Roman" w:hAnsi="Times New Roman" w:eastAsia="宋体" w:cs="Times New Roman"/>
                <w:bCs/>
                <w:color w:val="auto"/>
                <w:kern w:val="0"/>
                <w:sz w:val="24"/>
              </w:rPr>
              <w:fldChar w:fldCharType="begin"/>
            </w:r>
            <w:r>
              <w:rPr>
                <w:rFonts w:hint="default" w:ascii="Times New Roman" w:hAnsi="Times New Roman" w:eastAsia="宋体" w:cs="Times New Roman"/>
                <w:bCs/>
                <w:color w:val="auto"/>
                <w:kern w:val="0"/>
                <w:sz w:val="24"/>
              </w:rPr>
              <w:instrText xml:space="preserve"> HYPERLINK "https://www.mee.gov.cn/ywgz/fgbz/bz/bzwb/jcffbz/202112/W020211206547863741730.pdf" </w:instrText>
            </w:r>
            <w:r>
              <w:rPr>
                <w:rFonts w:hint="default" w:ascii="Times New Roman" w:hAnsi="Times New Roman" w:eastAsia="宋体" w:cs="Times New Roman"/>
                <w:bCs/>
                <w:color w:val="auto"/>
                <w:kern w:val="0"/>
                <w:sz w:val="24"/>
              </w:rPr>
              <w:fldChar w:fldCharType="separate"/>
            </w:r>
            <w:r>
              <w:rPr>
                <w:rFonts w:hint="eastAsia" w:ascii="Times New Roman" w:hAnsi="Times New Roman" w:eastAsia="宋体" w:cs="Times New Roman"/>
                <w:bCs/>
                <w:color w:val="auto"/>
                <w:kern w:val="0"/>
                <w:sz w:val="24"/>
              </w:rPr>
              <w:t>排污单位自行监测技术指南 橡胶和塑料制品</w:t>
            </w:r>
            <w:r>
              <w:rPr>
                <w:rFonts w:hint="eastAsia" w:ascii="Times New Roman" w:hAnsi="Times New Roman" w:eastAsia="宋体" w:cs="Times New Roman"/>
                <w:bCs/>
                <w:color w:val="auto"/>
                <w:kern w:val="0"/>
                <w:sz w:val="24"/>
              </w:rPr>
              <w:fldChar w:fldCharType="end"/>
            </w:r>
            <w:r>
              <w:rPr>
                <w:rFonts w:hint="default" w:ascii="Times New Roman" w:hAnsi="Times New Roman" w:eastAsia="宋体" w:cs="Times New Roman"/>
                <w:bCs/>
                <w:color w:val="auto"/>
                <w:kern w:val="0"/>
                <w:sz w:val="24"/>
              </w:rPr>
              <w:t>》</w:t>
            </w:r>
            <w:r>
              <w:rPr>
                <w:rFonts w:hint="eastAsia" w:ascii="Times New Roman" w:hAnsi="Times New Roman" w:eastAsia="宋体" w:cs="Times New Roman"/>
                <w:bCs/>
                <w:color w:val="auto"/>
                <w:kern w:val="0"/>
                <w:sz w:val="24"/>
              </w:rPr>
              <w:t>（HJ 1207—2021）</w:t>
            </w:r>
            <w:r>
              <w:rPr>
                <w:rFonts w:hint="eastAsia" w:ascii="Times New Roman" w:hAnsi="Times New Roman" w:eastAsia="宋体" w:cs="Times New Roman"/>
                <w:bCs/>
                <w:color w:val="auto"/>
                <w:kern w:val="0"/>
                <w:sz w:val="24"/>
                <w:lang w:val="en-US" w:eastAsia="zh-CN"/>
              </w:rPr>
              <w:t>、</w:t>
            </w:r>
            <w:r>
              <w:rPr>
                <w:rFonts w:hint="default" w:ascii="Times New Roman" w:hAnsi="Times New Roman" w:eastAsia="宋体" w:cs="Times New Roman"/>
                <w:bCs/>
                <w:color w:val="auto"/>
                <w:kern w:val="0"/>
                <w:sz w:val="24"/>
                <w:lang w:val="en-US" w:eastAsia="zh-CN"/>
              </w:rPr>
              <w:t>《排污许可证申请与核发技术规范 工业噪声》（HJ 1301-2023）</w:t>
            </w:r>
            <w:r>
              <w:rPr>
                <w:rFonts w:hint="default" w:ascii="Times New Roman" w:hAnsi="Times New Roman" w:eastAsia="宋体" w:cs="Times New Roman"/>
                <w:color w:val="auto"/>
                <w:sz w:val="24"/>
                <w:szCs w:val="24"/>
              </w:rPr>
              <w:t>，项目噪声自行监测计划如下表所示：</w:t>
            </w:r>
          </w:p>
          <w:p w14:paraId="57B7AB6E">
            <w:pPr>
              <w:pStyle w:val="60"/>
              <w:keepNext w:val="0"/>
              <w:keepLines w:val="0"/>
              <w:suppressLineNumbers w:val="0"/>
              <w:spacing w:before="0" w:beforeAutospacing="0" w:after="0" w:afterAutospacing="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eastAsia="宋体" w:cs="Times New Roman"/>
                <w:b/>
                <w:bCs/>
                <w:color w:val="auto"/>
                <w:sz w:val="21"/>
                <w:szCs w:val="21"/>
                <w:lang w:val="en-US" w:eastAsia="zh-CN"/>
              </w:rPr>
              <w:t>16</w:t>
            </w:r>
            <w:r>
              <w:rPr>
                <w:rFonts w:hint="default" w:ascii="Times New Roman" w:hAnsi="Times New Roman" w:eastAsia="宋体" w:cs="Times New Roman"/>
                <w:b/>
                <w:bCs/>
                <w:color w:val="auto"/>
                <w:sz w:val="21"/>
                <w:szCs w:val="21"/>
              </w:rPr>
              <w:t xml:space="preserve">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项目噪声监测点位、监测指标及最低监测频次一览表</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62"/>
              <w:gridCol w:w="2052"/>
              <w:gridCol w:w="1296"/>
              <w:gridCol w:w="1260"/>
              <w:gridCol w:w="2603"/>
            </w:tblGrid>
            <w:tr w14:paraId="6E1DD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162" w:type="dxa"/>
                  <w:tcBorders>
                    <w:right w:val="single" w:color="auto" w:sz="4" w:space="0"/>
                  </w:tcBorders>
                  <w:noWrap w:val="0"/>
                  <w:vAlign w:val="center"/>
                </w:tcPr>
                <w:p w14:paraId="249E5C3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监测项目</w:t>
                  </w:r>
                </w:p>
              </w:tc>
              <w:tc>
                <w:tcPr>
                  <w:tcW w:w="2052" w:type="dxa"/>
                  <w:noWrap w:val="0"/>
                  <w:vAlign w:val="center"/>
                </w:tcPr>
                <w:p w14:paraId="112ED81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监测点位</w:t>
                  </w:r>
                </w:p>
              </w:tc>
              <w:tc>
                <w:tcPr>
                  <w:tcW w:w="1296" w:type="dxa"/>
                  <w:noWrap w:val="0"/>
                  <w:vAlign w:val="center"/>
                </w:tcPr>
                <w:p w14:paraId="6B8D904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污染物名称</w:t>
                  </w:r>
                </w:p>
              </w:tc>
              <w:tc>
                <w:tcPr>
                  <w:tcW w:w="1260" w:type="dxa"/>
                  <w:noWrap w:val="0"/>
                  <w:vAlign w:val="center"/>
                </w:tcPr>
                <w:p w14:paraId="5DA6575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监测频次</w:t>
                  </w:r>
                </w:p>
              </w:tc>
              <w:tc>
                <w:tcPr>
                  <w:tcW w:w="2603" w:type="dxa"/>
                  <w:noWrap w:val="0"/>
                  <w:vAlign w:val="center"/>
                </w:tcPr>
                <w:p w14:paraId="44387AD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eastAsia" w:cs="Times New Roman"/>
                      <w:b/>
                      <w:color w:val="auto"/>
                      <w:szCs w:val="21"/>
                      <w:lang w:val="en-US" w:eastAsia="zh-CN"/>
                    </w:rPr>
                    <w:t>执行标准</w:t>
                  </w:r>
                </w:p>
              </w:tc>
            </w:tr>
            <w:tr w14:paraId="7BF2A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162" w:type="dxa"/>
                  <w:vMerge w:val="restart"/>
                  <w:tcBorders>
                    <w:right w:val="single" w:color="auto" w:sz="4" w:space="0"/>
                  </w:tcBorders>
                  <w:noWrap w:val="0"/>
                  <w:vAlign w:val="center"/>
                </w:tcPr>
                <w:p w14:paraId="003884E1">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噪声</w:t>
                  </w:r>
                </w:p>
              </w:tc>
              <w:tc>
                <w:tcPr>
                  <w:tcW w:w="2052" w:type="dxa"/>
                  <w:noWrap w:val="0"/>
                  <w:vAlign w:val="center"/>
                </w:tcPr>
                <w:p w14:paraId="5A20A0F6">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东面</w:t>
                  </w:r>
                  <w:r>
                    <w:rPr>
                      <w:rFonts w:hint="default" w:ascii="Times New Roman" w:hAnsi="Times New Roman" w:eastAsia="宋体" w:cs="Times New Roman"/>
                      <w:color w:val="auto"/>
                      <w:szCs w:val="21"/>
                    </w:rPr>
                    <w:t>厂界</w:t>
                  </w:r>
                  <w:r>
                    <w:rPr>
                      <w:rFonts w:hint="eastAsia" w:ascii="Times New Roman" w:hAnsi="Times New Roman" w:cs="Times New Roman"/>
                      <w:color w:val="auto"/>
                      <w:szCs w:val="21"/>
                      <w:lang w:val="en-US" w:eastAsia="zh-CN"/>
                    </w:rPr>
                    <w:t>外</w:t>
                  </w:r>
                  <w:r>
                    <w:rPr>
                      <w:rFonts w:hint="default" w:ascii="Times New Roman" w:hAnsi="Times New Roman" w:eastAsia="宋体" w:cs="Times New Roman"/>
                      <w:color w:val="auto"/>
                      <w:szCs w:val="21"/>
                    </w:rPr>
                    <w:t>1</w:t>
                  </w:r>
                  <w:r>
                    <w:rPr>
                      <w:rFonts w:hint="eastAsia" w:ascii="Times New Roman" w:hAnsi="Times New Roman" w:cs="Times New Roman"/>
                      <w:color w:val="auto"/>
                      <w:szCs w:val="21"/>
                      <w:lang w:val="en-US" w:eastAsia="zh-CN"/>
                    </w:rPr>
                    <w:t>m处</w:t>
                  </w:r>
                </w:p>
              </w:tc>
              <w:tc>
                <w:tcPr>
                  <w:tcW w:w="1296" w:type="dxa"/>
                  <w:vMerge w:val="restart"/>
                  <w:noWrap w:val="0"/>
                  <w:vAlign w:val="center"/>
                </w:tcPr>
                <w:p w14:paraId="00695FB5">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Leq（A）</w:t>
                  </w:r>
                </w:p>
              </w:tc>
              <w:tc>
                <w:tcPr>
                  <w:tcW w:w="1260" w:type="dxa"/>
                  <w:vMerge w:val="restart"/>
                  <w:noWrap w:val="0"/>
                  <w:vAlign w:val="center"/>
                </w:tcPr>
                <w:p w14:paraId="105377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1次/季度</w:t>
                  </w:r>
                </w:p>
              </w:tc>
              <w:tc>
                <w:tcPr>
                  <w:tcW w:w="2603" w:type="dxa"/>
                  <w:vMerge w:val="restart"/>
                  <w:noWrap w:val="0"/>
                  <w:vAlign w:val="center"/>
                </w:tcPr>
                <w:p w14:paraId="1932A939">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《工业企业厂界环境噪声排放标准》（GB12348-2008）中 3 类标准</w:t>
                  </w:r>
                </w:p>
              </w:tc>
            </w:tr>
            <w:tr w14:paraId="19D34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162" w:type="dxa"/>
                  <w:vMerge w:val="continue"/>
                  <w:tcBorders>
                    <w:right w:val="single" w:color="auto" w:sz="4" w:space="0"/>
                  </w:tcBorders>
                  <w:noWrap w:val="0"/>
                  <w:vAlign w:val="center"/>
                </w:tcPr>
                <w:p w14:paraId="284623E5">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052" w:type="dxa"/>
                  <w:noWrap w:val="0"/>
                  <w:vAlign w:val="center"/>
                </w:tcPr>
                <w:p w14:paraId="728273F1">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cs="Times New Roman"/>
                      <w:color w:val="auto"/>
                      <w:szCs w:val="21"/>
                      <w:lang w:val="en-US" w:eastAsia="zh-CN"/>
                    </w:rPr>
                    <w:t>南面</w:t>
                  </w:r>
                  <w:r>
                    <w:rPr>
                      <w:rFonts w:hint="default" w:ascii="Times New Roman" w:hAnsi="Times New Roman" w:eastAsia="宋体" w:cs="Times New Roman"/>
                      <w:color w:val="auto"/>
                      <w:szCs w:val="21"/>
                    </w:rPr>
                    <w:t>厂界</w:t>
                  </w:r>
                  <w:r>
                    <w:rPr>
                      <w:rFonts w:hint="eastAsia" w:ascii="Times New Roman" w:hAnsi="Times New Roman" w:cs="Times New Roman"/>
                      <w:color w:val="auto"/>
                      <w:szCs w:val="21"/>
                      <w:lang w:val="en-US" w:eastAsia="zh-CN"/>
                    </w:rPr>
                    <w:t>外</w:t>
                  </w:r>
                  <w:r>
                    <w:rPr>
                      <w:rFonts w:hint="default" w:ascii="Times New Roman" w:hAnsi="Times New Roman" w:eastAsia="宋体" w:cs="Times New Roman"/>
                      <w:color w:val="auto"/>
                      <w:szCs w:val="21"/>
                    </w:rPr>
                    <w:t>1</w:t>
                  </w:r>
                  <w:r>
                    <w:rPr>
                      <w:rFonts w:hint="eastAsia" w:ascii="Times New Roman" w:hAnsi="Times New Roman" w:cs="Times New Roman"/>
                      <w:color w:val="auto"/>
                      <w:szCs w:val="21"/>
                      <w:lang w:val="en-US" w:eastAsia="zh-CN"/>
                    </w:rPr>
                    <w:t>m处</w:t>
                  </w:r>
                </w:p>
              </w:tc>
              <w:tc>
                <w:tcPr>
                  <w:tcW w:w="1296" w:type="dxa"/>
                  <w:vMerge w:val="continue"/>
                  <w:noWrap w:val="0"/>
                  <w:vAlign w:val="center"/>
                </w:tcPr>
                <w:p w14:paraId="6ABC6BF2">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1260" w:type="dxa"/>
                  <w:vMerge w:val="continue"/>
                  <w:noWrap w:val="0"/>
                  <w:vAlign w:val="center"/>
                </w:tcPr>
                <w:p w14:paraId="23B3BF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2603" w:type="dxa"/>
                  <w:vMerge w:val="continue"/>
                  <w:noWrap w:val="0"/>
                  <w:vAlign w:val="center"/>
                </w:tcPr>
                <w:p w14:paraId="5416DF6F">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r>
            <w:tr w14:paraId="3AA58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162" w:type="dxa"/>
                  <w:vMerge w:val="continue"/>
                  <w:tcBorders>
                    <w:right w:val="single" w:color="auto" w:sz="4" w:space="0"/>
                  </w:tcBorders>
                  <w:noWrap w:val="0"/>
                  <w:vAlign w:val="center"/>
                </w:tcPr>
                <w:p w14:paraId="3E2AE15A">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052" w:type="dxa"/>
                  <w:noWrap w:val="0"/>
                  <w:vAlign w:val="center"/>
                </w:tcPr>
                <w:p w14:paraId="247642F5">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cs="Times New Roman"/>
                      <w:color w:val="auto"/>
                      <w:szCs w:val="21"/>
                      <w:lang w:val="en-US" w:eastAsia="zh-CN"/>
                    </w:rPr>
                    <w:t>北面</w:t>
                  </w:r>
                  <w:r>
                    <w:rPr>
                      <w:rFonts w:hint="default" w:ascii="Times New Roman" w:hAnsi="Times New Roman" w:eastAsia="宋体" w:cs="Times New Roman"/>
                      <w:color w:val="auto"/>
                      <w:szCs w:val="21"/>
                    </w:rPr>
                    <w:t>厂界</w:t>
                  </w:r>
                  <w:r>
                    <w:rPr>
                      <w:rFonts w:hint="eastAsia" w:ascii="Times New Roman" w:hAnsi="Times New Roman" w:cs="Times New Roman"/>
                      <w:color w:val="auto"/>
                      <w:szCs w:val="21"/>
                      <w:lang w:val="en-US" w:eastAsia="zh-CN"/>
                    </w:rPr>
                    <w:t>外</w:t>
                  </w:r>
                  <w:r>
                    <w:rPr>
                      <w:rFonts w:hint="default" w:ascii="Times New Roman" w:hAnsi="Times New Roman" w:eastAsia="宋体" w:cs="Times New Roman"/>
                      <w:color w:val="auto"/>
                      <w:szCs w:val="21"/>
                    </w:rPr>
                    <w:t>1</w:t>
                  </w:r>
                  <w:r>
                    <w:rPr>
                      <w:rFonts w:hint="eastAsia" w:ascii="Times New Roman" w:hAnsi="Times New Roman" w:cs="Times New Roman"/>
                      <w:color w:val="auto"/>
                      <w:szCs w:val="21"/>
                      <w:lang w:val="en-US" w:eastAsia="zh-CN"/>
                    </w:rPr>
                    <w:t>m处</w:t>
                  </w:r>
                </w:p>
              </w:tc>
              <w:tc>
                <w:tcPr>
                  <w:tcW w:w="1296" w:type="dxa"/>
                  <w:vMerge w:val="continue"/>
                  <w:noWrap w:val="0"/>
                  <w:vAlign w:val="center"/>
                </w:tcPr>
                <w:p w14:paraId="47A9BE7A">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1260" w:type="dxa"/>
                  <w:vMerge w:val="continue"/>
                  <w:noWrap w:val="0"/>
                  <w:vAlign w:val="center"/>
                </w:tcPr>
                <w:p w14:paraId="5D3BB8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2603" w:type="dxa"/>
                  <w:vMerge w:val="continue"/>
                  <w:noWrap w:val="0"/>
                  <w:vAlign w:val="center"/>
                </w:tcPr>
                <w:p w14:paraId="256B6826">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r>
            <w:tr w14:paraId="48E93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exact"/>
                <w:jc w:val="center"/>
              </w:trPr>
              <w:tc>
                <w:tcPr>
                  <w:tcW w:w="1162" w:type="dxa"/>
                  <w:vMerge w:val="continue"/>
                  <w:tcBorders>
                    <w:right w:val="single" w:color="auto" w:sz="4" w:space="0"/>
                  </w:tcBorders>
                  <w:noWrap w:val="0"/>
                  <w:vAlign w:val="center"/>
                </w:tcPr>
                <w:p w14:paraId="12E07BB6">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2052" w:type="dxa"/>
                  <w:noWrap w:val="0"/>
                  <w:vAlign w:val="center"/>
                </w:tcPr>
                <w:p w14:paraId="3503CC14">
                  <w:pPr>
                    <w:pStyle w:val="84"/>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eastAsia" w:ascii="Times New Roman" w:hAnsi="Times New Roman" w:cs="Times New Roman"/>
                      <w:color w:val="auto"/>
                      <w:szCs w:val="21"/>
                      <w:lang w:val="en-US" w:eastAsia="zh-CN"/>
                    </w:rPr>
                    <w:t>西面</w:t>
                  </w:r>
                  <w:r>
                    <w:rPr>
                      <w:rFonts w:hint="default" w:ascii="Times New Roman" w:hAnsi="Times New Roman" w:eastAsia="宋体" w:cs="Times New Roman"/>
                      <w:color w:val="auto"/>
                      <w:szCs w:val="21"/>
                    </w:rPr>
                    <w:t>厂界</w:t>
                  </w:r>
                  <w:r>
                    <w:rPr>
                      <w:rFonts w:hint="eastAsia" w:ascii="Times New Roman" w:hAnsi="Times New Roman" w:cs="Times New Roman"/>
                      <w:color w:val="auto"/>
                      <w:szCs w:val="21"/>
                      <w:lang w:val="en-US" w:eastAsia="zh-CN"/>
                    </w:rPr>
                    <w:t>外</w:t>
                  </w:r>
                  <w:r>
                    <w:rPr>
                      <w:rFonts w:hint="default" w:ascii="Times New Roman" w:hAnsi="Times New Roman" w:eastAsia="宋体" w:cs="Times New Roman"/>
                      <w:color w:val="auto"/>
                      <w:szCs w:val="21"/>
                    </w:rPr>
                    <w:t>1</w:t>
                  </w:r>
                  <w:r>
                    <w:rPr>
                      <w:rFonts w:hint="eastAsia" w:ascii="Times New Roman" w:hAnsi="Times New Roman" w:cs="Times New Roman"/>
                      <w:color w:val="auto"/>
                      <w:szCs w:val="21"/>
                      <w:lang w:val="en-US" w:eastAsia="zh-CN"/>
                    </w:rPr>
                    <w:t>m处</w:t>
                  </w:r>
                </w:p>
              </w:tc>
              <w:tc>
                <w:tcPr>
                  <w:tcW w:w="1296" w:type="dxa"/>
                  <w:vMerge w:val="continue"/>
                  <w:noWrap w:val="0"/>
                  <w:vAlign w:val="center"/>
                </w:tcPr>
                <w:p w14:paraId="4415A8FC">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p>
              </w:tc>
              <w:tc>
                <w:tcPr>
                  <w:tcW w:w="1260" w:type="dxa"/>
                  <w:vMerge w:val="continue"/>
                  <w:noWrap w:val="0"/>
                  <w:vAlign w:val="center"/>
                </w:tcPr>
                <w:p w14:paraId="1FFA69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2603" w:type="dxa"/>
                  <w:noWrap w:val="0"/>
                  <w:vAlign w:val="center"/>
                </w:tcPr>
                <w:p w14:paraId="7A2952C5">
                  <w:pPr>
                    <w:pStyle w:val="89"/>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 xml:space="preserve">《工业企业厂界环境噪声排放标准》（GB12348-2008）中 </w:t>
                  </w:r>
                  <w:r>
                    <w:rPr>
                      <w:rFonts w:hint="eastAsia" w:ascii="Times New Roman" w:hAnsi="Times New Roman" w:cs="Times New Roman"/>
                      <w:color w:val="auto"/>
                      <w:kern w:val="2"/>
                      <w:sz w:val="21"/>
                      <w:szCs w:val="21"/>
                      <w:lang w:val="en-US" w:eastAsia="zh-CN" w:bidi="ar-SA"/>
                    </w:rPr>
                    <w:t>4</w:t>
                  </w:r>
                  <w:r>
                    <w:rPr>
                      <w:rFonts w:hint="default" w:ascii="Times New Roman" w:hAnsi="Times New Roman" w:eastAsia="宋体" w:cs="Times New Roman"/>
                      <w:color w:val="auto"/>
                      <w:kern w:val="2"/>
                      <w:sz w:val="21"/>
                      <w:szCs w:val="21"/>
                      <w:lang w:val="en-US" w:eastAsia="zh-CN" w:bidi="ar-SA"/>
                    </w:rPr>
                    <w:t xml:space="preserve"> 类标准要求</w:t>
                  </w:r>
                </w:p>
              </w:tc>
            </w:tr>
          </w:tbl>
          <w:p w14:paraId="14440565">
            <w:pPr>
              <w:keepNext w:val="0"/>
              <w:keepLines w:val="0"/>
              <w:suppressLineNumbers w:val="0"/>
              <w:spacing w:before="120" w:beforeLines="50" w:beforeAutospacing="0" w:after="0" w:afterAutospacing="0" w:line="360" w:lineRule="auto"/>
              <w:ind w:left="0" w:right="0" w:firstLine="482" w:firstLineChars="200"/>
              <w:rPr>
                <w:rFonts w:hint="default" w:ascii="Times New Roman" w:hAnsi="Times New Roman" w:eastAsia="宋体" w:cs="Times New Roman"/>
                <w:b/>
                <w:color w:val="auto"/>
                <w:kern w:val="0"/>
                <w:sz w:val="24"/>
              </w:rPr>
            </w:pPr>
            <w:r>
              <w:rPr>
                <w:rFonts w:hint="default" w:ascii="Times New Roman" w:hAnsi="Times New Roman" w:eastAsia="宋体" w:cs="Times New Roman"/>
                <w:b/>
                <w:bCs/>
                <w:color w:val="auto"/>
                <w:sz w:val="24"/>
              </w:rPr>
              <w:t>4、固体废物</w:t>
            </w:r>
          </w:p>
          <w:p w14:paraId="0838FF22">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b/>
                <w:color w:val="auto"/>
                <w:kern w:val="0"/>
                <w:sz w:val="24"/>
              </w:rPr>
            </w:pPr>
            <w:r>
              <w:rPr>
                <w:rFonts w:hint="default" w:ascii="Times New Roman" w:hAnsi="Times New Roman" w:eastAsia="宋体" w:cs="Times New Roman"/>
                <w:bCs/>
                <w:color w:val="auto"/>
                <w:kern w:val="0"/>
                <w:sz w:val="24"/>
              </w:rPr>
              <w:t>项目</w:t>
            </w:r>
            <w:r>
              <w:rPr>
                <w:rFonts w:hint="default" w:ascii="Times New Roman" w:hAnsi="Times New Roman" w:eastAsia="宋体" w:cs="Times New Roman"/>
                <w:bCs/>
                <w:color w:val="auto"/>
                <w:kern w:val="0"/>
                <w:sz w:val="24"/>
                <w:lang w:val="en-US" w:eastAsia="zh-CN"/>
              </w:rPr>
              <w:t>运营期</w:t>
            </w:r>
            <w:r>
              <w:rPr>
                <w:rFonts w:hint="default" w:ascii="Times New Roman" w:hAnsi="Times New Roman" w:eastAsia="宋体" w:cs="Times New Roman"/>
                <w:bCs/>
                <w:color w:val="auto"/>
                <w:kern w:val="0"/>
                <w:sz w:val="24"/>
              </w:rPr>
              <w:t>产生的固体废物主要为生活垃圾、</w:t>
            </w:r>
            <w:r>
              <w:rPr>
                <w:rFonts w:hint="default" w:ascii="Times New Roman" w:hAnsi="Times New Roman" w:eastAsia="宋体" w:cs="Times New Roman"/>
                <w:bCs/>
                <w:color w:val="auto"/>
                <w:kern w:val="0"/>
                <w:sz w:val="24"/>
                <w:lang w:val="en-US" w:eastAsia="zh-CN"/>
              </w:rPr>
              <w:t>一般工业固废</w:t>
            </w:r>
            <w:r>
              <w:rPr>
                <w:rFonts w:hint="default" w:ascii="Times New Roman" w:hAnsi="Times New Roman" w:eastAsia="宋体" w:cs="Times New Roman"/>
                <w:bCs/>
                <w:color w:val="auto"/>
                <w:kern w:val="0"/>
                <w:sz w:val="24"/>
              </w:rPr>
              <w:t>及危险固废。</w:t>
            </w:r>
          </w:p>
          <w:p w14:paraId="504AB131">
            <w:pPr>
              <w:keepNext w:val="0"/>
              <w:keepLines w:val="0"/>
              <w:suppressLineNumbers w:val="0"/>
              <w:spacing w:before="0" w:beforeAutospacing="0" w:after="0" w:afterAutospacing="0" w:line="360" w:lineRule="auto"/>
              <w:ind w:left="0" w:right="0" w:firstLine="482" w:firstLineChars="200"/>
              <w:contextualSpacing/>
              <w:rPr>
                <w:rFonts w:hint="eastAsia" w:ascii="Times New Roman" w:hAnsi="Times New Roman" w:eastAsia="宋体" w:cs="Times New Roman"/>
                <w:b/>
                <w:color w:val="auto"/>
                <w:kern w:val="0"/>
                <w:sz w:val="24"/>
                <w:lang w:eastAsia="zh-CN"/>
              </w:rPr>
            </w:pPr>
            <w:r>
              <w:rPr>
                <w:rFonts w:hint="default" w:ascii="Times New Roman" w:hAnsi="Times New Roman" w:eastAsia="宋体" w:cs="Times New Roman"/>
                <w:b/>
                <w:color w:val="auto"/>
                <w:kern w:val="0"/>
                <w:sz w:val="24"/>
              </w:rPr>
              <w:t>（1）生活垃圾</w:t>
            </w:r>
            <w:r>
              <w:rPr>
                <w:rFonts w:hint="eastAsia" w:cs="Times New Roman"/>
                <w:b/>
                <w:color w:val="auto"/>
                <w:kern w:val="0"/>
                <w:sz w:val="24"/>
                <w:lang w:eastAsia="zh-CN"/>
              </w:rPr>
              <w:t>（</w:t>
            </w:r>
            <w:r>
              <w:rPr>
                <w:rFonts w:hint="default" w:ascii="Times New Roman" w:hAnsi="Times New Roman" w:eastAsia="宋体" w:cs="Times New Roman"/>
                <w:b/>
                <w:bCs/>
                <w:color w:val="000000"/>
                <w:sz w:val="24"/>
              </w:rPr>
              <w:t>900-099-S64</w:t>
            </w:r>
            <w:r>
              <w:rPr>
                <w:rFonts w:hint="eastAsia" w:cs="Times New Roman"/>
                <w:b/>
                <w:color w:val="auto"/>
                <w:kern w:val="0"/>
                <w:sz w:val="24"/>
                <w:lang w:eastAsia="zh-CN"/>
              </w:rPr>
              <w:t>）</w:t>
            </w:r>
          </w:p>
          <w:p w14:paraId="00C42777">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项目员工共计</w:t>
            </w:r>
            <w:r>
              <w:rPr>
                <w:rFonts w:hint="default" w:ascii="Times New Roman" w:hAnsi="Times New Roman" w:eastAsia="宋体" w:cs="Times New Roman"/>
                <w:color w:val="auto"/>
                <w:sz w:val="24"/>
                <w:lang w:val="en-US" w:eastAsia="zh-CN"/>
              </w:rPr>
              <w:t>20</w:t>
            </w:r>
            <w:r>
              <w:rPr>
                <w:rFonts w:hint="default" w:ascii="Times New Roman" w:hAnsi="Times New Roman" w:eastAsia="宋体" w:cs="Times New Roman"/>
                <w:color w:val="auto"/>
                <w:sz w:val="24"/>
              </w:rPr>
              <w:t>人，均不在项目内</w:t>
            </w:r>
            <w:r>
              <w:rPr>
                <w:rFonts w:hint="default" w:ascii="Times New Roman" w:hAnsi="Times New Roman" w:eastAsia="宋体" w:cs="Times New Roman"/>
                <w:color w:val="auto"/>
                <w:sz w:val="24"/>
                <w:lang w:val="en-US" w:eastAsia="zh-CN"/>
              </w:rPr>
              <w:t>住宿</w:t>
            </w:r>
            <w:r>
              <w:rPr>
                <w:rFonts w:hint="default" w:ascii="Times New Roman" w:hAnsi="Times New Roman" w:eastAsia="宋体" w:cs="Times New Roman"/>
                <w:color w:val="auto"/>
                <w:sz w:val="24"/>
              </w:rPr>
              <w:t>，根据2008年3月国务院第一次全国污染源普查领导小组办公室发布的《第一次全国污染源普查城镇生活源产排污系数手册》，项目位于昆明市寻甸县，属“四区2类城市”，生活垃圾产生量</w:t>
            </w:r>
            <w:r>
              <w:rPr>
                <w:rFonts w:hint="eastAsia" w:cs="Times New Roman"/>
                <w:color w:val="auto"/>
                <w:sz w:val="24"/>
                <w:lang w:val="en-US" w:eastAsia="zh-CN"/>
              </w:rPr>
              <w:t>以</w:t>
            </w:r>
            <w:r>
              <w:rPr>
                <w:rFonts w:hint="default" w:ascii="Times New Roman" w:hAnsi="Times New Roman" w:eastAsia="宋体" w:cs="Times New Roman"/>
                <w:color w:val="auto"/>
                <w:sz w:val="24"/>
              </w:rPr>
              <w:t>0.56kg/人·d计，则项目生活垃圾产生量为</w:t>
            </w:r>
            <w:r>
              <w:rPr>
                <w:rFonts w:hint="eastAsia" w:cs="Times New Roman"/>
                <w:color w:val="auto"/>
                <w:sz w:val="24"/>
                <w:lang w:val="en-US" w:eastAsia="zh-CN"/>
              </w:rPr>
              <w:t>11.6</w:t>
            </w:r>
            <w:r>
              <w:rPr>
                <w:rFonts w:hint="default" w:ascii="Times New Roman" w:hAnsi="Times New Roman" w:eastAsia="宋体" w:cs="Times New Roman"/>
                <w:color w:val="auto"/>
                <w:sz w:val="24"/>
              </w:rPr>
              <w:t>kg/d，年产生垃圾量为</w:t>
            </w:r>
            <w:r>
              <w:rPr>
                <w:rFonts w:hint="eastAsia" w:cs="Times New Roman"/>
                <w:color w:val="auto"/>
                <w:sz w:val="24"/>
                <w:lang w:val="en-US" w:eastAsia="zh-CN"/>
              </w:rPr>
              <w:t>3.36</w:t>
            </w:r>
            <w:r>
              <w:rPr>
                <w:rFonts w:hint="default" w:ascii="Times New Roman" w:hAnsi="Times New Roman" w:eastAsia="宋体" w:cs="Times New Roman"/>
                <w:color w:val="auto"/>
                <w:sz w:val="24"/>
              </w:rPr>
              <w:t>t/a。根据《固体废物分类与代码目录》（公告2024年第4号），废物种类为SW64其他垃圾，废物代码为900-099-S64</w:t>
            </w:r>
            <w:r>
              <w:rPr>
                <w:rFonts w:hint="default" w:ascii="Times New Roman" w:hAnsi="Times New Roman" w:eastAsia="宋体" w:cs="Times New Roman"/>
                <w:color w:val="auto"/>
                <w:sz w:val="24"/>
                <w:lang w:eastAsia="zh-CN"/>
              </w:rPr>
              <w:t>“以上之外的生活垃圾”，</w:t>
            </w:r>
            <w:r>
              <w:rPr>
                <w:rFonts w:hint="default" w:ascii="Times New Roman" w:hAnsi="Times New Roman" w:eastAsia="宋体" w:cs="Times New Roman"/>
                <w:color w:val="auto"/>
                <w:sz w:val="24"/>
              </w:rPr>
              <w:t>生活垃圾</w:t>
            </w:r>
            <w:r>
              <w:rPr>
                <w:rFonts w:hint="default" w:ascii="Times New Roman" w:hAnsi="Times New Roman" w:eastAsia="宋体" w:cs="Times New Roman"/>
                <w:color w:val="auto"/>
                <w:sz w:val="24"/>
                <w:lang w:val="en-US" w:eastAsia="zh-CN"/>
              </w:rPr>
              <w:t>经垃圾桶</w:t>
            </w:r>
            <w:r>
              <w:rPr>
                <w:rFonts w:hint="default" w:ascii="Times New Roman" w:hAnsi="Times New Roman" w:eastAsia="宋体" w:cs="Times New Roman"/>
                <w:color w:val="auto"/>
                <w:sz w:val="24"/>
              </w:rPr>
              <w:t>收集后交由环卫部门处理。</w:t>
            </w:r>
          </w:p>
          <w:p w14:paraId="0CE7F667">
            <w:pPr>
              <w:pStyle w:val="61"/>
              <w:keepNext w:val="0"/>
              <w:keepLines w:val="0"/>
              <w:suppressLineNumbers w:val="0"/>
              <w:spacing w:before="0" w:beforeAutospacing="0" w:after="0" w:afterAutospacing="0"/>
              <w:ind w:left="0" w:right="0"/>
              <w:rPr>
                <w:rFonts w:hint="eastAsia" w:ascii="Times New Roman" w:hAnsi="Times New Roman" w:eastAsia="宋体" w:cs="Times New Roman"/>
                <w:b/>
                <w:bCs/>
                <w:snapToGrid w:val="0"/>
                <w:color w:val="auto"/>
                <w:spacing w:val="0"/>
                <w:kern w:val="2"/>
                <w:sz w:val="24"/>
                <w:lang w:val="en-US" w:eastAsia="zh-CN"/>
              </w:rPr>
            </w:pPr>
            <w:r>
              <w:rPr>
                <w:rFonts w:hint="default" w:ascii="Times New Roman" w:hAnsi="Times New Roman" w:eastAsia="宋体" w:cs="Times New Roman"/>
                <w:b/>
                <w:bCs/>
                <w:snapToGrid w:val="0"/>
                <w:color w:val="auto"/>
                <w:spacing w:val="0"/>
                <w:kern w:val="2"/>
                <w:sz w:val="24"/>
                <w:lang w:val="en-US" w:eastAsia="zh-CN"/>
              </w:rPr>
              <w:t>（2）</w:t>
            </w:r>
            <w:r>
              <w:rPr>
                <w:rFonts w:hint="default" w:ascii="Times New Roman" w:hAnsi="Times New Roman" w:eastAsia="宋体" w:cs="Times New Roman"/>
                <w:b/>
                <w:bCs/>
                <w:snapToGrid w:val="0"/>
                <w:color w:val="auto"/>
                <w:spacing w:val="0"/>
                <w:kern w:val="2"/>
                <w:sz w:val="24"/>
                <w:lang w:val="en-US"/>
              </w:rPr>
              <w:t>一般工业固废</w:t>
            </w:r>
          </w:p>
          <w:p w14:paraId="0DBF3B0A">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①包装固废</w:t>
            </w:r>
            <w:r>
              <w:rPr>
                <w:rFonts w:hint="eastAsia" w:cs="Times New Roman"/>
                <w:b w:val="0"/>
                <w:bCs w:val="0"/>
                <w:snapToGrid w:val="0"/>
                <w:color w:val="auto"/>
                <w:spacing w:val="0"/>
                <w:kern w:val="2"/>
                <w:sz w:val="24"/>
                <w:lang w:val="en-US" w:eastAsia="zh-CN"/>
              </w:rPr>
              <w:t>（</w:t>
            </w:r>
            <w:r>
              <w:rPr>
                <w:rFonts w:hint="default" w:ascii="Times New Roman" w:hAnsi="Times New Roman" w:eastAsia="宋体" w:cs="Times New Roman"/>
                <w:b w:val="0"/>
                <w:bCs w:val="0"/>
                <w:color w:val="auto"/>
                <w:sz w:val="24"/>
                <w:lang w:val="en-US" w:eastAsia="zh-CN"/>
              </w:rPr>
              <w:t>900-003-S17</w:t>
            </w:r>
            <w:r>
              <w:rPr>
                <w:rFonts w:hint="eastAsia" w:cs="Times New Roman"/>
                <w:b w:val="0"/>
                <w:bCs w:val="0"/>
                <w:snapToGrid w:val="0"/>
                <w:color w:val="auto"/>
                <w:spacing w:val="0"/>
                <w:kern w:val="2"/>
                <w:sz w:val="24"/>
                <w:lang w:val="en-US" w:eastAsia="zh-CN"/>
              </w:rPr>
              <w:t>）</w:t>
            </w:r>
            <w:r>
              <w:rPr>
                <w:rFonts w:hint="default" w:ascii="Times New Roman" w:hAnsi="Times New Roman" w:eastAsia="宋体" w:cs="Times New Roman"/>
                <w:color w:val="auto"/>
                <w:sz w:val="24"/>
              </w:rPr>
              <w:t>：根据业主提供资料，包装固废产生量约为</w:t>
            </w:r>
            <w:r>
              <w:rPr>
                <w:rFonts w:hint="default" w:ascii="Times New Roman" w:hAnsi="Times New Roman" w:eastAsia="宋体" w:cs="Times New Roman"/>
                <w:color w:val="auto"/>
                <w:sz w:val="24"/>
                <w:lang w:val="en-US" w:eastAsia="zh-CN"/>
              </w:rPr>
              <w:t>2.0</w:t>
            </w:r>
            <w:r>
              <w:rPr>
                <w:rFonts w:hint="default" w:ascii="Times New Roman" w:hAnsi="Times New Roman" w:eastAsia="宋体" w:cs="Times New Roman"/>
                <w:color w:val="auto"/>
                <w:sz w:val="24"/>
              </w:rPr>
              <w:t>t/a，</w:t>
            </w:r>
            <w:r>
              <w:rPr>
                <w:rFonts w:hint="default" w:ascii="Times New Roman" w:hAnsi="Times New Roman" w:eastAsia="宋体" w:cs="Times New Roman"/>
                <w:color w:val="auto"/>
                <w:sz w:val="24"/>
                <w:lang w:val="en-US" w:eastAsia="zh-CN"/>
              </w:rPr>
              <w:t>主要为原料拆包过程中产生的塑料袋，根据《固体废物分类与代码目录》（公告2024年第4号），废物种类为SW17可再生类废物，废物代码为900-003-S17“废塑料”。收集后暂存于</w:t>
            </w:r>
            <w:r>
              <w:rPr>
                <w:rFonts w:hint="eastAsia" w:cs="Times New Roman"/>
                <w:color w:val="auto"/>
                <w:sz w:val="24"/>
                <w:lang w:val="en-US" w:eastAsia="zh-CN"/>
              </w:rPr>
              <w:t>生产厂房内</w:t>
            </w:r>
            <w:r>
              <w:rPr>
                <w:rFonts w:hint="default" w:ascii="Times New Roman" w:hAnsi="Times New Roman" w:eastAsia="宋体" w:cs="Times New Roman"/>
                <w:color w:val="auto"/>
                <w:sz w:val="24"/>
                <w:lang w:val="en-US" w:eastAsia="zh-CN"/>
              </w:rPr>
              <w:t>，定期出售给物资回收单位。</w:t>
            </w:r>
          </w:p>
          <w:p w14:paraId="31BC7764">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w:t>
            </w:r>
            <w:r>
              <w:rPr>
                <w:rFonts w:hint="eastAsia" w:cs="Times New Roman"/>
                <w:color w:val="auto"/>
                <w:sz w:val="24"/>
                <w:lang w:val="en-US" w:eastAsia="zh-CN"/>
              </w:rPr>
              <w:t>生产废料及</w:t>
            </w:r>
            <w:r>
              <w:rPr>
                <w:rFonts w:hint="default" w:ascii="Times New Roman" w:hAnsi="Times New Roman" w:eastAsia="宋体" w:cs="Times New Roman"/>
                <w:color w:val="auto"/>
                <w:sz w:val="24"/>
                <w:lang w:val="en-US" w:eastAsia="zh-CN"/>
              </w:rPr>
              <w:t>不合格品</w:t>
            </w:r>
            <w:r>
              <w:rPr>
                <w:rFonts w:hint="eastAsia" w:cs="Times New Roman"/>
                <w:b w:val="0"/>
                <w:bCs w:val="0"/>
                <w:snapToGrid w:val="0"/>
                <w:color w:val="auto"/>
                <w:spacing w:val="0"/>
                <w:kern w:val="2"/>
                <w:sz w:val="24"/>
                <w:lang w:val="en-US" w:eastAsia="zh-CN"/>
              </w:rPr>
              <w:t>（</w:t>
            </w:r>
            <w:r>
              <w:rPr>
                <w:rFonts w:hint="default" w:ascii="Times New Roman" w:hAnsi="Times New Roman" w:eastAsia="宋体" w:cs="Times New Roman"/>
                <w:b w:val="0"/>
                <w:bCs w:val="0"/>
                <w:color w:val="auto"/>
                <w:sz w:val="24"/>
                <w:lang w:val="en-US" w:eastAsia="zh-CN"/>
              </w:rPr>
              <w:t>900-003-S17</w:t>
            </w:r>
            <w:r>
              <w:rPr>
                <w:rFonts w:hint="eastAsia" w:cs="Times New Roman"/>
                <w:b w:val="0"/>
                <w:bCs w:val="0"/>
                <w:snapToGrid w:val="0"/>
                <w:color w:val="auto"/>
                <w:spacing w:val="0"/>
                <w:kern w:val="2"/>
                <w:sz w:val="24"/>
                <w:lang w:val="en-US" w:eastAsia="zh-CN"/>
              </w:rPr>
              <w:t>）</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项目生产过程中会产生一定</w:t>
            </w:r>
            <w:r>
              <w:rPr>
                <w:rFonts w:hint="eastAsia" w:cs="Times New Roman"/>
                <w:color w:val="auto"/>
                <w:sz w:val="24"/>
                <w:lang w:val="en-US" w:eastAsia="zh-CN"/>
              </w:rPr>
              <w:t>的废料及</w:t>
            </w:r>
            <w:r>
              <w:rPr>
                <w:rFonts w:hint="default" w:ascii="Times New Roman" w:hAnsi="Times New Roman" w:eastAsia="宋体" w:cs="Times New Roman"/>
                <w:color w:val="auto"/>
                <w:sz w:val="24"/>
                <w:lang w:val="en-US" w:eastAsia="zh-CN"/>
              </w:rPr>
              <w:t>残次品，根据《排放源统计调查产排污核算方法和系数手册》（2021）“2926 塑料包装箱及容器制造行业系数表--塑料包装箱及容器--树脂、助剂--注塑”中“一般工业固废产污系数为2.50千克/吨-产品”，项目年生产塑料框</w:t>
            </w:r>
            <w:r>
              <w:rPr>
                <w:rFonts w:hint="eastAsia" w:cs="Times New Roman"/>
                <w:color w:val="auto"/>
                <w:sz w:val="24"/>
                <w:highlight w:val="none"/>
                <w:lang w:val="en-US" w:eastAsia="zh-CN"/>
              </w:rPr>
              <w:t>2606</w:t>
            </w:r>
            <w:r>
              <w:rPr>
                <w:rFonts w:hint="default" w:ascii="Times New Roman" w:hAnsi="Times New Roman" w:eastAsia="宋体" w:cs="Times New Roman"/>
                <w:color w:val="auto"/>
                <w:sz w:val="24"/>
                <w:highlight w:val="none"/>
                <w:lang w:val="en-US" w:eastAsia="zh-CN"/>
              </w:rPr>
              <w:t>t，则项目生产过程中产生的残次品约为</w:t>
            </w:r>
            <w:r>
              <w:rPr>
                <w:rFonts w:hint="eastAsia" w:cs="Times New Roman"/>
                <w:color w:val="auto"/>
                <w:sz w:val="24"/>
                <w:highlight w:val="none"/>
                <w:lang w:val="en-US" w:eastAsia="zh-CN"/>
              </w:rPr>
              <w:t>6.515</w:t>
            </w:r>
            <w:r>
              <w:rPr>
                <w:rFonts w:hint="default" w:ascii="Times New Roman" w:hAnsi="Times New Roman" w:eastAsia="宋体" w:cs="Times New Roman"/>
                <w:color w:val="auto"/>
                <w:sz w:val="24"/>
                <w:highlight w:val="none"/>
                <w:lang w:val="en-US" w:eastAsia="zh-CN"/>
              </w:rPr>
              <w:t>t/a，残次品主要成分为废塑料</w:t>
            </w:r>
            <w:r>
              <w:rPr>
                <w:rFonts w:hint="eastAsia" w:cs="Times New Roman"/>
                <w:color w:val="auto"/>
                <w:sz w:val="24"/>
                <w:highlight w:val="none"/>
                <w:lang w:val="en-US" w:eastAsia="zh-CN"/>
              </w:rPr>
              <w:t>（pp）</w:t>
            </w:r>
            <w:r>
              <w:rPr>
                <w:rFonts w:hint="default"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color w:val="auto"/>
                <w:sz w:val="24"/>
                <w:lang w:val="en-US" w:eastAsia="zh-CN"/>
              </w:rPr>
              <w:t>固体废物分类与代码目录》（公告2024年第4号），废物种类为SW17可再生类废物，废物代码为900-003-S17“废塑料”。</w:t>
            </w:r>
            <w:r>
              <w:rPr>
                <w:rFonts w:hint="default" w:ascii="Times New Roman" w:hAnsi="Times New Roman" w:eastAsia="宋体" w:cs="Times New Roman"/>
                <w:color w:val="auto"/>
                <w:kern w:val="0"/>
                <w:sz w:val="24"/>
                <w:szCs w:val="24"/>
                <w:lang w:val="en-US" w:eastAsia="zh-CN" w:bidi="ar"/>
              </w:rPr>
              <w:t>项目将检验过</w:t>
            </w:r>
            <w:r>
              <w:rPr>
                <w:rFonts w:hint="eastAsia" w:ascii="Times New Roman" w:hAnsi="Times New Roman" w:eastAsia="宋体" w:cs="Times New Roman"/>
                <w:color w:val="auto"/>
                <w:kern w:val="0"/>
                <w:sz w:val="24"/>
                <w:szCs w:val="24"/>
                <w:lang w:val="en-US" w:eastAsia="zh-CN" w:bidi="ar"/>
              </w:rPr>
              <w:t>程中</w:t>
            </w:r>
            <w:r>
              <w:rPr>
                <w:rFonts w:hint="default" w:ascii="Times New Roman" w:hAnsi="Times New Roman" w:eastAsia="宋体" w:cs="Times New Roman"/>
                <w:color w:val="auto"/>
                <w:kern w:val="0"/>
                <w:sz w:val="24"/>
                <w:szCs w:val="24"/>
                <w:lang w:val="en-US" w:eastAsia="zh-CN" w:bidi="ar"/>
              </w:rPr>
              <w:t>产生的不合格品破碎重新作为原料回用于生产线</w:t>
            </w:r>
            <w:r>
              <w:rPr>
                <w:rFonts w:hint="default" w:ascii="Times New Roman" w:hAnsi="Times New Roman" w:eastAsia="宋体" w:cs="Times New Roman"/>
                <w:color w:val="auto"/>
                <w:sz w:val="24"/>
                <w:lang w:val="en-US" w:eastAsia="zh-CN"/>
              </w:rPr>
              <w:t>。</w:t>
            </w:r>
          </w:p>
          <w:p w14:paraId="2DBFAEA9">
            <w:pPr>
              <w:keepNext w:val="0"/>
              <w:keepLines w:val="0"/>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lang w:val="en-US" w:eastAsia="zh-CN"/>
              </w:rPr>
            </w:pPr>
            <w:r>
              <w:rPr>
                <w:rFonts w:hint="eastAsia" w:ascii="Times New Roman" w:hAnsi="Times New Roman" w:cs="宋体"/>
                <w:caps w:val="0"/>
                <w:smallCaps w:val="0"/>
                <w:color w:val="auto"/>
                <w:kern w:val="0"/>
                <w:sz w:val="24"/>
                <w:highlight w:val="none"/>
                <w:lang w:val="en-US" w:eastAsia="zh-CN" w:bidi="ar"/>
              </w:rPr>
              <w:t>③厂房沉降</w:t>
            </w:r>
            <w:r>
              <w:rPr>
                <w:rFonts w:hint="eastAsia" w:ascii="Times New Roman" w:hAnsi="Times New Roman" w:cs="宋体"/>
                <w:caps w:val="0"/>
                <w:smallCaps w:val="0"/>
                <w:color w:val="auto"/>
                <w:kern w:val="0"/>
                <w:sz w:val="24"/>
                <w:highlight w:val="none"/>
                <w:lang w:bidi="ar"/>
              </w:rPr>
              <w:t>粉尘</w:t>
            </w:r>
            <w:r>
              <w:rPr>
                <w:rFonts w:hint="eastAsia" w:ascii="Times New Roman" w:hAnsi="Times New Roman" w:cs="宋体"/>
                <w:caps w:val="0"/>
                <w:smallCaps w:val="0"/>
                <w:color w:val="auto"/>
                <w:kern w:val="0"/>
                <w:sz w:val="24"/>
                <w:highlight w:val="none"/>
                <w:lang w:eastAsia="zh-CN" w:bidi="ar"/>
              </w:rPr>
              <w:t>（</w:t>
            </w:r>
            <w:r>
              <w:rPr>
                <w:rFonts w:hint="default" w:ascii="Times New Roman" w:hAnsi="Times New Roman" w:eastAsia="宋体" w:cs="Times New Roman"/>
                <w:b w:val="0"/>
                <w:bCs/>
                <w:caps w:val="0"/>
                <w:smallCaps w:val="0"/>
                <w:color w:val="auto"/>
                <w:sz w:val="24"/>
                <w:szCs w:val="24"/>
                <w:highlight w:val="none"/>
                <w:lang w:val="en-US" w:eastAsia="zh-CN"/>
              </w:rPr>
              <w:t>900-099-S5</w:t>
            </w:r>
            <w:r>
              <w:rPr>
                <w:rFonts w:hint="eastAsia" w:ascii="Times New Roman" w:hAnsi="Times New Roman" w:eastAsia="宋体" w:cs="Times New Roman"/>
                <w:b w:val="0"/>
                <w:bCs/>
                <w:caps w:val="0"/>
                <w:smallCaps w:val="0"/>
                <w:color w:val="auto"/>
                <w:sz w:val="24"/>
                <w:szCs w:val="24"/>
                <w:highlight w:val="none"/>
                <w:lang w:val="en-US" w:eastAsia="zh-CN"/>
              </w:rPr>
              <w:t>9</w:t>
            </w:r>
            <w:r>
              <w:rPr>
                <w:rFonts w:hint="eastAsia" w:ascii="Times New Roman" w:hAnsi="Times New Roman" w:cs="宋体"/>
                <w:caps w:val="0"/>
                <w:smallCaps w:val="0"/>
                <w:color w:val="auto"/>
                <w:kern w:val="0"/>
                <w:sz w:val="24"/>
                <w:highlight w:val="none"/>
                <w:lang w:eastAsia="zh-CN" w:bidi="ar"/>
              </w:rPr>
              <w:t>）：</w:t>
            </w:r>
            <w:r>
              <w:rPr>
                <w:rFonts w:hint="eastAsia" w:ascii="Times New Roman" w:hAnsi="Times New Roman" w:cs="宋体"/>
                <w:caps w:val="0"/>
                <w:smallCaps w:val="0"/>
                <w:color w:val="auto"/>
                <w:kern w:val="0"/>
                <w:sz w:val="24"/>
                <w:highlight w:val="none"/>
                <w:lang w:bidi="ar"/>
              </w:rPr>
              <w:t>根据前述分析，项目</w:t>
            </w:r>
            <w:r>
              <w:rPr>
                <w:rFonts w:hint="eastAsia" w:ascii="Times New Roman" w:hAnsi="Times New Roman" w:cs="宋体"/>
                <w:caps w:val="0"/>
                <w:smallCaps w:val="0"/>
                <w:color w:val="auto"/>
                <w:kern w:val="0"/>
                <w:sz w:val="24"/>
                <w:highlight w:val="none"/>
                <w:lang w:val="en-US" w:eastAsia="zh-CN" w:bidi="ar"/>
              </w:rPr>
              <w:t>上料、投料、</w:t>
            </w:r>
            <w:r>
              <w:rPr>
                <w:rFonts w:hint="eastAsia" w:ascii="Times New Roman" w:hAnsi="Times New Roman" w:cs="宋体"/>
                <w:caps w:val="0"/>
                <w:smallCaps w:val="0"/>
                <w:color w:val="auto"/>
                <w:kern w:val="0"/>
                <w:sz w:val="24"/>
                <w:highlight w:val="none"/>
                <w:lang w:bidi="ar"/>
              </w:rPr>
              <w:t>破碎工段</w:t>
            </w:r>
            <w:r>
              <w:rPr>
                <w:rFonts w:hint="eastAsia" w:ascii="Times New Roman" w:hAnsi="Times New Roman" w:cs="宋体"/>
                <w:caps w:val="0"/>
                <w:smallCaps w:val="0"/>
                <w:color w:val="auto"/>
                <w:kern w:val="0"/>
                <w:sz w:val="24"/>
                <w:highlight w:val="none"/>
                <w:lang w:val="en-US" w:eastAsia="zh-CN" w:bidi="ar"/>
              </w:rPr>
              <w:t>厂房沉降</w:t>
            </w:r>
            <w:r>
              <w:rPr>
                <w:rFonts w:hint="eastAsia" w:ascii="Times New Roman" w:hAnsi="Times New Roman" w:cs="宋体"/>
                <w:caps w:val="0"/>
                <w:smallCaps w:val="0"/>
                <w:color w:val="auto"/>
                <w:kern w:val="0"/>
                <w:sz w:val="24"/>
                <w:highlight w:val="none"/>
                <w:lang w:bidi="ar"/>
              </w:rPr>
              <w:t>的粉尘（颗粒物）量</w:t>
            </w:r>
            <w:r>
              <w:rPr>
                <w:rFonts w:hint="eastAsia" w:ascii="Times New Roman" w:hAnsi="Times New Roman" w:cs="宋体"/>
                <w:caps w:val="0"/>
                <w:smallCaps w:val="0"/>
                <w:color w:val="auto"/>
                <w:kern w:val="0"/>
                <w:sz w:val="24"/>
                <w:highlight w:val="none"/>
                <w:lang w:val="en-US" w:eastAsia="zh-CN" w:bidi="ar"/>
              </w:rPr>
              <w:t>约</w:t>
            </w:r>
            <w:r>
              <w:rPr>
                <w:rFonts w:hint="eastAsia" w:ascii="Times New Roman" w:hAnsi="Times New Roman" w:cs="宋体"/>
                <w:caps w:val="0"/>
                <w:smallCaps w:val="0"/>
                <w:color w:val="auto"/>
                <w:kern w:val="0"/>
                <w:sz w:val="24"/>
                <w:highlight w:val="none"/>
                <w:lang w:bidi="ar"/>
              </w:rPr>
              <w:t>为</w:t>
            </w:r>
            <w:r>
              <w:rPr>
                <w:rFonts w:hint="eastAsia" w:cs="宋体"/>
                <w:caps w:val="0"/>
                <w:smallCaps w:val="0"/>
                <w:color w:val="auto"/>
                <w:kern w:val="0"/>
                <w:sz w:val="24"/>
                <w:highlight w:val="none"/>
                <w:lang w:val="en-US" w:eastAsia="zh-CN" w:bidi="ar"/>
              </w:rPr>
              <w:t>0.07964</w:t>
            </w:r>
            <w:r>
              <w:rPr>
                <w:rFonts w:hint="eastAsia" w:ascii="Times New Roman" w:hAnsi="Times New Roman" w:cs="宋体"/>
                <w:caps w:val="0"/>
                <w:smallCaps w:val="0"/>
                <w:color w:val="auto"/>
                <w:kern w:val="0"/>
                <w:sz w:val="24"/>
                <w:highlight w:val="none"/>
                <w:lang w:bidi="ar"/>
              </w:rPr>
              <w:t>t/a，主要为细微塑料颗粒，</w:t>
            </w:r>
            <w:r>
              <w:rPr>
                <w:rFonts w:hint="eastAsia" w:ascii="宋体" w:hAnsi="宋体" w:eastAsia="宋体" w:cs="宋体"/>
                <w:color w:val="auto"/>
                <w:kern w:val="0"/>
                <w:sz w:val="24"/>
                <w:szCs w:val="24"/>
                <w:lang w:val="en-US" w:eastAsia="zh-CN" w:bidi="ar"/>
              </w:rPr>
              <w:t>人工清扫后</w:t>
            </w:r>
            <w:r>
              <w:rPr>
                <w:rFonts w:hint="default" w:ascii="Times New Roman" w:hAnsi="Times New Roman" w:eastAsia="宋体" w:cs="Times New Roman"/>
                <w:color w:val="auto"/>
                <w:sz w:val="24"/>
              </w:rPr>
              <w:t>交由环卫部门处理</w:t>
            </w:r>
            <w:r>
              <w:rPr>
                <w:rFonts w:hint="eastAsia" w:ascii="Times New Roman" w:hAnsi="Times New Roman" w:cs="宋体"/>
                <w:caps w:val="0"/>
                <w:smallCaps w:val="0"/>
                <w:color w:val="auto"/>
                <w:kern w:val="0"/>
                <w:sz w:val="24"/>
                <w:highlight w:val="none"/>
                <w:lang w:bidi="ar"/>
              </w:rPr>
              <w:t>。</w:t>
            </w:r>
            <w:r>
              <w:rPr>
                <w:rFonts w:hint="default" w:ascii="Times New Roman" w:hAnsi="Times New Roman" w:cs="Times New Roman"/>
                <w:b w:val="0"/>
                <w:bCs/>
                <w:caps w:val="0"/>
                <w:smallCaps w:val="0"/>
                <w:color w:val="auto"/>
                <w:sz w:val="24"/>
                <w:szCs w:val="24"/>
                <w:highlight w:val="none"/>
                <w:lang w:val="en-US" w:eastAsia="zh-CN"/>
              </w:rPr>
              <w:t>根据《固体废物分类与代码目录》</w:t>
            </w:r>
            <w:r>
              <w:rPr>
                <w:rFonts w:hint="default" w:ascii="Times New Roman" w:hAnsi="Times New Roman" w:eastAsia="宋体" w:cs="Times New Roman"/>
                <w:color w:val="auto"/>
                <w:sz w:val="24"/>
                <w:lang w:val="en-US" w:eastAsia="zh-CN"/>
              </w:rPr>
              <w:t>（公告2024年第4号）</w:t>
            </w:r>
            <w:r>
              <w:rPr>
                <w:rFonts w:hint="default" w:ascii="Times New Roman" w:hAnsi="Times New Roman" w:cs="Times New Roman"/>
                <w:b w:val="0"/>
                <w:bCs/>
                <w:caps w:val="0"/>
                <w:smallCaps w:val="0"/>
                <w:color w:val="auto"/>
                <w:sz w:val="24"/>
                <w:szCs w:val="24"/>
                <w:highlight w:val="none"/>
                <w:lang w:val="en-US" w:eastAsia="zh-CN"/>
              </w:rPr>
              <w:t>，</w:t>
            </w:r>
            <w:r>
              <w:rPr>
                <w:rFonts w:hint="default" w:ascii="Times New Roman" w:hAnsi="Times New Roman" w:cs="Times New Roman"/>
                <w:b w:val="0"/>
                <w:bCs w:val="0"/>
                <w:caps w:val="0"/>
                <w:smallCaps w:val="0"/>
                <w:color w:val="auto"/>
                <w:sz w:val="24"/>
                <w:szCs w:val="24"/>
                <w:highlight w:val="none"/>
                <w:lang w:val="en-US" w:eastAsia="zh-CN"/>
              </w:rPr>
              <w:t>废物种类：SW59</w:t>
            </w:r>
            <w:r>
              <w:rPr>
                <w:rFonts w:hint="eastAsia" w:ascii="Times New Roman" w:hAnsi="Times New Roman" w:cs="Times New Roman"/>
                <w:b w:val="0"/>
                <w:bCs w:val="0"/>
                <w:caps w:val="0"/>
                <w:smallCaps w:val="0"/>
                <w:color w:val="auto"/>
                <w:sz w:val="24"/>
                <w:szCs w:val="24"/>
                <w:highlight w:val="none"/>
                <w:lang w:val="en-US" w:eastAsia="zh-CN"/>
              </w:rPr>
              <w:t>－</w:t>
            </w:r>
            <w:r>
              <w:rPr>
                <w:rFonts w:hint="default" w:ascii="Times New Roman" w:hAnsi="Times New Roman" w:cs="Times New Roman"/>
                <w:b w:val="0"/>
                <w:bCs w:val="0"/>
                <w:caps w:val="0"/>
                <w:smallCaps w:val="0"/>
                <w:color w:val="auto"/>
                <w:sz w:val="24"/>
                <w:szCs w:val="24"/>
                <w:highlight w:val="none"/>
                <w:lang w:val="en-US" w:eastAsia="zh-CN"/>
              </w:rPr>
              <w:t>其他工业固体废物，</w:t>
            </w:r>
            <w:r>
              <w:rPr>
                <w:rFonts w:hint="default" w:ascii="Times New Roman" w:hAnsi="Times New Roman" w:cs="Times New Roman"/>
                <w:b w:val="0"/>
                <w:bCs/>
                <w:caps w:val="0"/>
                <w:smallCaps w:val="0"/>
                <w:color w:val="auto"/>
                <w:sz w:val="24"/>
                <w:szCs w:val="24"/>
                <w:highlight w:val="none"/>
                <w:lang w:val="en-US" w:eastAsia="zh-CN"/>
              </w:rPr>
              <w:t>分类代</w:t>
            </w:r>
            <w:r>
              <w:rPr>
                <w:rFonts w:hint="default" w:ascii="Times New Roman" w:hAnsi="Times New Roman" w:eastAsia="宋体" w:cs="Times New Roman"/>
                <w:b w:val="0"/>
                <w:bCs/>
                <w:caps w:val="0"/>
                <w:smallCaps w:val="0"/>
                <w:color w:val="auto"/>
                <w:sz w:val="24"/>
                <w:szCs w:val="24"/>
                <w:highlight w:val="none"/>
                <w:lang w:val="en-US" w:eastAsia="zh-CN"/>
              </w:rPr>
              <w:t>码为：900-099-S5</w:t>
            </w:r>
            <w:r>
              <w:rPr>
                <w:rFonts w:hint="eastAsia" w:ascii="Times New Roman" w:hAnsi="Times New Roman" w:eastAsia="宋体" w:cs="Times New Roman"/>
                <w:b w:val="0"/>
                <w:bCs/>
                <w:caps w:val="0"/>
                <w:smallCaps w:val="0"/>
                <w:color w:val="auto"/>
                <w:sz w:val="24"/>
                <w:szCs w:val="24"/>
                <w:highlight w:val="none"/>
                <w:lang w:val="en-US" w:eastAsia="zh-CN"/>
              </w:rPr>
              <w:t>9。</w:t>
            </w:r>
          </w:p>
          <w:p w14:paraId="0A1FB7F4">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default" w:ascii="Times New Roman" w:hAnsi="Times New Roman" w:eastAsia="宋体" w:cs="Times New Roman"/>
                <w:b/>
                <w:bCs/>
                <w:color w:val="auto"/>
                <w:sz w:val="24"/>
                <w:lang w:eastAsia="zh-CN"/>
              </w:rPr>
              <w:t>（</w:t>
            </w:r>
            <w:r>
              <w:rPr>
                <w:rFonts w:hint="eastAsia" w:cs="Times New Roman"/>
                <w:b/>
                <w:bCs/>
                <w:color w:val="auto"/>
                <w:sz w:val="24"/>
                <w:lang w:val="en-US" w:eastAsia="zh-CN"/>
              </w:rPr>
              <w:t>3</w:t>
            </w: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rPr>
              <w:t>危险固废</w:t>
            </w:r>
          </w:p>
          <w:p w14:paraId="674538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项目危险固废主要为</w:t>
            </w:r>
            <w:r>
              <w:rPr>
                <w:rFonts w:hint="eastAsia" w:cs="Times New Roman"/>
                <w:color w:val="auto"/>
                <w:sz w:val="24"/>
                <w:szCs w:val="24"/>
                <w:lang w:val="en-US" w:eastAsia="zh-CN"/>
              </w:rPr>
              <w:t>生产过程</w:t>
            </w:r>
            <w:r>
              <w:rPr>
                <w:rFonts w:hint="default" w:ascii="Times New Roman" w:hAnsi="Times New Roman" w:eastAsia="宋体" w:cs="Times New Roman"/>
                <w:color w:val="auto"/>
                <w:sz w:val="24"/>
                <w:szCs w:val="24"/>
                <w:lang w:val="en-US" w:eastAsia="zh-CN"/>
              </w:rPr>
              <w:t>产生的</w:t>
            </w:r>
            <w:r>
              <w:rPr>
                <w:rFonts w:hint="default" w:ascii="Times New Roman" w:hAnsi="Times New Roman" w:eastAsia="宋体" w:cs="Times New Roman"/>
                <w:color w:val="auto"/>
                <w:kern w:val="0"/>
                <w:sz w:val="24"/>
                <w:szCs w:val="24"/>
                <w:lang w:val="en-US" w:eastAsia="zh-CN" w:bidi="ar"/>
              </w:rPr>
              <w:t>废润滑油</w:t>
            </w:r>
            <w:r>
              <w:rPr>
                <w:rFonts w:hint="eastAsia" w:cs="Times New Roman"/>
                <w:color w:val="auto"/>
                <w:kern w:val="0"/>
                <w:sz w:val="24"/>
                <w:szCs w:val="24"/>
                <w:lang w:val="en-US" w:eastAsia="zh-CN" w:bidi="ar"/>
              </w:rPr>
              <w:t>、</w:t>
            </w:r>
            <w:r>
              <w:rPr>
                <w:rFonts w:hint="eastAsia" w:ascii="Times New Roman" w:hAnsi="Times New Roman" w:eastAsia="Times New Roman" w:cs="宋体"/>
                <w:b w:val="0"/>
                <w:bCs w:val="0"/>
                <w:color w:val="auto"/>
                <w:sz w:val="24"/>
                <w:szCs w:val="24"/>
                <w:lang w:val="en-US" w:eastAsia="zh-CN" w:bidi="ar-SA"/>
              </w:rPr>
              <w:t>含油废手套抹布、</w:t>
            </w:r>
            <w:r>
              <w:rPr>
                <w:rFonts w:hint="eastAsia" w:cs="Times New Roman"/>
                <w:color w:val="auto"/>
                <w:kern w:val="0"/>
                <w:sz w:val="24"/>
                <w:szCs w:val="24"/>
                <w:lang w:val="en-US" w:eastAsia="zh-CN" w:bidi="ar"/>
              </w:rPr>
              <w:t>废柴油桶、废脱模剂瓶、废活性炭等污染物</w:t>
            </w:r>
            <w:r>
              <w:rPr>
                <w:rFonts w:hint="default" w:ascii="Times New Roman" w:hAnsi="Times New Roman" w:eastAsia="宋体" w:cs="Times New Roman"/>
                <w:color w:val="auto"/>
                <w:sz w:val="24"/>
                <w:szCs w:val="24"/>
              </w:rPr>
              <w:t>。</w:t>
            </w:r>
          </w:p>
          <w:p w14:paraId="1923F1D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cs="Times New Roman"/>
                <w:color w:val="auto"/>
                <w:sz w:val="24"/>
                <w:lang w:val="en-US" w:eastAsia="zh-CN"/>
              </w:rPr>
              <w:t>①</w:t>
            </w:r>
            <w:r>
              <w:rPr>
                <w:rFonts w:hint="default" w:ascii="Times New Roman" w:hAnsi="Times New Roman" w:eastAsia="宋体" w:cs="Times New Roman"/>
                <w:color w:val="auto"/>
                <w:sz w:val="24"/>
                <w:lang w:val="en-US" w:eastAsia="zh-CN"/>
              </w:rPr>
              <w:t>废润滑油</w:t>
            </w:r>
            <w:r>
              <w:rPr>
                <w:rFonts w:hint="eastAsia" w:cs="Times New Roman"/>
                <w:b w:val="0"/>
                <w:bCs w:val="0"/>
                <w:color w:val="auto"/>
                <w:sz w:val="24"/>
                <w:lang w:eastAsia="zh-CN"/>
              </w:rPr>
              <w:t>（</w:t>
            </w:r>
            <w:r>
              <w:rPr>
                <w:rFonts w:hint="default" w:ascii="Times New Roman" w:hAnsi="Times New Roman" w:eastAsia="宋体" w:cs="Times New Roman"/>
                <w:b w:val="0"/>
                <w:bCs w:val="0"/>
                <w:color w:val="auto"/>
                <w:sz w:val="24"/>
                <w:lang w:val="en-US" w:eastAsia="zh-CN"/>
              </w:rPr>
              <w:t>900-214-08</w:t>
            </w:r>
            <w:r>
              <w:rPr>
                <w:rFonts w:hint="eastAsia" w:cs="Times New Roman"/>
                <w:b w:val="0"/>
                <w:bCs w:val="0"/>
                <w:color w:val="auto"/>
                <w:sz w:val="24"/>
                <w:lang w:eastAsia="zh-CN"/>
              </w:rPr>
              <w:t>）</w:t>
            </w:r>
            <w:r>
              <w:rPr>
                <w:rFonts w:hint="default" w:ascii="Times New Roman" w:hAnsi="Times New Roman" w:eastAsia="宋体" w:cs="Times New Roman"/>
                <w:color w:val="auto"/>
                <w:sz w:val="24"/>
                <w:lang w:val="en-US" w:eastAsia="zh-CN"/>
              </w:rPr>
              <w:t>：本项目矿物油的使用仅为设备日常运行维护，不涉及机械设备大修，</w:t>
            </w:r>
            <w:r>
              <w:rPr>
                <w:rFonts w:hint="default" w:ascii="Times New Roman" w:hAnsi="Times New Roman" w:eastAsia="宋体" w:cs="Times New Roman"/>
                <w:color w:val="auto"/>
                <w:sz w:val="24"/>
              </w:rPr>
              <w:t>根据业主提供的资料，项目</w:t>
            </w:r>
            <w:r>
              <w:rPr>
                <w:rFonts w:hint="default" w:ascii="Times New Roman" w:hAnsi="Times New Roman" w:eastAsia="宋体" w:cs="Times New Roman"/>
                <w:color w:val="auto"/>
                <w:sz w:val="24"/>
                <w:lang w:eastAsia="zh-CN"/>
              </w:rPr>
              <w:t>废润滑油</w:t>
            </w:r>
            <w:r>
              <w:rPr>
                <w:rFonts w:hint="default" w:ascii="Times New Roman" w:hAnsi="Times New Roman" w:eastAsia="宋体" w:cs="Times New Roman"/>
                <w:color w:val="auto"/>
                <w:sz w:val="24"/>
              </w:rPr>
              <w:t>产生量为</w:t>
            </w:r>
            <w:r>
              <w:rPr>
                <w:rFonts w:hint="default" w:ascii="Times New Roman" w:hAnsi="Times New Roman" w:eastAsia="宋体" w:cs="Times New Roman"/>
                <w:color w:val="auto"/>
                <w:sz w:val="24"/>
                <w:lang w:val="en-US" w:eastAsia="zh-CN"/>
              </w:rPr>
              <w:t>0.1</w:t>
            </w:r>
            <w:r>
              <w:rPr>
                <w:rFonts w:hint="default" w:ascii="Times New Roman" w:hAnsi="Times New Roman" w:eastAsia="宋体" w:cs="Times New Roman"/>
                <w:color w:val="auto"/>
                <w:sz w:val="24"/>
              </w:rPr>
              <w:t>t/a，根据《国家危险废物名录》（2025年版），</w:t>
            </w:r>
            <w:r>
              <w:rPr>
                <w:rFonts w:hint="default" w:ascii="Times New Roman" w:hAnsi="Times New Roman" w:eastAsia="宋体" w:cs="Times New Roman"/>
                <w:color w:val="auto"/>
                <w:sz w:val="24"/>
                <w:lang w:eastAsia="zh-CN"/>
              </w:rPr>
              <w:t>废润滑油</w:t>
            </w:r>
            <w:r>
              <w:rPr>
                <w:rFonts w:hint="default" w:ascii="Times New Roman" w:hAnsi="Times New Roman" w:eastAsia="宋体" w:cs="Times New Roman"/>
                <w:color w:val="auto"/>
                <w:sz w:val="24"/>
              </w:rPr>
              <w:t>属于危险固废（HW08废矿物油与含矿物油废物）</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废润滑油的废物代码为900-214-08</w:t>
            </w:r>
            <w:r>
              <w:rPr>
                <w:rFonts w:hint="default" w:ascii="Times New Roman" w:hAnsi="Times New Roman" w:eastAsia="宋体" w:cs="Times New Roman"/>
                <w:color w:val="auto"/>
                <w:sz w:val="24"/>
              </w:rPr>
              <w:t>，统一收集后暂存于</w:t>
            </w:r>
            <w:r>
              <w:rPr>
                <w:rFonts w:hint="eastAsia" w:cs="Times New Roman"/>
                <w:color w:val="auto"/>
                <w:sz w:val="24"/>
                <w:lang w:eastAsia="zh-CN"/>
              </w:rPr>
              <w:t>危废贮存库</w:t>
            </w:r>
            <w:r>
              <w:rPr>
                <w:rFonts w:hint="default" w:ascii="Times New Roman" w:hAnsi="Times New Roman" w:eastAsia="宋体" w:cs="Times New Roman"/>
                <w:color w:val="auto"/>
                <w:sz w:val="24"/>
              </w:rPr>
              <w:t>，委托有资质的单位处理。</w:t>
            </w:r>
          </w:p>
          <w:p w14:paraId="50D3984F">
            <w:pPr>
              <w:pStyle w:val="22"/>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rPr>
            </w:pPr>
            <w:r>
              <w:rPr>
                <w:rFonts w:hint="eastAsia" w:ascii="Times New Roman" w:hAnsi="Times New Roman" w:eastAsia="Times New Roman" w:cs="宋体"/>
                <w:b w:val="0"/>
                <w:bCs w:val="0"/>
                <w:color w:val="auto"/>
                <w:sz w:val="24"/>
                <w:szCs w:val="24"/>
                <w:lang w:val="en-US" w:eastAsia="zh-CN" w:bidi="ar-SA"/>
              </w:rPr>
              <w:t>②含油废手套抹布</w:t>
            </w:r>
            <w:r>
              <w:rPr>
                <w:rFonts w:hint="eastAsia" w:eastAsia="Times New Roman" w:cs="宋体"/>
                <w:b w:val="0"/>
                <w:bCs w:val="0"/>
                <w:color w:val="auto"/>
                <w:sz w:val="24"/>
                <w:szCs w:val="24"/>
                <w:lang w:val="en-US" w:eastAsia="zh-CN" w:bidi="ar-SA"/>
              </w:rPr>
              <w:t>（</w:t>
            </w:r>
            <w:r>
              <w:rPr>
                <w:rFonts w:hint="eastAsia" w:ascii="Times New Roman" w:hAnsi="Times New Roman"/>
                <w:caps w:val="0"/>
                <w:smallCaps w:val="0"/>
                <w:color w:val="auto"/>
                <w:sz w:val="24"/>
              </w:rPr>
              <w:t>900-041-49</w:t>
            </w:r>
            <w:r>
              <w:rPr>
                <w:rFonts w:hint="eastAsia" w:eastAsia="Times New Roman" w:cs="宋体"/>
                <w:b w:val="0"/>
                <w:bCs w:val="0"/>
                <w:color w:val="auto"/>
                <w:sz w:val="24"/>
                <w:szCs w:val="24"/>
                <w:lang w:val="en-US" w:eastAsia="zh-CN" w:bidi="ar-SA"/>
              </w:rPr>
              <w:t>）</w:t>
            </w:r>
            <w:r>
              <w:rPr>
                <w:rFonts w:hint="eastAsia" w:ascii="Times New Roman" w:hAnsi="Times New Roman" w:eastAsia="Times New Roman" w:cs="宋体"/>
                <w:b w:val="0"/>
                <w:bCs w:val="0"/>
                <w:color w:val="auto"/>
                <w:sz w:val="24"/>
                <w:szCs w:val="24"/>
                <w:lang w:val="en-US" w:eastAsia="zh-CN" w:bidi="ar-SA"/>
              </w:rPr>
              <w:t>：</w:t>
            </w:r>
            <w:r>
              <w:rPr>
                <w:rFonts w:hint="default" w:ascii="Times New Roman" w:hAnsi="Times New Roman" w:eastAsia="宋体" w:cs="Times New Roman"/>
                <w:color w:val="auto"/>
                <w:sz w:val="24"/>
                <w:lang w:val="en-US" w:eastAsia="zh-CN"/>
              </w:rPr>
              <w:t>设备日常运行维护</w:t>
            </w:r>
            <w:r>
              <w:rPr>
                <w:rFonts w:hint="eastAsia" w:ascii="Times New Roman" w:hAnsi="Times New Roman" w:eastAsia="宋体" w:cs="Times New Roman"/>
                <w:color w:val="auto"/>
                <w:sz w:val="24"/>
                <w:lang w:val="en-US" w:eastAsia="zh-CN"/>
              </w:rPr>
              <w:t>、</w:t>
            </w:r>
            <w:r>
              <w:rPr>
                <w:rFonts w:hint="default" w:ascii="Times New Roman" w:hAnsi="Times New Roman"/>
                <w:caps w:val="0"/>
                <w:smallCaps w:val="0"/>
                <w:color w:val="auto"/>
                <w:sz w:val="24"/>
              </w:rPr>
              <w:t>检修过程中</w:t>
            </w:r>
            <w:r>
              <w:rPr>
                <w:rFonts w:hint="eastAsia" w:ascii="Times New Roman" w:hAnsi="Times New Roman"/>
                <w:caps w:val="0"/>
                <w:smallCaps w:val="0"/>
                <w:color w:val="auto"/>
                <w:sz w:val="24"/>
              </w:rPr>
              <w:t>会</w:t>
            </w:r>
            <w:r>
              <w:rPr>
                <w:rFonts w:hint="default" w:ascii="Times New Roman" w:hAnsi="Times New Roman"/>
                <w:caps w:val="0"/>
                <w:smallCaps w:val="0"/>
                <w:color w:val="auto"/>
                <w:sz w:val="24"/>
              </w:rPr>
              <w:t>产生含油废手套、废抹布</w:t>
            </w:r>
            <w:r>
              <w:rPr>
                <w:rFonts w:hint="eastAsia" w:ascii="Times New Roman" w:hAnsi="Times New Roman"/>
                <w:caps w:val="0"/>
                <w:smallCaps w:val="0"/>
                <w:color w:val="auto"/>
                <w:sz w:val="24"/>
              </w:rPr>
              <w:t>，</w:t>
            </w:r>
            <w:r>
              <w:rPr>
                <w:rFonts w:hint="default" w:ascii="Times New Roman" w:hAnsi="Times New Roman"/>
                <w:caps w:val="0"/>
                <w:smallCaps w:val="0"/>
                <w:color w:val="auto"/>
                <w:sz w:val="24"/>
              </w:rPr>
              <w:t>产生量约0.01t/a。</w:t>
            </w:r>
            <w:r>
              <w:rPr>
                <w:rFonts w:hint="eastAsia" w:ascii="Times New Roman" w:hAnsi="Times New Roman"/>
                <w:caps w:val="0"/>
                <w:smallCaps w:val="0"/>
                <w:color w:val="auto"/>
                <w:sz w:val="24"/>
              </w:rPr>
              <w:t>根据《国家危险废物名录》（202</w:t>
            </w:r>
            <w:r>
              <w:rPr>
                <w:rFonts w:hint="eastAsia" w:ascii="Times New Roman" w:hAnsi="Times New Roman"/>
                <w:caps w:val="0"/>
                <w:smallCaps w:val="0"/>
                <w:color w:val="auto"/>
                <w:sz w:val="24"/>
                <w:lang w:val="en-US" w:eastAsia="zh-CN"/>
              </w:rPr>
              <w:t>5</w:t>
            </w:r>
            <w:r>
              <w:rPr>
                <w:rFonts w:hint="eastAsia" w:ascii="Times New Roman" w:hAnsi="Times New Roman"/>
                <w:caps w:val="0"/>
                <w:smallCaps w:val="0"/>
                <w:color w:val="auto"/>
                <w:sz w:val="24"/>
              </w:rPr>
              <w:t>版），废弃的含油抹布、劳保用品属于</w:t>
            </w:r>
            <w:r>
              <w:rPr>
                <w:rFonts w:hint="eastAsia" w:ascii="Times New Roman" w:hAnsi="Times New Roman"/>
                <w:caps w:val="0"/>
                <w:smallCaps w:val="0"/>
                <w:color w:val="auto"/>
                <w:sz w:val="24"/>
                <w:lang w:val="en-US" w:eastAsia="zh-CN"/>
              </w:rPr>
              <w:t>危险固废，</w:t>
            </w:r>
            <w:r>
              <w:rPr>
                <w:rFonts w:hint="default" w:ascii="Times New Roman" w:hAnsi="Times New Roman" w:eastAsia="宋体" w:cs="Times New Roman"/>
                <w:color w:val="auto"/>
                <w:kern w:val="0"/>
                <w:sz w:val="24"/>
                <w:szCs w:val="24"/>
                <w:lang w:val="en-US" w:eastAsia="zh-CN" w:bidi="ar"/>
              </w:rPr>
              <w:t>废物类别为</w:t>
            </w:r>
            <w:r>
              <w:rPr>
                <w:rFonts w:hint="eastAsia" w:ascii="Times New Roman" w:hAnsi="Times New Roman"/>
                <w:caps w:val="0"/>
                <w:smallCaps w:val="0"/>
                <w:color w:val="auto"/>
                <w:sz w:val="24"/>
              </w:rPr>
              <w:t>HW49其他类危险废物，危废代码为900-041-49。含油废手套抹布收集后暂存于危废暂存间内，定位委托有资质的单位清运处置</w:t>
            </w:r>
            <w:r>
              <w:rPr>
                <w:rFonts w:hint="default" w:ascii="Times New Roman" w:hAnsi="Times New Roman"/>
                <w:caps w:val="0"/>
                <w:smallCaps w:val="0"/>
                <w:color w:val="auto"/>
                <w:sz w:val="24"/>
              </w:rPr>
              <w:t>。</w:t>
            </w:r>
          </w:p>
          <w:p w14:paraId="72B552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eastAsia" w:cs="Times New Roman"/>
                <w:b w:val="0"/>
                <w:bCs w:val="0"/>
                <w:color w:val="auto"/>
                <w:kern w:val="0"/>
                <w:sz w:val="24"/>
                <w:szCs w:val="24"/>
                <w:lang w:val="en-US" w:eastAsia="zh-CN" w:bidi="ar"/>
              </w:rPr>
              <w:t>③</w:t>
            </w:r>
            <w:r>
              <w:rPr>
                <w:rFonts w:hint="default" w:ascii="Times New Roman" w:hAnsi="Times New Roman" w:eastAsia="宋体" w:cs="Times New Roman"/>
                <w:b w:val="0"/>
                <w:bCs w:val="0"/>
                <w:color w:val="auto"/>
                <w:kern w:val="0"/>
                <w:sz w:val="24"/>
                <w:szCs w:val="24"/>
                <w:lang w:val="en-US" w:eastAsia="zh-CN" w:bidi="ar"/>
              </w:rPr>
              <w:t>废</w:t>
            </w:r>
            <w:r>
              <w:rPr>
                <w:rFonts w:hint="eastAsia" w:cs="Times New Roman"/>
                <w:b w:val="0"/>
                <w:bCs w:val="0"/>
                <w:color w:val="auto"/>
                <w:kern w:val="0"/>
                <w:sz w:val="24"/>
                <w:szCs w:val="24"/>
                <w:lang w:val="en-US" w:eastAsia="zh-CN" w:bidi="ar"/>
              </w:rPr>
              <w:t>柴油桶</w:t>
            </w:r>
            <w:r>
              <w:rPr>
                <w:rFonts w:hint="default" w:ascii="Times New Roman" w:hAnsi="Times New Roman" w:eastAsia="宋体" w:cs="Times New Roman"/>
                <w:b w:val="0"/>
                <w:bCs w:val="0"/>
                <w:color w:val="auto"/>
                <w:kern w:val="0"/>
                <w:sz w:val="24"/>
                <w:szCs w:val="24"/>
                <w:lang w:val="en-US" w:eastAsia="zh-CN" w:bidi="ar"/>
              </w:rPr>
              <w:t>（900-041-49）</w:t>
            </w:r>
            <w:r>
              <w:rPr>
                <w:rFonts w:hint="default" w:ascii="Times New Roman" w:hAnsi="Times New Roman" w:eastAsia="宋体" w:cs="Times New Roman"/>
                <w:b/>
                <w:bCs/>
                <w:color w:val="auto"/>
                <w:kern w:val="0"/>
                <w:sz w:val="24"/>
                <w:szCs w:val="24"/>
                <w:lang w:val="en-US" w:eastAsia="zh-CN" w:bidi="ar"/>
              </w:rPr>
              <w:t>：</w:t>
            </w:r>
            <w:r>
              <w:rPr>
                <w:rFonts w:hint="eastAsia" w:cs="Times New Roman"/>
                <w:b w:val="0"/>
                <w:bCs w:val="0"/>
                <w:color w:val="auto"/>
                <w:kern w:val="0"/>
                <w:sz w:val="24"/>
                <w:szCs w:val="24"/>
                <w:lang w:val="en-US" w:eastAsia="zh-CN" w:bidi="ar"/>
              </w:rPr>
              <w:t>厂内配置有叉车用来转运拌好的原料，叉车燃烧柴油，</w:t>
            </w:r>
            <w:r>
              <w:rPr>
                <w:rFonts w:hint="default" w:ascii="Times New Roman" w:hAnsi="Times New Roman" w:eastAsia="宋体" w:cs="Times New Roman"/>
                <w:color w:val="auto"/>
                <w:sz w:val="24"/>
              </w:rPr>
              <w:t>根据业主提供的资料，项目</w:t>
            </w:r>
            <w:r>
              <w:rPr>
                <w:rFonts w:hint="eastAsia" w:cs="Times New Roman"/>
                <w:color w:val="auto"/>
                <w:sz w:val="24"/>
                <w:lang w:val="en-US" w:eastAsia="zh-CN"/>
              </w:rPr>
              <w:t>区废柴油桶</w:t>
            </w:r>
            <w:r>
              <w:rPr>
                <w:rFonts w:hint="default" w:ascii="Times New Roman" w:hAnsi="Times New Roman" w:eastAsia="宋体" w:cs="Times New Roman"/>
                <w:color w:val="auto"/>
                <w:sz w:val="24"/>
              </w:rPr>
              <w:t>产生量</w:t>
            </w:r>
            <w:r>
              <w:rPr>
                <w:rFonts w:hint="eastAsia" w:cs="Times New Roman"/>
                <w:color w:val="auto"/>
                <w:sz w:val="24"/>
                <w:lang w:val="en-US" w:eastAsia="zh-CN"/>
              </w:rPr>
              <w:t>约</w:t>
            </w:r>
            <w:r>
              <w:rPr>
                <w:rFonts w:hint="default" w:ascii="Times New Roman" w:hAnsi="Times New Roman" w:eastAsia="宋体" w:cs="Times New Roman"/>
                <w:color w:val="auto"/>
                <w:sz w:val="24"/>
              </w:rPr>
              <w:t>为</w:t>
            </w:r>
            <w:r>
              <w:rPr>
                <w:rFonts w:hint="default" w:ascii="Times New Roman" w:hAnsi="Times New Roman" w:eastAsia="宋体" w:cs="Times New Roman"/>
                <w:color w:val="auto"/>
                <w:sz w:val="24"/>
                <w:lang w:val="en-US" w:eastAsia="zh-CN"/>
              </w:rPr>
              <w:t>0.</w:t>
            </w:r>
            <w:r>
              <w:rPr>
                <w:rFonts w:hint="eastAsia" w:cs="Times New Roman"/>
                <w:color w:val="auto"/>
                <w:sz w:val="24"/>
                <w:lang w:val="en-US" w:eastAsia="zh-CN"/>
              </w:rPr>
              <w:t>5</w:t>
            </w:r>
            <w:r>
              <w:rPr>
                <w:rFonts w:hint="default" w:ascii="Times New Roman" w:hAnsi="Times New Roman" w:eastAsia="宋体" w:cs="Times New Roman"/>
                <w:color w:val="auto"/>
                <w:sz w:val="24"/>
              </w:rPr>
              <w:t>t/a</w:t>
            </w:r>
            <w:r>
              <w:rPr>
                <w:rFonts w:hint="default" w:ascii="Times New Roman" w:hAnsi="Times New Roman" w:eastAsia="宋体" w:cs="Times New Roman"/>
                <w:color w:val="auto"/>
                <w:kern w:val="0"/>
                <w:sz w:val="24"/>
                <w:szCs w:val="24"/>
                <w:lang w:val="en-US" w:eastAsia="zh-CN" w:bidi="ar"/>
              </w:rPr>
              <w:t>，根据《国家危险废物名录》（2025 年版），项目产生的</w:t>
            </w:r>
            <w:r>
              <w:rPr>
                <w:rFonts w:hint="default" w:ascii="Times New Roman" w:hAnsi="Times New Roman" w:eastAsia="宋体" w:cs="Times New Roman"/>
                <w:b w:val="0"/>
                <w:bCs w:val="0"/>
                <w:color w:val="auto"/>
                <w:kern w:val="0"/>
                <w:sz w:val="24"/>
                <w:szCs w:val="24"/>
                <w:lang w:val="en-US" w:eastAsia="zh-CN" w:bidi="ar"/>
              </w:rPr>
              <w:t>废</w:t>
            </w:r>
            <w:r>
              <w:rPr>
                <w:rFonts w:hint="eastAsia" w:cs="Times New Roman"/>
                <w:b w:val="0"/>
                <w:bCs w:val="0"/>
                <w:color w:val="auto"/>
                <w:kern w:val="0"/>
                <w:sz w:val="24"/>
                <w:szCs w:val="24"/>
                <w:lang w:val="en-US" w:eastAsia="zh-CN" w:bidi="ar"/>
              </w:rPr>
              <w:t>柴油桶</w:t>
            </w:r>
            <w:r>
              <w:rPr>
                <w:rFonts w:hint="default" w:ascii="Times New Roman" w:hAnsi="Times New Roman" w:eastAsia="宋体" w:cs="Times New Roman"/>
                <w:color w:val="auto"/>
                <w:kern w:val="0"/>
                <w:sz w:val="24"/>
                <w:szCs w:val="24"/>
                <w:lang w:val="en-US" w:eastAsia="zh-CN" w:bidi="ar"/>
              </w:rPr>
              <w:t>（分类）属于危险废物，废物类别为</w:t>
            </w:r>
            <w:r>
              <w:rPr>
                <w:rFonts w:hint="eastAsia" w:ascii="Times New Roman" w:hAnsi="Times New Roman"/>
                <w:caps w:val="0"/>
                <w:smallCaps w:val="0"/>
                <w:color w:val="auto"/>
                <w:sz w:val="24"/>
              </w:rPr>
              <w:t>HW49其他类危险废物</w:t>
            </w:r>
            <w:r>
              <w:rPr>
                <w:rFonts w:hint="default" w:ascii="Times New Roman" w:hAnsi="Times New Roman" w:eastAsia="宋体" w:cs="Times New Roman"/>
                <w:color w:val="auto"/>
                <w:kern w:val="0"/>
                <w:sz w:val="24"/>
                <w:szCs w:val="24"/>
                <w:lang w:val="en-US" w:eastAsia="zh-CN" w:bidi="ar"/>
              </w:rPr>
              <w:t>，废物代码 900-041-49含有或者沾染毒性、感染性危险废物的废弃的包装物、容器、过滤吸附介质。经收集后暂存于危废暂存库，定期交由有资质单位处置。</w:t>
            </w:r>
          </w:p>
          <w:p w14:paraId="4BBD6D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eastAsia" w:cs="Times New Roman"/>
                <w:b w:val="0"/>
                <w:bCs w:val="0"/>
                <w:color w:val="auto"/>
                <w:kern w:val="0"/>
                <w:sz w:val="24"/>
                <w:szCs w:val="24"/>
                <w:lang w:val="en-US" w:eastAsia="zh-CN" w:bidi="ar"/>
              </w:rPr>
              <w:t>③</w:t>
            </w:r>
            <w:r>
              <w:rPr>
                <w:rFonts w:hint="default" w:ascii="Times New Roman" w:hAnsi="Times New Roman" w:eastAsia="宋体" w:cs="Times New Roman"/>
                <w:b w:val="0"/>
                <w:bCs w:val="0"/>
                <w:color w:val="auto"/>
                <w:kern w:val="0"/>
                <w:sz w:val="24"/>
                <w:szCs w:val="24"/>
                <w:lang w:val="en-US" w:eastAsia="zh-CN" w:bidi="ar"/>
              </w:rPr>
              <w:t>废脱模剂瓶（900-041-49）</w:t>
            </w:r>
            <w:r>
              <w:rPr>
                <w:rFonts w:hint="default" w:ascii="Times New Roman" w:hAnsi="Times New Roman" w:eastAsia="宋体" w:cs="Times New Roman"/>
                <w:b/>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每个脱模剂瓶子重量约为50g/个，项目年用脱模剂约600瓶，则废脱模剂瓶总产生量为0.03t/a，根据《国家危险废物名录》（2025年版），项目产生的废脱模剂瓶（分类）属于危险废物，废物类别为</w:t>
            </w:r>
            <w:r>
              <w:rPr>
                <w:rFonts w:hint="eastAsia" w:ascii="Times New Roman" w:hAnsi="Times New Roman"/>
                <w:caps w:val="0"/>
                <w:smallCaps w:val="0"/>
                <w:color w:val="auto"/>
                <w:sz w:val="24"/>
              </w:rPr>
              <w:t>HW49其他类危险废物</w:t>
            </w:r>
            <w:r>
              <w:rPr>
                <w:rFonts w:hint="default" w:ascii="Times New Roman" w:hAnsi="Times New Roman" w:eastAsia="宋体" w:cs="Times New Roman"/>
                <w:color w:val="auto"/>
                <w:kern w:val="0"/>
                <w:sz w:val="24"/>
                <w:szCs w:val="24"/>
                <w:lang w:val="en-US" w:eastAsia="zh-CN" w:bidi="ar"/>
              </w:rPr>
              <w:t>，废物代码 900-041-49含有或者沾染毒性、感染性危险废物的废弃的包装物、容器、过滤吸附介质。经收集后暂存于危废暂存库，定期交由有资质单位处置。</w:t>
            </w:r>
          </w:p>
          <w:p w14:paraId="6F53D83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cs="Times New Roman"/>
                <w:color w:val="auto"/>
                <w:sz w:val="24"/>
                <w:lang w:val="en-US" w:eastAsia="zh-CN"/>
              </w:rPr>
              <w:t>④</w:t>
            </w:r>
            <w:r>
              <w:rPr>
                <w:rFonts w:hint="default" w:ascii="Times New Roman" w:hAnsi="Times New Roman" w:eastAsia="宋体" w:cs="Times New Roman"/>
                <w:color w:val="auto"/>
                <w:sz w:val="24"/>
                <w:lang w:val="en-US" w:eastAsia="zh-CN"/>
              </w:rPr>
              <w:t>废活性炭</w:t>
            </w:r>
            <w:r>
              <w:rPr>
                <w:rFonts w:hint="eastAsia" w:cs="Times New Roman"/>
                <w:color w:val="auto"/>
                <w:sz w:val="24"/>
                <w:lang w:val="en-US" w:eastAsia="zh-CN"/>
              </w:rPr>
              <w:t>（</w:t>
            </w:r>
            <w:r>
              <w:rPr>
                <w:rFonts w:hint="default" w:ascii="Times New Roman" w:hAnsi="Times New Roman" w:eastAsia="宋体" w:cs="Times New Roman"/>
                <w:color w:val="auto"/>
                <w:sz w:val="24"/>
              </w:rPr>
              <w:t>900-039-49</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000000"/>
                <w:kern w:val="0"/>
                <w:sz w:val="24"/>
                <w:szCs w:val="24"/>
                <w:lang w:val="en-US" w:eastAsia="zh-CN" w:bidi="ar"/>
              </w:rPr>
              <w:t>项目使用活性炭处理设施对有组织非甲烷总烃进行吸附处理，活性炭吸附装置在运行过程中需根据吸附有机物质的量定期更换活性炭。</w:t>
            </w:r>
            <w:r>
              <w:rPr>
                <w:rFonts w:hint="eastAsia" w:ascii="宋体" w:hAnsi="宋体" w:eastAsia="宋体" w:cs="宋体"/>
                <w:color w:val="000000"/>
                <w:kern w:val="0"/>
                <w:sz w:val="24"/>
                <w:szCs w:val="24"/>
                <w:lang w:val="en-US" w:eastAsia="zh-CN" w:bidi="ar"/>
              </w:rPr>
              <w:t>根据《现代涂装手册》（化学工业出版社，</w:t>
            </w:r>
            <w:r>
              <w:rPr>
                <w:rFonts w:hint="default" w:ascii="Times New Roman" w:hAnsi="Times New Roman" w:eastAsia="宋体" w:cs="Times New Roman"/>
                <w:color w:val="000000"/>
                <w:kern w:val="0"/>
                <w:sz w:val="24"/>
                <w:szCs w:val="24"/>
                <w:lang w:val="en-US" w:eastAsia="zh-CN" w:bidi="ar"/>
              </w:rPr>
              <w:t xml:space="preserve">2010 </w:t>
            </w:r>
            <w:r>
              <w:rPr>
                <w:rFonts w:hint="eastAsia" w:ascii="宋体" w:hAnsi="宋体" w:eastAsia="宋体" w:cs="宋体"/>
                <w:color w:val="000000"/>
                <w:kern w:val="0"/>
                <w:sz w:val="24"/>
                <w:szCs w:val="24"/>
                <w:lang w:val="en-US" w:eastAsia="zh-CN" w:bidi="ar"/>
              </w:rPr>
              <w:t>年出版），活性炭对有机废气等各成分的吸附量约为</w:t>
            </w:r>
            <w:r>
              <w:rPr>
                <w:rFonts w:hint="default" w:ascii="Times New Roman" w:hAnsi="Times New Roman" w:eastAsia="宋体" w:cs="Times New Roman"/>
                <w:color w:val="000000"/>
                <w:kern w:val="0"/>
                <w:sz w:val="24"/>
                <w:szCs w:val="24"/>
                <w:lang w:val="en-US" w:eastAsia="zh-CN" w:bidi="ar"/>
              </w:rPr>
              <w:t>0.25g废气/g活性炭，本项目有机废气去除量约为</w:t>
            </w:r>
            <w:r>
              <w:rPr>
                <w:rFonts w:hint="default" w:ascii="Times New Roman" w:hAnsi="Times New Roman" w:cs="Times New Roman"/>
                <w:color w:val="000000"/>
                <w:kern w:val="0"/>
                <w:sz w:val="24"/>
                <w:szCs w:val="24"/>
                <w:lang w:val="en-US" w:eastAsia="zh-CN" w:bidi="ar"/>
              </w:rPr>
              <w:t>2.6914</w:t>
            </w:r>
            <w:r>
              <w:rPr>
                <w:rFonts w:hint="default" w:ascii="Times New Roman" w:hAnsi="Times New Roman" w:eastAsia="宋体" w:cs="Times New Roman"/>
                <w:color w:val="000000"/>
                <w:kern w:val="0"/>
                <w:sz w:val="24"/>
                <w:szCs w:val="24"/>
                <w:lang w:val="en-US" w:eastAsia="zh-CN" w:bidi="ar"/>
              </w:rPr>
              <w:t>t/a，</w:t>
            </w:r>
            <w:r>
              <w:rPr>
                <w:rFonts w:hint="default" w:ascii="Times New Roman" w:hAnsi="Times New Roman" w:eastAsia="宋体" w:cs="Times New Roman"/>
                <w:color w:val="auto"/>
                <w:kern w:val="0"/>
                <w:sz w:val="24"/>
                <w:szCs w:val="24"/>
                <w:lang w:val="en-US" w:eastAsia="zh-CN" w:bidi="ar"/>
              </w:rPr>
              <w:t>则理论上需要活性炭量约为</w:t>
            </w:r>
            <w:r>
              <w:rPr>
                <w:rFonts w:hint="default" w:ascii="Times New Roman" w:hAnsi="Times New Roman" w:cs="Times New Roman"/>
                <w:color w:val="auto"/>
                <w:kern w:val="0"/>
                <w:sz w:val="24"/>
                <w:szCs w:val="24"/>
                <w:lang w:val="en-US" w:eastAsia="zh-CN" w:bidi="ar"/>
              </w:rPr>
              <w:t>10.7656</w:t>
            </w:r>
            <w:r>
              <w:rPr>
                <w:rFonts w:hint="default" w:ascii="Times New Roman" w:hAnsi="Times New Roman" w:eastAsia="宋体" w:cs="Times New Roman"/>
                <w:color w:val="auto"/>
                <w:kern w:val="0"/>
                <w:sz w:val="24"/>
                <w:szCs w:val="24"/>
                <w:lang w:val="en-US" w:eastAsia="zh-CN" w:bidi="ar"/>
              </w:rPr>
              <w:t>t/a。为保证活性炭的吸附效果，活性炭吸附器中活性炭的放置量一般比理论所需活性炭用量多20%，因此，实际上需要活性炭填充总量约为12.92t/a。根据《国家危险废物名录（2025 年版）》，废活性炭属于HW49其他废物，</w:t>
            </w:r>
            <w:r>
              <w:rPr>
                <w:rFonts w:hint="eastAsia" w:ascii="宋体" w:hAnsi="宋体" w:eastAsia="宋体" w:cs="宋体"/>
                <w:color w:val="auto"/>
                <w:kern w:val="0"/>
                <w:sz w:val="24"/>
                <w:szCs w:val="24"/>
                <w:lang w:val="en-US" w:eastAsia="zh-CN" w:bidi="ar"/>
              </w:rPr>
              <w:t>废物代码为</w:t>
            </w:r>
            <w:r>
              <w:rPr>
                <w:rFonts w:hint="default" w:ascii="Times New Roman" w:hAnsi="Times New Roman" w:eastAsia="宋体" w:cs="Times New Roman"/>
                <w:color w:val="auto"/>
                <w:kern w:val="0"/>
                <w:sz w:val="24"/>
                <w:szCs w:val="24"/>
                <w:lang w:val="en-US" w:eastAsia="zh-CN" w:bidi="ar"/>
              </w:rPr>
              <w:t>900-039-49</w:t>
            </w:r>
            <w:r>
              <w:rPr>
                <w:rFonts w:hint="eastAsia" w:ascii="宋体" w:hAnsi="宋体" w:eastAsia="宋体" w:cs="宋体"/>
                <w:color w:val="auto"/>
                <w:kern w:val="0"/>
                <w:sz w:val="24"/>
                <w:szCs w:val="24"/>
                <w:lang w:val="en-US" w:eastAsia="zh-CN" w:bidi="ar"/>
              </w:rPr>
              <w:t>，定期委托有资质的单位进行处置。</w:t>
            </w:r>
          </w:p>
          <w:p w14:paraId="1A1A32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项目运营期的固体废物产生量见表4-</w:t>
            </w:r>
            <w:r>
              <w:rPr>
                <w:rFonts w:hint="eastAsia" w:cs="Times New Roman"/>
                <w:color w:val="auto"/>
                <w:sz w:val="24"/>
                <w:lang w:val="en-US" w:eastAsia="zh-CN"/>
              </w:rPr>
              <w:t>17</w:t>
            </w:r>
            <w:r>
              <w:rPr>
                <w:rFonts w:hint="default" w:ascii="Times New Roman" w:hAnsi="Times New Roman" w:eastAsia="宋体" w:cs="Times New Roman"/>
                <w:color w:val="auto"/>
                <w:sz w:val="24"/>
              </w:rPr>
              <w:t xml:space="preserve">。 </w:t>
            </w:r>
          </w:p>
          <w:p w14:paraId="4C6B8351">
            <w:pPr>
              <w:keepNext w:val="0"/>
              <w:keepLines w:val="0"/>
              <w:suppressLineNumbers w:val="0"/>
              <w:spacing w:before="0" w:beforeAutospacing="0" w:after="0" w:afterAutospacing="0" w:line="360" w:lineRule="auto"/>
              <w:ind w:left="0" w:right="0" w:firstLine="422" w:firstLineChars="200"/>
              <w:contextualSpacing/>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17</w:t>
            </w:r>
            <w:r>
              <w:rPr>
                <w:rFonts w:hint="default" w:ascii="Times New Roman" w:hAnsi="Times New Roman" w:eastAsia="宋体" w:cs="Times New Roman"/>
                <w:b/>
                <w:bCs/>
                <w:color w:val="auto"/>
                <w:sz w:val="21"/>
                <w:szCs w:val="21"/>
              </w:rPr>
              <w:t xml:space="preserve">  项目固废产生情况一览表</w:t>
            </w:r>
          </w:p>
          <w:tbl>
            <w:tblPr>
              <w:tblStyle w:val="36"/>
              <w:tblW w:w="8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9"/>
              <w:gridCol w:w="690"/>
              <w:gridCol w:w="555"/>
              <w:gridCol w:w="525"/>
              <w:gridCol w:w="555"/>
              <w:gridCol w:w="570"/>
              <w:gridCol w:w="1140"/>
              <w:gridCol w:w="720"/>
              <w:gridCol w:w="735"/>
              <w:gridCol w:w="947"/>
              <w:gridCol w:w="700"/>
              <w:gridCol w:w="696"/>
            </w:tblGrid>
            <w:tr w14:paraId="1EC4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599" w:type="dxa"/>
                  <w:noWrap w:val="0"/>
                  <w:vAlign w:val="center"/>
                </w:tcPr>
                <w:p w14:paraId="012EBBD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废物名称</w:t>
                  </w:r>
                </w:p>
              </w:tc>
              <w:tc>
                <w:tcPr>
                  <w:tcW w:w="690" w:type="dxa"/>
                  <w:noWrap w:val="0"/>
                  <w:vAlign w:val="center"/>
                </w:tcPr>
                <w:p w14:paraId="5D4AF82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产污</w:t>
                  </w:r>
                </w:p>
                <w:p w14:paraId="3DDD8B3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环节</w:t>
                  </w:r>
                </w:p>
              </w:tc>
              <w:tc>
                <w:tcPr>
                  <w:tcW w:w="555" w:type="dxa"/>
                  <w:noWrap w:val="0"/>
                  <w:vAlign w:val="center"/>
                </w:tcPr>
                <w:p w14:paraId="41B40AC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产量t/a</w:t>
                  </w:r>
                </w:p>
              </w:tc>
              <w:tc>
                <w:tcPr>
                  <w:tcW w:w="525" w:type="dxa"/>
                  <w:noWrap w:val="0"/>
                  <w:vAlign w:val="center"/>
                </w:tcPr>
                <w:p w14:paraId="2EFBD4C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固废</w:t>
                  </w:r>
                  <w:r>
                    <w:rPr>
                      <w:rFonts w:hint="default" w:ascii="Times New Roman" w:hAnsi="Times New Roman" w:eastAsia="宋体" w:cs="Times New Roman"/>
                      <w:b/>
                      <w:color w:val="auto"/>
                      <w:sz w:val="21"/>
                      <w:szCs w:val="21"/>
                    </w:rPr>
                    <w:t>类别</w:t>
                  </w:r>
                </w:p>
              </w:tc>
              <w:tc>
                <w:tcPr>
                  <w:tcW w:w="555" w:type="dxa"/>
                  <w:noWrap w:val="0"/>
                  <w:vAlign w:val="center"/>
                </w:tcPr>
                <w:p w14:paraId="12F5975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en-US" w:eastAsia="zh-CN"/>
                    </w:rPr>
                    <w:t>物理形态</w:t>
                  </w:r>
                </w:p>
              </w:tc>
              <w:tc>
                <w:tcPr>
                  <w:tcW w:w="570" w:type="dxa"/>
                  <w:noWrap w:val="0"/>
                  <w:vAlign w:val="center"/>
                </w:tcPr>
                <w:p w14:paraId="727F842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en-US" w:eastAsia="zh-CN"/>
                    </w:rPr>
                    <w:t>危险特性</w:t>
                  </w:r>
                </w:p>
              </w:tc>
              <w:tc>
                <w:tcPr>
                  <w:tcW w:w="1140" w:type="dxa"/>
                  <w:noWrap w:val="0"/>
                  <w:vAlign w:val="center"/>
                </w:tcPr>
                <w:p w14:paraId="18E89ED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废物</w:t>
                  </w:r>
                </w:p>
                <w:p w14:paraId="2B6BC40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zh-CN" w:eastAsia="zh-CN"/>
                    </w:rPr>
                  </w:pPr>
                  <w:r>
                    <w:rPr>
                      <w:rFonts w:hint="default" w:ascii="Times New Roman" w:hAnsi="Times New Roman" w:eastAsia="宋体" w:cs="Times New Roman"/>
                      <w:b/>
                      <w:bCs/>
                      <w:color w:val="auto"/>
                      <w:sz w:val="21"/>
                      <w:szCs w:val="21"/>
                      <w:lang w:val="en-US" w:eastAsia="zh-CN"/>
                    </w:rPr>
                    <w:t>种类</w:t>
                  </w:r>
                </w:p>
              </w:tc>
              <w:tc>
                <w:tcPr>
                  <w:tcW w:w="720" w:type="dxa"/>
                  <w:noWrap w:val="0"/>
                  <w:vAlign w:val="center"/>
                </w:tcPr>
                <w:p w14:paraId="014710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废物</w:t>
                  </w:r>
                </w:p>
                <w:p w14:paraId="2B60000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代码</w:t>
                  </w:r>
                </w:p>
              </w:tc>
              <w:tc>
                <w:tcPr>
                  <w:tcW w:w="735" w:type="dxa"/>
                  <w:noWrap w:val="0"/>
                  <w:vAlign w:val="center"/>
                </w:tcPr>
                <w:p w14:paraId="2A8C7B1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储存</w:t>
                  </w:r>
                </w:p>
                <w:p w14:paraId="60C497D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方式</w:t>
                  </w:r>
                </w:p>
              </w:tc>
              <w:tc>
                <w:tcPr>
                  <w:tcW w:w="947" w:type="dxa"/>
                  <w:noWrap w:val="0"/>
                  <w:vAlign w:val="center"/>
                </w:tcPr>
                <w:p w14:paraId="306A62F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处置方式</w:t>
                  </w:r>
                </w:p>
                <w:p w14:paraId="020F5C1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和去向</w:t>
                  </w:r>
                </w:p>
              </w:tc>
              <w:tc>
                <w:tcPr>
                  <w:tcW w:w="700" w:type="dxa"/>
                  <w:noWrap w:val="0"/>
                  <w:vAlign w:val="center"/>
                </w:tcPr>
                <w:p w14:paraId="39423F0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利用或处置量（t/a）</w:t>
                  </w:r>
                </w:p>
              </w:tc>
              <w:tc>
                <w:tcPr>
                  <w:tcW w:w="696" w:type="dxa"/>
                  <w:noWrap w:val="0"/>
                  <w:vAlign w:val="center"/>
                </w:tcPr>
                <w:p w14:paraId="66D1D76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环境管理要求</w:t>
                  </w:r>
                </w:p>
              </w:tc>
            </w:tr>
            <w:tr w14:paraId="67A3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7F45705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rPr>
                    <w:t>生活垃圾</w:t>
                  </w:r>
                </w:p>
              </w:tc>
              <w:tc>
                <w:tcPr>
                  <w:tcW w:w="690" w:type="dxa"/>
                  <w:noWrap w:val="0"/>
                  <w:vAlign w:val="center"/>
                </w:tcPr>
                <w:p w14:paraId="5AF596A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办公区</w:t>
                  </w:r>
                  <w:r>
                    <w:rPr>
                      <w:rFonts w:hint="eastAsia" w:ascii="Times New Roman" w:cs="Times New Roman"/>
                      <w:color w:val="auto"/>
                      <w:sz w:val="21"/>
                      <w:szCs w:val="21"/>
                      <w:lang w:val="en-US" w:eastAsia="zh-CN"/>
                    </w:rPr>
                    <w:t>、厂房</w:t>
                  </w:r>
                </w:p>
              </w:tc>
              <w:tc>
                <w:tcPr>
                  <w:tcW w:w="555" w:type="dxa"/>
                  <w:noWrap w:val="0"/>
                  <w:vAlign w:val="center"/>
                </w:tcPr>
                <w:p w14:paraId="3CEE4BD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r>
                    <w:rPr>
                      <w:rFonts w:hint="eastAsia" w:ascii="Times New Roman" w:cs="Times New Roman"/>
                      <w:color w:val="auto"/>
                      <w:sz w:val="21"/>
                      <w:szCs w:val="21"/>
                      <w:lang w:val="en-US" w:eastAsia="zh-CN"/>
                    </w:rPr>
                    <w:t>.36</w:t>
                  </w:r>
                </w:p>
              </w:tc>
              <w:tc>
                <w:tcPr>
                  <w:tcW w:w="525" w:type="dxa"/>
                  <w:vMerge w:val="restart"/>
                  <w:noWrap w:val="0"/>
                  <w:vAlign w:val="center"/>
                </w:tcPr>
                <w:p w14:paraId="55B6D6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一般固废</w:t>
                  </w:r>
                </w:p>
              </w:tc>
              <w:tc>
                <w:tcPr>
                  <w:tcW w:w="555" w:type="dxa"/>
                  <w:noWrap w:val="0"/>
                  <w:vAlign w:val="center"/>
                </w:tcPr>
                <w:p w14:paraId="491A5F4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固态</w:t>
                  </w:r>
                </w:p>
              </w:tc>
              <w:tc>
                <w:tcPr>
                  <w:tcW w:w="570" w:type="dxa"/>
                  <w:noWrap w:val="0"/>
                  <w:vAlign w:val="center"/>
                </w:tcPr>
                <w:p w14:paraId="6BD250B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40" w:type="dxa"/>
                  <w:noWrap w:val="0"/>
                  <w:vAlign w:val="center"/>
                </w:tcPr>
                <w:p w14:paraId="45128B4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SW64其他垃圾</w:t>
                  </w:r>
                </w:p>
              </w:tc>
              <w:tc>
                <w:tcPr>
                  <w:tcW w:w="720" w:type="dxa"/>
                  <w:noWrap w:val="0"/>
                  <w:vAlign w:val="center"/>
                </w:tcPr>
                <w:p w14:paraId="3F08272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en-US" w:eastAsia="zh-CN"/>
                    </w:rPr>
                    <w:t>900-099-S64</w:t>
                  </w:r>
                </w:p>
              </w:tc>
              <w:tc>
                <w:tcPr>
                  <w:tcW w:w="735" w:type="dxa"/>
                  <w:noWrap w:val="0"/>
                  <w:vAlign w:val="center"/>
                </w:tcPr>
                <w:p w14:paraId="1113398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生活垃圾桶</w:t>
                  </w:r>
                </w:p>
              </w:tc>
              <w:tc>
                <w:tcPr>
                  <w:tcW w:w="947" w:type="dxa"/>
                  <w:noWrap w:val="0"/>
                  <w:vAlign w:val="center"/>
                </w:tcPr>
                <w:p w14:paraId="3C85151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由</w:t>
                  </w:r>
                  <w:r>
                    <w:rPr>
                      <w:rFonts w:hint="default" w:ascii="Times New Roman" w:hAnsi="Times New Roman" w:eastAsia="宋体" w:cs="Times New Roman"/>
                      <w:color w:val="auto"/>
                      <w:sz w:val="21"/>
                      <w:szCs w:val="21"/>
                      <w:lang w:val="en-US" w:eastAsia="zh-CN"/>
                    </w:rPr>
                    <w:t>环卫部门清运处置</w:t>
                  </w:r>
                </w:p>
              </w:tc>
              <w:tc>
                <w:tcPr>
                  <w:tcW w:w="700" w:type="dxa"/>
                  <w:noWrap w:val="0"/>
                  <w:vAlign w:val="center"/>
                </w:tcPr>
                <w:p w14:paraId="1312CED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3</w:t>
                  </w:r>
                </w:p>
              </w:tc>
              <w:tc>
                <w:tcPr>
                  <w:tcW w:w="696" w:type="dxa"/>
                  <w:noWrap w:val="0"/>
                  <w:vAlign w:val="center"/>
                </w:tcPr>
                <w:p w14:paraId="75AA1D6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5978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5FCA364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包装固废</w:t>
                  </w:r>
                </w:p>
              </w:tc>
              <w:tc>
                <w:tcPr>
                  <w:tcW w:w="690" w:type="dxa"/>
                  <w:noWrap w:val="0"/>
                  <w:vAlign w:val="center"/>
                </w:tcPr>
                <w:p w14:paraId="3F8B88F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原料拆包</w:t>
                  </w:r>
                </w:p>
              </w:tc>
              <w:tc>
                <w:tcPr>
                  <w:tcW w:w="555" w:type="dxa"/>
                  <w:noWrap w:val="0"/>
                  <w:vAlign w:val="center"/>
                </w:tcPr>
                <w:p w14:paraId="680AEEA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w:t>
                  </w:r>
                </w:p>
              </w:tc>
              <w:tc>
                <w:tcPr>
                  <w:tcW w:w="525" w:type="dxa"/>
                  <w:vMerge w:val="continue"/>
                  <w:noWrap w:val="0"/>
                  <w:vAlign w:val="center"/>
                </w:tcPr>
                <w:p w14:paraId="5ECC9C5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p>
              </w:tc>
              <w:tc>
                <w:tcPr>
                  <w:tcW w:w="555" w:type="dxa"/>
                  <w:noWrap w:val="0"/>
                  <w:vAlign w:val="center"/>
                </w:tcPr>
                <w:p w14:paraId="3EB4CC1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固态</w:t>
                  </w:r>
                </w:p>
              </w:tc>
              <w:tc>
                <w:tcPr>
                  <w:tcW w:w="570" w:type="dxa"/>
                  <w:noWrap w:val="0"/>
                  <w:vAlign w:val="center"/>
                </w:tcPr>
                <w:p w14:paraId="04E503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1140" w:type="dxa"/>
                  <w:noWrap w:val="0"/>
                  <w:vAlign w:val="center"/>
                </w:tcPr>
                <w:p w14:paraId="31B9FE5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eastAsia="宋体" w:cs="Times New Roman"/>
                      <w:color w:val="auto"/>
                      <w:sz w:val="21"/>
                      <w:szCs w:val="21"/>
                      <w:lang w:val="zh-CN" w:eastAsia="zh-CN"/>
                    </w:rPr>
                    <w:t>SW17可再生类废物</w:t>
                  </w:r>
                </w:p>
              </w:tc>
              <w:tc>
                <w:tcPr>
                  <w:tcW w:w="720" w:type="dxa"/>
                  <w:noWrap w:val="0"/>
                  <w:vAlign w:val="center"/>
                </w:tcPr>
                <w:p w14:paraId="4E9BC7B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900-003-S17</w:t>
                  </w:r>
                </w:p>
              </w:tc>
              <w:tc>
                <w:tcPr>
                  <w:tcW w:w="735" w:type="dxa"/>
                  <w:noWrap w:val="0"/>
                  <w:vAlign w:val="center"/>
                </w:tcPr>
                <w:p w14:paraId="2C76000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sz w:val="21"/>
                      <w:szCs w:val="21"/>
                      <w:lang w:val="en-US" w:eastAsia="zh-CN"/>
                    </w:rPr>
                    <w:t>生产厂房内</w:t>
                  </w:r>
                </w:p>
              </w:tc>
              <w:tc>
                <w:tcPr>
                  <w:tcW w:w="947" w:type="dxa"/>
                  <w:noWrap w:val="0"/>
                  <w:vAlign w:val="center"/>
                </w:tcPr>
                <w:p w14:paraId="66B821A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外售给物资回收单位利用</w:t>
                  </w:r>
                </w:p>
              </w:tc>
              <w:tc>
                <w:tcPr>
                  <w:tcW w:w="700" w:type="dxa"/>
                  <w:noWrap w:val="0"/>
                  <w:vAlign w:val="center"/>
                </w:tcPr>
                <w:p w14:paraId="4837383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w:t>
                  </w:r>
                </w:p>
              </w:tc>
              <w:tc>
                <w:tcPr>
                  <w:tcW w:w="696" w:type="dxa"/>
                  <w:noWrap w:val="0"/>
                  <w:vAlign w:val="center"/>
                </w:tcPr>
                <w:p w14:paraId="59A74F7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65A7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5AF0E9B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sz w:val="21"/>
                      <w:szCs w:val="21"/>
                      <w:lang w:val="en-US" w:eastAsia="zh-CN"/>
                    </w:rPr>
                    <w:t>生产废料及不合格品</w:t>
                  </w:r>
                </w:p>
              </w:tc>
              <w:tc>
                <w:tcPr>
                  <w:tcW w:w="690" w:type="dxa"/>
                  <w:noWrap w:val="0"/>
                  <w:vAlign w:val="center"/>
                </w:tcPr>
                <w:p w14:paraId="73E1B6F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sz w:val="21"/>
                      <w:szCs w:val="21"/>
                      <w:lang w:val="en-US" w:eastAsia="zh-CN"/>
                    </w:rPr>
                    <w:t>生产</w:t>
                  </w:r>
                </w:p>
              </w:tc>
              <w:tc>
                <w:tcPr>
                  <w:tcW w:w="555" w:type="dxa"/>
                  <w:noWrap w:val="0"/>
                  <w:vAlign w:val="center"/>
                </w:tcPr>
                <w:p w14:paraId="071C6BB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kern w:val="0"/>
                      <w:sz w:val="21"/>
                      <w:szCs w:val="21"/>
                      <w:lang w:val="en-US" w:eastAsia="zh-CN" w:bidi="ar-SA"/>
                    </w:rPr>
                    <w:t>6.515</w:t>
                  </w:r>
                </w:p>
              </w:tc>
              <w:tc>
                <w:tcPr>
                  <w:tcW w:w="525" w:type="dxa"/>
                  <w:vMerge w:val="continue"/>
                  <w:noWrap w:val="0"/>
                  <w:vAlign w:val="center"/>
                </w:tcPr>
                <w:p w14:paraId="6BDC6E4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p>
              </w:tc>
              <w:tc>
                <w:tcPr>
                  <w:tcW w:w="555" w:type="dxa"/>
                  <w:noWrap w:val="0"/>
                  <w:vAlign w:val="center"/>
                </w:tcPr>
                <w:p w14:paraId="2897376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zh-CN" w:eastAsia="zh-CN" w:bidi="ar-SA"/>
                    </w:rPr>
                  </w:pPr>
                  <w:r>
                    <w:rPr>
                      <w:rFonts w:hint="default" w:ascii="Times New Roman" w:hAnsi="Times New Roman" w:eastAsia="宋体" w:cs="Times New Roman"/>
                      <w:color w:val="auto"/>
                      <w:sz w:val="21"/>
                      <w:szCs w:val="21"/>
                    </w:rPr>
                    <w:t>固态</w:t>
                  </w:r>
                </w:p>
              </w:tc>
              <w:tc>
                <w:tcPr>
                  <w:tcW w:w="570" w:type="dxa"/>
                  <w:noWrap w:val="0"/>
                  <w:vAlign w:val="center"/>
                </w:tcPr>
                <w:p w14:paraId="5AB5559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1140" w:type="dxa"/>
                  <w:noWrap w:val="0"/>
                  <w:vAlign w:val="center"/>
                </w:tcPr>
                <w:p w14:paraId="027310B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zh-CN" w:eastAsia="zh-CN"/>
                    </w:rPr>
                    <w:t>SW17可再生类废物</w:t>
                  </w:r>
                </w:p>
              </w:tc>
              <w:tc>
                <w:tcPr>
                  <w:tcW w:w="720" w:type="dxa"/>
                  <w:noWrap w:val="0"/>
                  <w:vAlign w:val="center"/>
                </w:tcPr>
                <w:p w14:paraId="6FFDB06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900-003-S17</w:t>
                  </w:r>
                </w:p>
              </w:tc>
              <w:tc>
                <w:tcPr>
                  <w:tcW w:w="735" w:type="dxa"/>
                  <w:noWrap w:val="0"/>
                  <w:vAlign w:val="center"/>
                </w:tcPr>
                <w:p w14:paraId="0ADBC97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原料区</w:t>
                  </w:r>
                </w:p>
              </w:tc>
              <w:tc>
                <w:tcPr>
                  <w:tcW w:w="947" w:type="dxa"/>
                  <w:noWrap w:val="0"/>
                  <w:vAlign w:val="center"/>
                </w:tcPr>
                <w:p w14:paraId="39B316F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破碎重新作为原料回用于生产线</w:t>
                  </w:r>
                </w:p>
              </w:tc>
              <w:tc>
                <w:tcPr>
                  <w:tcW w:w="700" w:type="dxa"/>
                  <w:noWrap w:val="0"/>
                  <w:vAlign w:val="center"/>
                </w:tcPr>
                <w:p w14:paraId="1187089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kern w:val="0"/>
                      <w:sz w:val="21"/>
                      <w:szCs w:val="21"/>
                      <w:lang w:val="en-US" w:eastAsia="zh-CN" w:bidi="ar-SA"/>
                    </w:rPr>
                    <w:t>6.515</w:t>
                  </w:r>
                </w:p>
              </w:tc>
              <w:tc>
                <w:tcPr>
                  <w:tcW w:w="696" w:type="dxa"/>
                  <w:noWrap w:val="0"/>
                  <w:vAlign w:val="center"/>
                </w:tcPr>
                <w:p w14:paraId="511382C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15D5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4883BC6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cs="Times New Roman"/>
                      <w:color w:val="auto"/>
                      <w:sz w:val="21"/>
                      <w:szCs w:val="21"/>
                      <w:lang w:val="en-US" w:eastAsia="zh-CN"/>
                    </w:rPr>
                  </w:pPr>
                  <w:r>
                    <w:rPr>
                      <w:rFonts w:hint="eastAsia" w:ascii="Times New Roman" w:cs="Times New Roman"/>
                      <w:color w:val="auto"/>
                      <w:sz w:val="21"/>
                      <w:szCs w:val="21"/>
                      <w:lang w:val="en-US" w:eastAsia="zh-CN"/>
                    </w:rPr>
                    <w:t>厂房沉降粉尘</w:t>
                  </w:r>
                </w:p>
              </w:tc>
              <w:tc>
                <w:tcPr>
                  <w:tcW w:w="690" w:type="dxa"/>
                  <w:noWrap w:val="0"/>
                  <w:vAlign w:val="center"/>
                </w:tcPr>
                <w:p w14:paraId="0EC577F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cs="Times New Roman"/>
                      <w:color w:val="auto"/>
                      <w:sz w:val="21"/>
                      <w:szCs w:val="21"/>
                      <w:lang w:val="en-US" w:eastAsia="zh-CN"/>
                    </w:rPr>
                  </w:pPr>
                  <w:r>
                    <w:rPr>
                      <w:rFonts w:hint="eastAsia" w:ascii="Times New Roman" w:cs="Times New Roman"/>
                      <w:color w:val="auto"/>
                      <w:sz w:val="21"/>
                      <w:szCs w:val="21"/>
                      <w:lang w:val="en-US" w:eastAsia="zh-CN"/>
                    </w:rPr>
                    <w:t>厂房沉降</w:t>
                  </w:r>
                </w:p>
              </w:tc>
              <w:tc>
                <w:tcPr>
                  <w:tcW w:w="555" w:type="dxa"/>
                  <w:noWrap w:val="0"/>
                  <w:vAlign w:val="center"/>
                </w:tcPr>
                <w:p w14:paraId="2ADA5F8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kern w:val="0"/>
                      <w:sz w:val="21"/>
                      <w:szCs w:val="21"/>
                      <w:lang w:val="en-US" w:eastAsia="zh-CN" w:bidi="ar-SA"/>
                    </w:rPr>
                    <w:t>0.07964</w:t>
                  </w:r>
                </w:p>
              </w:tc>
              <w:tc>
                <w:tcPr>
                  <w:tcW w:w="525" w:type="dxa"/>
                  <w:vMerge w:val="continue"/>
                  <w:noWrap w:val="0"/>
                  <w:vAlign w:val="center"/>
                </w:tcPr>
                <w:p w14:paraId="0D90D2B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p>
              </w:tc>
              <w:tc>
                <w:tcPr>
                  <w:tcW w:w="555" w:type="dxa"/>
                  <w:noWrap w:val="0"/>
                  <w:vAlign w:val="center"/>
                </w:tcPr>
                <w:p w14:paraId="595898C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固态</w:t>
                  </w:r>
                </w:p>
              </w:tc>
              <w:tc>
                <w:tcPr>
                  <w:tcW w:w="570" w:type="dxa"/>
                  <w:noWrap w:val="0"/>
                  <w:vAlign w:val="center"/>
                </w:tcPr>
                <w:p w14:paraId="0E338EA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40" w:type="dxa"/>
                  <w:noWrap w:val="0"/>
                  <w:vAlign w:val="center"/>
                </w:tcPr>
                <w:p w14:paraId="1DBB39F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zh-CN" w:eastAsia="zh-CN"/>
                    </w:rPr>
                  </w:pPr>
                  <w:r>
                    <w:rPr>
                      <w:rFonts w:hint="default" w:ascii="Times New Roman" w:hAnsi="Times New Roman" w:cs="Times New Roman"/>
                      <w:b w:val="0"/>
                      <w:bCs w:val="0"/>
                      <w:caps w:val="0"/>
                      <w:smallCaps w:val="0"/>
                      <w:color w:val="auto"/>
                      <w:sz w:val="21"/>
                      <w:szCs w:val="21"/>
                      <w:highlight w:val="none"/>
                      <w:lang w:val="en-US" w:eastAsia="zh-CN"/>
                    </w:rPr>
                    <w:t>SW59其他工业固体废物</w:t>
                  </w:r>
                </w:p>
              </w:tc>
              <w:tc>
                <w:tcPr>
                  <w:tcW w:w="720" w:type="dxa"/>
                  <w:noWrap w:val="0"/>
                  <w:vAlign w:val="center"/>
                </w:tcPr>
                <w:p w14:paraId="3491509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caps w:val="0"/>
                      <w:smallCaps w:val="0"/>
                      <w:color w:val="auto"/>
                      <w:sz w:val="21"/>
                      <w:szCs w:val="21"/>
                      <w:highlight w:val="none"/>
                      <w:lang w:val="en-US" w:eastAsia="zh-CN"/>
                    </w:rPr>
                    <w:t>900-099-S5</w:t>
                  </w:r>
                  <w:r>
                    <w:rPr>
                      <w:rFonts w:hint="eastAsia" w:ascii="Times New Roman" w:hAnsi="Times New Roman" w:eastAsia="宋体" w:cs="Times New Roman"/>
                      <w:b w:val="0"/>
                      <w:bCs/>
                      <w:caps w:val="0"/>
                      <w:smallCaps w:val="0"/>
                      <w:color w:val="auto"/>
                      <w:sz w:val="21"/>
                      <w:szCs w:val="21"/>
                      <w:highlight w:val="none"/>
                      <w:lang w:val="en-US" w:eastAsia="zh-CN"/>
                    </w:rPr>
                    <w:t>9</w:t>
                  </w:r>
                </w:p>
              </w:tc>
              <w:tc>
                <w:tcPr>
                  <w:tcW w:w="735" w:type="dxa"/>
                  <w:noWrap w:val="0"/>
                  <w:vAlign w:val="center"/>
                </w:tcPr>
                <w:p w14:paraId="1924B5F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生产厂房内</w:t>
                  </w:r>
                </w:p>
              </w:tc>
              <w:tc>
                <w:tcPr>
                  <w:tcW w:w="947" w:type="dxa"/>
                  <w:noWrap w:val="0"/>
                  <w:vAlign w:val="center"/>
                </w:tcPr>
                <w:p w14:paraId="3270662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cs="Times New Roman"/>
                      <w:color w:val="auto"/>
                      <w:sz w:val="21"/>
                      <w:szCs w:val="21"/>
                      <w:lang w:val="en-US" w:eastAsia="zh-CN"/>
                    </w:rPr>
                    <w:t>由</w:t>
                  </w:r>
                  <w:r>
                    <w:rPr>
                      <w:rFonts w:hint="default" w:ascii="Times New Roman" w:hAnsi="Times New Roman" w:eastAsia="宋体" w:cs="Times New Roman"/>
                      <w:color w:val="auto"/>
                      <w:sz w:val="21"/>
                      <w:szCs w:val="21"/>
                      <w:lang w:val="en-US" w:eastAsia="zh-CN"/>
                    </w:rPr>
                    <w:t>环卫部门清运处置</w:t>
                  </w:r>
                </w:p>
              </w:tc>
              <w:tc>
                <w:tcPr>
                  <w:tcW w:w="700" w:type="dxa"/>
                  <w:noWrap w:val="0"/>
                  <w:vAlign w:val="center"/>
                </w:tcPr>
                <w:p w14:paraId="788BC94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kern w:val="0"/>
                      <w:sz w:val="21"/>
                      <w:szCs w:val="21"/>
                      <w:lang w:val="en-US" w:eastAsia="zh-CN" w:bidi="ar-SA"/>
                    </w:rPr>
                    <w:t>0.07964</w:t>
                  </w:r>
                </w:p>
              </w:tc>
              <w:tc>
                <w:tcPr>
                  <w:tcW w:w="696" w:type="dxa"/>
                  <w:noWrap w:val="0"/>
                  <w:vAlign w:val="center"/>
                </w:tcPr>
                <w:p w14:paraId="5322447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42F4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773498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废润滑油</w:t>
                  </w:r>
                </w:p>
              </w:tc>
              <w:tc>
                <w:tcPr>
                  <w:tcW w:w="690" w:type="dxa"/>
                  <w:noWrap w:val="0"/>
                  <w:vAlign w:val="center"/>
                </w:tcPr>
                <w:p w14:paraId="525504B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设备维护保养</w:t>
                  </w:r>
                </w:p>
              </w:tc>
              <w:tc>
                <w:tcPr>
                  <w:tcW w:w="555" w:type="dxa"/>
                  <w:noWrap w:val="0"/>
                  <w:vAlign w:val="center"/>
                </w:tcPr>
                <w:p w14:paraId="18749AD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w:t>
                  </w:r>
                </w:p>
              </w:tc>
              <w:tc>
                <w:tcPr>
                  <w:tcW w:w="525" w:type="dxa"/>
                  <w:vMerge w:val="restart"/>
                  <w:noWrap w:val="0"/>
                  <w:vAlign w:val="center"/>
                </w:tcPr>
                <w:p w14:paraId="3938984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危险固废</w:t>
                  </w:r>
                </w:p>
              </w:tc>
              <w:tc>
                <w:tcPr>
                  <w:tcW w:w="555" w:type="dxa"/>
                  <w:noWrap w:val="0"/>
                  <w:vAlign w:val="center"/>
                </w:tcPr>
                <w:p w14:paraId="13D3716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液态</w:t>
                  </w:r>
                </w:p>
              </w:tc>
              <w:tc>
                <w:tcPr>
                  <w:tcW w:w="570" w:type="dxa"/>
                  <w:noWrap w:val="0"/>
                  <w:vAlign w:val="center"/>
                </w:tcPr>
                <w:p w14:paraId="36155B4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r>
                    <w:rPr>
                      <w:rFonts w:hint="eastAsia" w:ascii="Times New Roman" w:cs="Times New Roman"/>
                      <w:color w:val="auto"/>
                      <w:sz w:val="21"/>
                      <w:szCs w:val="21"/>
                      <w:lang w:val="en-US" w:eastAsia="zh-CN"/>
                    </w:rPr>
                    <w:t xml:space="preserve">, </w:t>
                  </w:r>
                  <w:r>
                    <w:rPr>
                      <w:rFonts w:hint="default" w:ascii="Times New Roman" w:hAnsi="Times New Roman" w:eastAsia="宋体" w:cs="Times New Roman"/>
                      <w:color w:val="auto"/>
                      <w:sz w:val="21"/>
                      <w:szCs w:val="21"/>
                      <w:lang w:val="en-US" w:eastAsia="zh-CN"/>
                    </w:rPr>
                    <w:t>I</w:t>
                  </w:r>
                </w:p>
              </w:tc>
              <w:tc>
                <w:tcPr>
                  <w:tcW w:w="1140" w:type="dxa"/>
                  <w:noWrap w:val="0"/>
                  <w:vAlign w:val="center"/>
                </w:tcPr>
                <w:p w14:paraId="78D810D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HW08废矿物油与含矿物油废物</w:t>
                  </w:r>
                </w:p>
              </w:tc>
              <w:tc>
                <w:tcPr>
                  <w:tcW w:w="720" w:type="dxa"/>
                  <w:noWrap w:val="0"/>
                  <w:vAlign w:val="center"/>
                </w:tcPr>
                <w:p w14:paraId="411B94F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900-214-08</w:t>
                  </w:r>
                </w:p>
              </w:tc>
              <w:tc>
                <w:tcPr>
                  <w:tcW w:w="735" w:type="dxa"/>
                  <w:noWrap w:val="0"/>
                  <w:vAlign w:val="center"/>
                </w:tcPr>
                <w:p w14:paraId="431220C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桶装、</w:t>
                  </w:r>
                  <w:r>
                    <w:rPr>
                      <w:rFonts w:hint="eastAsia" w:ascii="Times New Roman" w:cs="Times New Roman"/>
                      <w:color w:val="auto"/>
                      <w:sz w:val="21"/>
                      <w:szCs w:val="21"/>
                      <w:lang w:val="en-US" w:eastAsia="zh-CN"/>
                    </w:rPr>
                    <w:t>危废贮存库</w:t>
                  </w:r>
                </w:p>
              </w:tc>
              <w:tc>
                <w:tcPr>
                  <w:tcW w:w="947" w:type="dxa"/>
                  <w:noWrap w:val="0"/>
                  <w:vAlign w:val="center"/>
                </w:tcPr>
                <w:p w14:paraId="725D9DC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委托</w:t>
                  </w:r>
                  <w:r>
                    <w:rPr>
                      <w:rFonts w:hint="default" w:ascii="Times New Roman" w:hAnsi="Times New Roman" w:eastAsia="宋体" w:cs="Times New Roman"/>
                      <w:color w:val="auto"/>
                      <w:sz w:val="21"/>
                      <w:szCs w:val="21"/>
                      <w:lang w:eastAsia="zh-CN"/>
                    </w:rPr>
                    <w:t>资质单位</w:t>
                  </w:r>
                  <w:r>
                    <w:rPr>
                      <w:rFonts w:hint="default" w:ascii="Times New Roman" w:hAnsi="Times New Roman" w:eastAsia="宋体" w:cs="Times New Roman"/>
                      <w:color w:val="auto"/>
                      <w:sz w:val="21"/>
                      <w:szCs w:val="21"/>
                      <w:lang w:val="en-US" w:eastAsia="zh-CN"/>
                    </w:rPr>
                    <w:t>定期清运</w:t>
                  </w:r>
                  <w:r>
                    <w:rPr>
                      <w:rFonts w:hint="default" w:ascii="Times New Roman" w:hAnsi="Times New Roman" w:eastAsia="宋体" w:cs="Times New Roman"/>
                      <w:color w:val="auto"/>
                      <w:sz w:val="21"/>
                      <w:szCs w:val="21"/>
                    </w:rPr>
                    <w:t>处理</w:t>
                  </w:r>
                </w:p>
              </w:tc>
              <w:tc>
                <w:tcPr>
                  <w:tcW w:w="700" w:type="dxa"/>
                  <w:noWrap w:val="0"/>
                  <w:vAlign w:val="center"/>
                </w:tcPr>
                <w:p w14:paraId="0757399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0.1</w:t>
                  </w:r>
                </w:p>
              </w:tc>
              <w:tc>
                <w:tcPr>
                  <w:tcW w:w="696" w:type="dxa"/>
                  <w:noWrap w:val="0"/>
                  <w:vAlign w:val="center"/>
                </w:tcPr>
                <w:p w14:paraId="452F87E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70BE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1ACD811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Times New Roman" w:cs="宋体"/>
                      <w:b w:val="0"/>
                      <w:bCs w:val="0"/>
                      <w:color w:val="auto"/>
                      <w:sz w:val="21"/>
                      <w:szCs w:val="21"/>
                      <w:lang w:val="en-US" w:eastAsia="zh-CN" w:bidi="ar-SA"/>
                    </w:rPr>
                    <w:t>含油废手套抹布</w:t>
                  </w:r>
                </w:p>
              </w:tc>
              <w:tc>
                <w:tcPr>
                  <w:tcW w:w="690" w:type="dxa"/>
                  <w:noWrap w:val="0"/>
                  <w:vAlign w:val="center"/>
                </w:tcPr>
                <w:p w14:paraId="49A59AD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设备维护保养</w:t>
                  </w:r>
                </w:p>
              </w:tc>
              <w:tc>
                <w:tcPr>
                  <w:tcW w:w="555" w:type="dxa"/>
                  <w:noWrap w:val="0"/>
                  <w:vAlign w:val="center"/>
                </w:tcPr>
                <w:p w14:paraId="2323B29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0.01</w:t>
                  </w:r>
                </w:p>
              </w:tc>
              <w:tc>
                <w:tcPr>
                  <w:tcW w:w="525" w:type="dxa"/>
                  <w:vMerge w:val="continue"/>
                  <w:noWrap w:val="0"/>
                  <w:vAlign w:val="center"/>
                </w:tcPr>
                <w:p w14:paraId="7527310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555" w:type="dxa"/>
                  <w:shd w:val="clear" w:color="auto" w:fill="auto"/>
                  <w:noWrap w:val="0"/>
                  <w:vAlign w:val="center"/>
                </w:tcPr>
                <w:p w14:paraId="380ACA2C">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固态</w:t>
                  </w:r>
                </w:p>
              </w:tc>
              <w:tc>
                <w:tcPr>
                  <w:tcW w:w="570" w:type="dxa"/>
                  <w:shd w:val="clear" w:color="auto" w:fill="auto"/>
                  <w:noWrap w:val="0"/>
                  <w:vAlign w:val="center"/>
                </w:tcPr>
                <w:p w14:paraId="48BA407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1140" w:type="dxa"/>
                  <w:noWrap w:val="0"/>
                  <w:vAlign w:val="center"/>
                </w:tcPr>
                <w:p w14:paraId="1B03ADD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HW49其他废物</w:t>
                  </w:r>
                </w:p>
              </w:tc>
              <w:tc>
                <w:tcPr>
                  <w:tcW w:w="720" w:type="dxa"/>
                  <w:noWrap w:val="0"/>
                  <w:vAlign w:val="center"/>
                </w:tcPr>
                <w:p w14:paraId="1899BC1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eastAsia" w:ascii="Times New Roman" w:hAnsi="Times New Roman" w:eastAsia="Times New Roman" w:cs="宋体"/>
                      <w:color w:val="auto"/>
                      <w:sz w:val="21"/>
                      <w:szCs w:val="21"/>
                      <w:lang w:val="en-US" w:eastAsia="zh-CN"/>
                    </w:rPr>
                    <w:t>900-041-49</w:t>
                  </w:r>
                </w:p>
              </w:tc>
              <w:tc>
                <w:tcPr>
                  <w:tcW w:w="735" w:type="dxa"/>
                  <w:shd w:val="clear" w:color="auto" w:fill="auto"/>
                  <w:noWrap w:val="0"/>
                  <w:vAlign w:val="center"/>
                </w:tcPr>
                <w:p w14:paraId="3867417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sz w:val="21"/>
                      <w:szCs w:val="21"/>
                      <w:lang w:val="en-US" w:eastAsia="zh-CN"/>
                    </w:rPr>
                    <w:t>危废贮存库</w:t>
                  </w:r>
                </w:p>
              </w:tc>
              <w:tc>
                <w:tcPr>
                  <w:tcW w:w="947" w:type="dxa"/>
                  <w:shd w:val="clear" w:color="auto" w:fill="auto"/>
                  <w:noWrap w:val="0"/>
                  <w:vAlign w:val="center"/>
                </w:tcPr>
                <w:p w14:paraId="6C47A2B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委托</w:t>
                  </w:r>
                  <w:r>
                    <w:rPr>
                      <w:rFonts w:hint="default" w:ascii="Times New Roman" w:hAnsi="Times New Roman" w:eastAsia="宋体" w:cs="Times New Roman"/>
                      <w:color w:val="auto"/>
                      <w:sz w:val="21"/>
                      <w:szCs w:val="21"/>
                      <w:lang w:eastAsia="zh-CN"/>
                    </w:rPr>
                    <w:t>资质单位</w:t>
                  </w:r>
                  <w:r>
                    <w:rPr>
                      <w:rFonts w:hint="default" w:ascii="Times New Roman" w:hAnsi="Times New Roman" w:eastAsia="宋体" w:cs="Times New Roman"/>
                      <w:color w:val="auto"/>
                      <w:sz w:val="21"/>
                      <w:szCs w:val="21"/>
                      <w:lang w:val="en-US" w:eastAsia="zh-CN"/>
                    </w:rPr>
                    <w:t>定期清运</w:t>
                  </w:r>
                  <w:r>
                    <w:rPr>
                      <w:rFonts w:hint="default" w:ascii="Times New Roman" w:hAnsi="Times New Roman" w:eastAsia="宋体" w:cs="Times New Roman"/>
                      <w:color w:val="auto"/>
                      <w:sz w:val="21"/>
                      <w:szCs w:val="21"/>
                    </w:rPr>
                    <w:t>处理</w:t>
                  </w:r>
                </w:p>
              </w:tc>
              <w:tc>
                <w:tcPr>
                  <w:tcW w:w="700" w:type="dxa"/>
                  <w:shd w:val="clear" w:color="auto" w:fill="auto"/>
                  <w:noWrap w:val="0"/>
                  <w:vAlign w:val="center"/>
                </w:tcPr>
                <w:p w14:paraId="190F6C6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cs="Times New Roman"/>
                      <w:color w:val="auto"/>
                      <w:sz w:val="21"/>
                      <w:szCs w:val="21"/>
                      <w:lang w:val="en-US" w:eastAsia="zh-CN"/>
                    </w:rPr>
                    <w:t>0.01</w:t>
                  </w:r>
                </w:p>
              </w:tc>
              <w:tc>
                <w:tcPr>
                  <w:tcW w:w="696" w:type="dxa"/>
                  <w:shd w:val="clear" w:color="auto" w:fill="auto"/>
                  <w:noWrap w:val="0"/>
                  <w:vAlign w:val="center"/>
                </w:tcPr>
                <w:p w14:paraId="36478FE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100%处置</w:t>
                  </w:r>
                </w:p>
              </w:tc>
            </w:tr>
            <w:tr w14:paraId="2171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117A400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废柴油桶</w:t>
                  </w:r>
                </w:p>
              </w:tc>
              <w:tc>
                <w:tcPr>
                  <w:tcW w:w="690" w:type="dxa"/>
                  <w:noWrap w:val="0"/>
                  <w:vAlign w:val="center"/>
                </w:tcPr>
                <w:p w14:paraId="3C77042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叉车运行</w:t>
                  </w:r>
                </w:p>
              </w:tc>
              <w:tc>
                <w:tcPr>
                  <w:tcW w:w="555" w:type="dxa"/>
                  <w:noWrap w:val="0"/>
                  <w:vAlign w:val="center"/>
                </w:tcPr>
                <w:p w14:paraId="1A64F5E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0.5</w:t>
                  </w:r>
                </w:p>
              </w:tc>
              <w:tc>
                <w:tcPr>
                  <w:tcW w:w="525" w:type="dxa"/>
                  <w:vMerge w:val="continue"/>
                  <w:noWrap w:val="0"/>
                  <w:vAlign w:val="center"/>
                </w:tcPr>
                <w:p w14:paraId="55FCCE9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p>
              </w:tc>
              <w:tc>
                <w:tcPr>
                  <w:tcW w:w="555" w:type="dxa"/>
                  <w:noWrap w:val="0"/>
                  <w:vAlign w:val="center"/>
                </w:tcPr>
                <w:p w14:paraId="1EFE570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570" w:type="dxa"/>
                  <w:noWrap w:val="0"/>
                  <w:vAlign w:val="center"/>
                </w:tcPr>
                <w:p w14:paraId="11DA234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1140" w:type="dxa"/>
                  <w:noWrap w:val="0"/>
                  <w:vAlign w:val="center"/>
                </w:tcPr>
                <w:p w14:paraId="2539824F">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HW49其他废物</w:t>
                  </w:r>
                </w:p>
              </w:tc>
              <w:tc>
                <w:tcPr>
                  <w:tcW w:w="720" w:type="dxa"/>
                  <w:noWrap w:val="0"/>
                  <w:vAlign w:val="center"/>
                </w:tcPr>
                <w:p w14:paraId="0AF6340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bidi="ar"/>
                    </w:rPr>
                    <w:t>900-041-49</w:t>
                  </w:r>
                </w:p>
              </w:tc>
              <w:tc>
                <w:tcPr>
                  <w:tcW w:w="735" w:type="dxa"/>
                  <w:noWrap w:val="0"/>
                  <w:vAlign w:val="center"/>
                </w:tcPr>
                <w:p w14:paraId="0458308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危废贮存库</w:t>
                  </w:r>
                </w:p>
              </w:tc>
              <w:tc>
                <w:tcPr>
                  <w:tcW w:w="947" w:type="dxa"/>
                  <w:noWrap w:val="0"/>
                  <w:vAlign w:val="center"/>
                </w:tcPr>
                <w:p w14:paraId="176EAA33">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委托</w:t>
                  </w:r>
                  <w:r>
                    <w:rPr>
                      <w:rFonts w:hint="default" w:ascii="Times New Roman" w:hAnsi="Times New Roman" w:eastAsia="宋体" w:cs="Times New Roman"/>
                      <w:color w:val="auto"/>
                      <w:sz w:val="21"/>
                      <w:szCs w:val="21"/>
                      <w:lang w:eastAsia="zh-CN"/>
                    </w:rPr>
                    <w:t>资质单位</w:t>
                  </w:r>
                  <w:r>
                    <w:rPr>
                      <w:rFonts w:hint="default" w:ascii="Times New Roman" w:hAnsi="Times New Roman" w:eastAsia="宋体" w:cs="Times New Roman"/>
                      <w:color w:val="auto"/>
                      <w:sz w:val="21"/>
                      <w:szCs w:val="21"/>
                      <w:lang w:val="en-US" w:eastAsia="zh-CN"/>
                    </w:rPr>
                    <w:t>定期清运</w:t>
                  </w:r>
                  <w:r>
                    <w:rPr>
                      <w:rFonts w:hint="default" w:ascii="Times New Roman" w:hAnsi="Times New Roman" w:eastAsia="宋体" w:cs="Times New Roman"/>
                      <w:color w:val="auto"/>
                      <w:sz w:val="21"/>
                      <w:szCs w:val="21"/>
                    </w:rPr>
                    <w:t>处理</w:t>
                  </w:r>
                </w:p>
              </w:tc>
              <w:tc>
                <w:tcPr>
                  <w:tcW w:w="700" w:type="dxa"/>
                  <w:noWrap w:val="0"/>
                  <w:vAlign w:val="center"/>
                </w:tcPr>
                <w:p w14:paraId="3F97E7BB">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0.5</w:t>
                  </w:r>
                </w:p>
              </w:tc>
              <w:tc>
                <w:tcPr>
                  <w:tcW w:w="696" w:type="dxa"/>
                  <w:noWrap w:val="0"/>
                  <w:vAlign w:val="center"/>
                </w:tcPr>
                <w:p w14:paraId="5F771A2E">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7256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3314BD0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废脱模剂瓶</w:t>
                  </w:r>
                </w:p>
              </w:tc>
              <w:tc>
                <w:tcPr>
                  <w:tcW w:w="690" w:type="dxa"/>
                  <w:noWrap w:val="0"/>
                  <w:vAlign w:val="center"/>
                </w:tcPr>
                <w:p w14:paraId="76F43E3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生产</w:t>
                  </w:r>
                </w:p>
              </w:tc>
              <w:tc>
                <w:tcPr>
                  <w:tcW w:w="555" w:type="dxa"/>
                  <w:noWrap w:val="0"/>
                  <w:vAlign w:val="center"/>
                </w:tcPr>
                <w:p w14:paraId="3F93184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0.03</w:t>
                  </w:r>
                </w:p>
              </w:tc>
              <w:tc>
                <w:tcPr>
                  <w:tcW w:w="525" w:type="dxa"/>
                  <w:vMerge w:val="continue"/>
                  <w:noWrap w:val="0"/>
                  <w:vAlign w:val="center"/>
                </w:tcPr>
                <w:p w14:paraId="6BA8196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555" w:type="dxa"/>
                  <w:shd w:val="clear" w:color="auto" w:fill="auto"/>
                  <w:noWrap w:val="0"/>
                  <w:vAlign w:val="center"/>
                </w:tcPr>
                <w:p w14:paraId="650B0C3A">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固态</w:t>
                  </w:r>
                </w:p>
              </w:tc>
              <w:tc>
                <w:tcPr>
                  <w:tcW w:w="570" w:type="dxa"/>
                  <w:shd w:val="clear" w:color="auto" w:fill="auto"/>
                  <w:noWrap w:val="0"/>
                  <w:vAlign w:val="center"/>
                </w:tcPr>
                <w:p w14:paraId="2A3105A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T</w:t>
                  </w:r>
                </w:p>
              </w:tc>
              <w:tc>
                <w:tcPr>
                  <w:tcW w:w="1140" w:type="dxa"/>
                  <w:noWrap w:val="0"/>
                  <w:vAlign w:val="center"/>
                </w:tcPr>
                <w:p w14:paraId="44FBDE29">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HW49其他废物</w:t>
                  </w:r>
                </w:p>
              </w:tc>
              <w:tc>
                <w:tcPr>
                  <w:tcW w:w="720" w:type="dxa"/>
                  <w:noWrap w:val="0"/>
                  <w:vAlign w:val="center"/>
                </w:tcPr>
                <w:p w14:paraId="79788CA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val="en-US" w:eastAsia="zh-CN" w:bidi="ar"/>
                    </w:rPr>
                    <w:t>900-041-49</w:t>
                  </w:r>
                </w:p>
              </w:tc>
              <w:tc>
                <w:tcPr>
                  <w:tcW w:w="735" w:type="dxa"/>
                  <w:noWrap w:val="0"/>
                  <w:vAlign w:val="center"/>
                </w:tcPr>
                <w:p w14:paraId="6BD8070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危废贮存库</w:t>
                  </w:r>
                </w:p>
              </w:tc>
              <w:tc>
                <w:tcPr>
                  <w:tcW w:w="947" w:type="dxa"/>
                  <w:noWrap w:val="0"/>
                  <w:vAlign w:val="center"/>
                </w:tcPr>
                <w:p w14:paraId="073D4D7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委托</w:t>
                  </w:r>
                  <w:r>
                    <w:rPr>
                      <w:rFonts w:hint="default" w:ascii="Times New Roman" w:hAnsi="Times New Roman" w:eastAsia="宋体" w:cs="Times New Roman"/>
                      <w:color w:val="auto"/>
                      <w:sz w:val="21"/>
                      <w:szCs w:val="21"/>
                      <w:lang w:eastAsia="zh-CN"/>
                    </w:rPr>
                    <w:t>资质单位</w:t>
                  </w:r>
                  <w:r>
                    <w:rPr>
                      <w:rFonts w:hint="default" w:ascii="Times New Roman" w:hAnsi="Times New Roman" w:eastAsia="宋体" w:cs="Times New Roman"/>
                      <w:color w:val="auto"/>
                      <w:sz w:val="21"/>
                      <w:szCs w:val="21"/>
                      <w:lang w:val="en-US" w:eastAsia="zh-CN"/>
                    </w:rPr>
                    <w:t>定期清运</w:t>
                  </w:r>
                  <w:r>
                    <w:rPr>
                      <w:rFonts w:hint="default" w:ascii="Times New Roman" w:hAnsi="Times New Roman" w:eastAsia="宋体" w:cs="Times New Roman"/>
                      <w:color w:val="auto"/>
                      <w:sz w:val="21"/>
                      <w:szCs w:val="21"/>
                    </w:rPr>
                    <w:t>处理</w:t>
                  </w:r>
                </w:p>
              </w:tc>
              <w:tc>
                <w:tcPr>
                  <w:tcW w:w="700" w:type="dxa"/>
                  <w:noWrap w:val="0"/>
                  <w:vAlign w:val="center"/>
                </w:tcPr>
                <w:p w14:paraId="046B7A9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0.03</w:t>
                  </w:r>
                </w:p>
              </w:tc>
              <w:tc>
                <w:tcPr>
                  <w:tcW w:w="696" w:type="dxa"/>
                  <w:noWrap w:val="0"/>
                  <w:vAlign w:val="center"/>
                </w:tcPr>
                <w:p w14:paraId="44F426A1">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r w14:paraId="5193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9" w:type="dxa"/>
                  <w:noWrap w:val="0"/>
                  <w:vAlign w:val="center"/>
                </w:tcPr>
                <w:p w14:paraId="3A9C680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废活性炭</w:t>
                  </w:r>
                </w:p>
              </w:tc>
              <w:tc>
                <w:tcPr>
                  <w:tcW w:w="690" w:type="dxa"/>
                  <w:noWrap w:val="0"/>
                  <w:vAlign w:val="center"/>
                </w:tcPr>
                <w:p w14:paraId="0D757217">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活性炭吸附装置</w:t>
                  </w:r>
                </w:p>
              </w:tc>
              <w:tc>
                <w:tcPr>
                  <w:tcW w:w="555" w:type="dxa"/>
                  <w:noWrap w:val="0"/>
                  <w:vAlign w:val="center"/>
                </w:tcPr>
                <w:p w14:paraId="3E022182">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12.92</w:t>
                  </w:r>
                </w:p>
              </w:tc>
              <w:tc>
                <w:tcPr>
                  <w:tcW w:w="525" w:type="dxa"/>
                  <w:vMerge w:val="continue"/>
                  <w:noWrap w:val="0"/>
                  <w:vAlign w:val="center"/>
                </w:tcPr>
                <w:p w14:paraId="3F2E0C5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p>
              </w:tc>
              <w:tc>
                <w:tcPr>
                  <w:tcW w:w="555" w:type="dxa"/>
                  <w:noWrap w:val="0"/>
                  <w:vAlign w:val="center"/>
                </w:tcPr>
                <w:p w14:paraId="3696BE30">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固态</w:t>
                  </w:r>
                </w:p>
              </w:tc>
              <w:tc>
                <w:tcPr>
                  <w:tcW w:w="570" w:type="dxa"/>
                  <w:noWrap w:val="0"/>
                  <w:vAlign w:val="center"/>
                </w:tcPr>
                <w:p w14:paraId="7E53C5C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1140" w:type="dxa"/>
                  <w:noWrap w:val="0"/>
                  <w:vAlign w:val="center"/>
                </w:tcPr>
                <w:p w14:paraId="4B033488">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HW49其他废物</w:t>
                  </w:r>
                </w:p>
              </w:tc>
              <w:tc>
                <w:tcPr>
                  <w:tcW w:w="720" w:type="dxa"/>
                  <w:noWrap w:val="0"/>
                  <w:vAlign w:val="center"/>
                </w:tcPr>
                <w:p w14:paraId="2791BBB4">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900-0</w:t>
                  </w:r>
                  <w:r>
                    <w:rPr>
                      <w:rFonts w:hint="default" w:ascii="Times New Roman" w:hAnsi="Times New Roman" w:eastAsia="宋体" w:cs="Times New Roman"/>
                      <w:color w:val="auto"/>
                      <w:sz w:val="21"/>
                      <w:szCs w:val="21"/>
                      <w:lang w:val="en-US" w:eastAsia="zh-CN"/>
                    </w:rPr>
                    <w:t>39</w:t>
                  </w:r>
                  <w:r>
                    <w:rPr>
                      <w:rFonts w:hint="default" w:ascii="Times New Roman" w:hAnsi="Times New Roman" w:eastAsia="宋体" w:cs="Times New Roman"/>
                      <w:color w:val="auto"/>
                      <w:sz w:val="21"/>
                      <w:szCs w:val="21"/>
                    </w:rPr>
                    <w:t>-49</w:t>
                  </w:r>
                </w:p>
              </w:tc>
              <w:tc>
                <w:tcPr>
                  <w:tcW w:w="735" w:type="dxa"/>
                  <w:noWrap w:val="0"/>
                  <w:vAlign w:val="center"/>
                </w:tcPr>
                <w:p w14:paraId="65951E35">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危废贮存库</w:t>
                  </w:r>
                </w:p>
              </w:tc>
              <w:tc>
                <w:tcPr>
                  <w:tcW w:w="947" w:type="dxa"/>
                  <w:noWrap w:val="0"/>
                  <w:vAlign w:val="center"/>
                </w:tcPr>
                <w:p w14:paraId="0A80D0F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委托</w:t>
                  </w:r>
                  <w:r>
                    <w:rPr>
                      <w:rFonts w:hint="default" w:ascii="Times New Roman" w:hAnsi="Times New Roman" w:eastAsia="宋体" w:cs="Times New Roman"/>
                      <w:color w:val="auto"/>
                      <w:sz w:val="21"/>
                      <w:szCs w:val="21"/>
                      <w:lang w:eastAsia="zh-CN"/>
                    </w:rPr>
                    <w:t>资质单位</w:t>
                  </w:r>
                  <w:r>
                    <w:rPr>
                      <w:rFonts w:hint="default" w:ascii="Times New Roman" w:hAnsi="Times New Roman" w:eastAsia="宋体" w:cs="Times New Roman"/>
                      <w:color w:val="auto"/>
                      <w:sz w:val="21"/>
                      <w:szCs w:val="21"/>
                      <w:lang w:val="en-US" w:eastAsia="zh-CN"/>
                    </w:rPr>
                    <w:t>定期清运</w:t>
                  </w:r>
                  <w:r>
                    <w:rPr>
                      <w:rFonts w:hint="default" w:ascii="Times New Roman" w:hAnsi="Times New Roman" w:eastAsia="宋体" w:cs="Times New Roman"/>
                      <w:color w:val="auto"/>
                      <w:sz w:val="21"/>
                      <w:szCs w:val="21"/>
                    </w:rPr>
                    <w:t>处理</w:t>
                  </w:r>
                </w:p>
              </w:tc>
              <w:tc>
                <w:tcPr>
                  <w:tcW w:w="700" w:type="dxa"/>
                  <w:noWrap w:val="0"/>
                  <w:vAlign w:val="center"/>
                </w:tcPr>
                <w:p w14:paraId="34449EF6">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12.92</w:t>
                  </w:r>
                </w:p>
              </w:tc>
              <w:tc>
                <w:tcPr>
                  <w:tcW w:w="696" w:type="dxa"/>
                  <w:noWrap w:val="0"/>
                  <w:vAlign w:val="center"/>
                </w:tcPr>
                <w:p w14:paraId="14538C9D">
                  <w:pPr>
                    <w:pStyle w:val="8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100%处置</w:t>
                  </w:r>
                </w:p>
              </w:tc>
            </w:tr>
          </w:tbl>
          <w:p w14:paraId="1CAEE6F0">
            <w:pPr>
              <w:keepNext w:val="0"/>
              <w:keepLines w:val="0"/>
              <w:suppressLineNumbers w:val="0"/>
              <w:spacing w:before="120" w:beforeLines="5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w:t>
            </w:r>
            <w:r>
              <w:rPr>
                <w:rFonts w:hint="eastAsia" w:cs="Times New Roman"/>
                <w:b/>
                <w:color w:val="auto"/>
                <w:sz w:val="24"/>
                <w:lang w:val="en-US" w:eastAsia="zh-CN"/>
              </w:rPr>
              <w:t>4</w:t>
            </w:r>
            <w:r>
              <w:rPr>
                <w:rFonts w:hint="default" w:ascii="Times New Roman" w:hAnsi="Times New Roman" w:eastAsia="宋体" w:cs="Times New Roman"/>
                <w:b/>
                <w:color w:val="auto"/>
                <w:sz w:val="24"/>
              </w:rPr>
              <w:t>）影响分析</w:t>
            </w:r>
          </w:p>
          <w:p w14:paraId="36DC109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项目生活垃圾经垃圾桶收集后委托环卫部门清运处置，</w:t>
            </w:r>
            <w:r>
              <w:rPr>
                <w:rFonts w:hint="eastAsia" w:cs="Times New Roman"/>
                <w:bCs/>
                <w:color w:val="auto"/>
                <w:sz w:val="24"/>
                <w:lang w:val="en-US" w:eastAsia="zh-CN"/>
              </w:rPr>
              <w:t>厂房沉降粉尘由人工清扫后同生活垃圾一起由环卫部门清运处置，</w:t>
            </w:r>
            <w:r>
              <w:rPr>
                <w:rFonts w:hint="default" w:ascii="Times New Roman" w:hAnsi="Times New Roman" w:eastAsia="宋体" w:cs="Times New Roman"/>
                <w:bCs/>
                <w:color w:val="auto"/>
                <w:sz w:val="24"/>
                <w:lang w:val="en-US" w:eastAsia="zh-CN"/>
              </w:rPr>
              <w:t>包装固废集中收集于原料区，定期外售给物资回收单位利用，废润滑</w:t>
            </w:r>
            <w:r>
              <w:rPr>
                <w:rFonts w:hint="eastAsia" w:cs="Times New Roman"/>
                <w:bCs/>
                <w:color w:val="auto"/>
                <w:sz w:val="24"/>
                <w:lang w:val="en-US" w:eastAsia="zh-CN"/>
              </w:rPr>
              <w:t>油、含油废手套抹布、废柴油桶、废脱模剂瓶</w:t>
            </w:r>
            <w:r>
              <w:rPr>
                <w:rFonts w:hint="default" w:ascii="Times New Roman" w:hAnsi="Times New Roman" w:eastAsia="宋体" w:cs="Times New Roman"/>
                <w:bCs/>
                <w:color w:val="auto"/>
                <w:sz w:val="24"/>
                <w:lang w:val="en-US" w:eastAsia="zh-CN"/>
              </w:rPr>
              <w:t>及废活性炭油收集后暂存于</w:t>
            </w:r>
            <w:r>
              <w:rPr>
                <w:rFonts w:hint="eastAsia" w:cs="Times New Roman"/>
                <w:bCs/>
                <w:color w:val="auto"/>
                <w:sz w:val="24"/>
                <w:lang w:val="en-US" w:eastAsia="zh-CN"/>
              </w:rPr>
              <w:t>危废贮存库</w:t>
            </w:r>
            <w:r>
              <w:rPr>
                <w:rFonts w:hint="default" w:ascii="Times New Roman" w:hAnsi="Times New Roman" w:eastAsia="宋体" w:cs="Times New Roman"/>
                <w:bCs/>
                <w:color w:val="auto"/>
                <w:sz w:val="24"/>
                <w:lang w:val="en-US" w:eastAsia="zh-CN"/>
              </w:rPr>
              <w:t>，委托有资质单位定期清运处置。</w:t>
            </w:r>
            <w:r>
              <w:rPr>
                <w:rFonts w:hint="default" w:ascii="Times New Roman" w:hAnsi="Times New Roman" w:eastAsia="宋体" w:cs="Times New Roman"/>
                <w:color w:val="auto"/>
                <w:sz w:val="24"/>
                <w:szCs w:val="24"/>
                <w:lang w:val="en-US" w:eastAsia="zh-CN"/>
              </w:rPr>
              <w:t>综上，</w:t>
            </w:r>
            <w:r>
              <w:rPr>
                <w:rFonts w:hint="default" w:ascii="Times New Roman" w:hAnsi="Times New Roman" w:eastAsia="宋体" w:cs="Times New Roman"/>
                <w:color w:val="auto"/>
                <w:sz w:val="24"/>
                <w:szCs w:val="24"/>
              </w:rPr>
              <w:t>采取上述处理措施，项目固体废物均得到了合理处置，固废处置率100%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项目固体废物对环境影响较小</w:t>
            </w:r>
            <w:r>
              <w:rPr>
                <w:rFonts w:hint="default" w:ascii="Times New Roman" w:hAnsi="Times New Roman" w:eastAsia="宋体" w:cs="Times New Roman"/>
                <w:color w:val="auto"/>
                <w:sz w:val="24"/>
                <w:szCs w:val="24"/>
                <w:lang w:eastAsia="zh-CN"/>
              </w:rPr>
              <w:t>。</w:t>
            </w:r>
          </w:p>
          <w:p w14:paraId="04519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420" w:leftChars="200" w:right="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eastAsia" w:cs="Times New Roman"/>
                <w:b/>
                <w:bCs/>
                <w:color w:val="auto"/>
                <w:sz w:val="24"/>
                <w:szCs w:val="24"/>
                <w:lang w:val="en-US" w:eastAsia="zh-CN"/>
              </w:rPr>
              <w:t>5</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固废</w:t>
            </w:r>
            <w:r>
              <w:rPr>
                <w:rFonts w:hint="default" w:ascii="Times New Roman" w:hAnsi="Times New Roman" w:eastAsia="宋体" w:cs="Times New Roman"/>
                <w:b/>
                <w:bCs/>
                <w:color w:val="auto"/>
                <w:sz w:val="24"/>
                <w:szCs w:val="24"/>
              </w:rPr>
              <w:t>环境管理要求</w:t>
            </w:r>
          </w:p>
          <w:p w14:paraId="499AC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b/>
                <w:bCs/>
                <w:color w:val="000000"/>
                <w:kern w:val="0"/>
                <w:sz w:val="24"/>
                <w:szCs w:val="24"/>
                <w:lang w:val="en-US" w:eastAsia="zh-CN" w:bidi="ar"/>
              </w:rPr>
              <w:t>1）生活垃圾</w:t>
            </w:r>
            <w:r>
              <w:rPr>
                <w:rFonts w:hint="default" w:ascii="Times New Roman" w:hAnsi="Times New Roman" w:eastAsia="宋体" w:cs="Times New Roman"/>
                <w:color w:val="000000"/>
                <w:kern w:val="0"/>
                <w:sz w:val="24"/>
                <w:szCs w:val="24"/>
                <w:lang w:val="en-US" w:eastAsia="zh-CN" w:bidi="ar"/>
              </w:rPr>
              <w:t xml:space="preserve"> </w:t>
            </w:r>
          </w:p>
          <w:p w14:paraId="06B2C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①在厂区设置若干个带盖的生活垃圾收集桶。 </w:t>
            </w:r>
          </w:p>
          <w:p w14:paraId="15D92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②委托环卫部门定期对生活垃圾进行清运后妥善处置。 </w:t>
            </w:r>
          </w:p>
          <w:p w14:paraId="1361B0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③不得随意倾倒生活垃圾，不得擅自焚烧生活垃圾。</w:t>
            </w:r>
          </w:p>
          <w:p w14:paraId="6E998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000000"/>
                <w:kern w:val="0"/>
                <w:sz w:val="24"/>
                <w:szCs w:val="24"/>
                <w:lang w:val="en-US" w:eastAsia="zh-CN" w:bidi="ar"/>
              </w:rPr>
              <w:t>2）</w:t>
            </w:r>
            <w:r>
              <w:rPr>
                <w:rFonts w:hint="default" w:ascii="Times New Roman" w:hAnsi="Times New Roman" w:eastAsia="宋体" w:cs="Times New Roman"/>
                <w:b/>
                <w:bCs/>
                <w:color w:val="auto"/>
                <w:sz w:val="24"/>
                <w:szCs w:val="24"/>
                <w:lang w:val="en-US" w:eastAsia="zh-CN"/>
              </w:rPr>
              <w:t>一般固废</w:t>
            </w:r>
          </w:p>
          <w:p w14:paraId="3ABC0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一般工业固体废物 </w:t>
            </w:r>
          </w:p>
          <w:p w14:paraId="15A44B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①一般工业固废的贮存场所应当在车间内部，防止雨水冲刷。 </w:t>
            </w:r>
          </w:p>
          <w:p w14:paraId="5F7B34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②各类一般工业固废应当分类堆存，不得混堆。 </w:t>
            </w:r>
          </w:p>
          <w:p w14:paraId="6C63E3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③可综合利用的一般工业固废及时外运，减少在厂区内贮存的周期。 </w:t>
            </w:r>
          </w:p>
          <w:p w14:paraId="56F05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④做好一般工业固废的管理台账。</w:t>
            </w:r>
          </w:p>
          <w:p w14:paraId="15781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000000"/>
                <w:kern w:val="0"/>
                <w:sz w:val="24"/>
                <w:szCs w:val="24"/>
                <w:lang w:val="en-US" w:eastAsia="zh-CN" w:bidi="ar"/>
              </w:rPr>
              <w:t>3）</w:t>
            </w:r>
            <w:r>
              <w:rPr>
                <w:rFonts w:hint="default" w:ascii="Times New Roman" w:hAnsi="Times New Roman" w:eastAsia="宋体" w:cs="Times New Roman"/>
                <w:b/>
                <w:bCs/>
                <w:color w:val="auto"/>
                <w:sz w:val="24"/>
                <w:szCs w:val="24"/>
                <w:lang w:val="en-US" w:eastAsia="zh-CN"/>
              </w:rPr>
              <w:t>危险固废</w:t>
            </w:r>
          </w:p>
          <w:p w14:paraId="7D883C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b/>
                <w:bCs/>
                <w:color w:val="000000"/>
                <w:kern w:val="0"/>
                <w:sz w:val="24"/>
                <w:szCs w:val="24"/>
                <w:lang w:val="en-US" w:eastAsia="zh-CN" w:bidi="ar"/>
              </w:rPr>
              <w:t>危险废物暂存场所（设施）</w:t>
            </w:r>
            <w:r>
              <w:rPr>
                <w:rFonts w:hint="default" w:ascii="Times New Roman" w:hAnsi="Times New Roman" w:eastAsia="宋体" w:cs="Times New Roman"/>
                <w:b/>
                <w:bCs/>
                <w:color w:val="auto"/>
                <w:kern w:val="0"/>
                <w:sz w:val="24"/>
                <w:szCs w:val="24"/>
              </w:rPr>
              <w:t>设置</w:t>
            </w:r>
            <w:r>
              <w:rPr>
                <w:rFonts w:hint="default" w:ascii="Times New Roman" w:hAnsi="Times New Roman" w:eastAsia="宋体" w:cs="Times New Roman"/>
                <w:b/>
                <w:bCs/>
                <w:color w:val="000000"/>
                <w:kern w:val="0"/>
                <w:sz w:val="24"/>
                <w:szCs w:val="24"/>
                <w:lang w:val="en-US" w:eastAsia="zh-CN" w:bidi="ar"/>
              </w:rPr>
              <w:t xml:space="preserve">要求 </w:t>
            </w:r>
          </w:p>
          <w:p w14:paraId="0F4719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要求建设1间</w:t>
            </w:r>
            <w:r>
              <w:rPr>
                <w:rFonts w:hint="eastAsia"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的</w:t>
            </w:r>
            <w:r>
              <w:rPr>
                <w:rFonts w:hint="eastAsia" w:cs="Times New Roman"/>
                <w:color w:val="auto"/>
                <w:sz w:val="24"/>
                <w:szCs w:val="24"/>
                <w:lang w:val="en-US" w:eastAsia="zh-CN"/>
              </w:rPr>
              <w:t>危废贮存库</w:t>
            </w:r>
            <w:r>
              <w:rPr>
                <w:rFonts w:hint="default" w:ascii="Times New Roman" w:hAnsi="Times New Roman" w:eastAsia="宋体" w:cs="Times New Roman"/>
                <w:color w:val="auto"/>
                <w:sz w:val="24"/>
                <w:szCs w:val="24"/>
                <w:lang w:val="en-US" w:eastAsia="zh-CN"/>
              </w:rPr>
              <w:t>，用于暂存项目生产过程中产生的危险废物</w:t>
            </w:r>
            <w:r>
              <w:rPr>
                <w:rFonts w:hint="default" w:ascii="Times New Roman" w:hAnsi="Times New Roman" w:eastAsia="宋体" w:cs="Times New Roman"/>
                <w:color w:val="auto"/>
                <w:kern w:val="0"/>
                <w:sz w:val="24"/>
                <w:szCs w:val="24"/>
                <w:lang w:val="en-US" w:eastAsia="zh-CN" w:bidi="ar"/>
              </w:rPr>
              <w:t>，产生的危险废物委托有资质单位定期清运处置。为保证暂存的危险废物不对环境产生污染，要求在现有</w:t>
            </w:r>
            <w:r>
              <w:rPr>
                <w:rFonts w:hint="eastAsia" w:ascii="Times New Roman" w:hAnsi="Times New Roman" w:eastAsia="宋体" w:cs="Times New Roman"/>
                <w:color w:val="auto"/>
                <w:kern w:val="0"/>
                <w:sz w:val="24"/>
                <w:szCs w:val="24"/>
                <w:lang w:val="en-US" w:eastAsia="zh-CN" w:bidi="ar"/>
              </w:rPr>
              <w:t>混凝土浇筑</w:t>
            </w:r>
            <w:r>
              <w:rPr>
                <w:rFonts w:hint="default" w:ascii="Times New Roman" w:hAnsi="Times New Roman" w:eastAsia="宋体" w:cs="Times New Roman"/>
                <w:color w:val="auto"/>
                <w:kern w:val="0"/>
                <w:sz w:val="24"/>
                <w:szCs w:val="24"/>
                <w:lang w:val="en-US" w:eastAsia="zh-CN" w:bidi="ar"/>
              </w:rPr>
              <w:t>、水泥硬化的基础上增加</w:t>
            </w:r>
            <w:r>
              <w:rPr>
                <w:rFonts w:hint="default" w:ascii="Times New Roman" w:hAnsi="Times New Roman" w:eastAsia="宋体" w:cs="Times New Roman"/>
                <w:b w:val="0"/>
                <w:bCs w:val="0"/>
                <w:color w:val="auto"/>
                <w:sz w:val="24"/>
                <w:szCs w:val="24"/>
                <w:lang w:val="en-US" w:eastAsia="zh-CN"/>
              </w:rPr>
              <w:t>2.0mmHDPE</w:t>
            </w:r>
            <w:r>
              <w:rPr>
                <w:rFonts w:hint="eastAsia" w:ascii="Times New Roman" w:hAnsi="Times New Roman" w:eastAsia="宋体" w:cs="Times New Roman"/>
                <w:b w:val="0"/>
                <w:bCs w:val="0"/>
                <w:color w:val="auto"/>
                <w:sz w:val="24"/>
                <w:szCs w:val="24"/>
                <w:lang w:val="en-US" w:eastAsia="zh-CN"/>
              </w:rPr>
              <w:t>防渗</w:t>
            </w:r>
            <w:r>
              <w:rPr>
                <w:rFonts w:hint="default" w:ascii="Times New Roman" w:hAnsi="Times New Roman" w:eastAsia="宋体" w:cs="Times New Roman"/>
                <w:b w:val="0"/>
                <w:bCs w:val="0"/>
                <w:color w:val="auto"/>
                <w:sz w:val="24"/>
                <w:szCs w:val="24"/>
                <w:lang w:val="en-US" w:eastAsia="zh-CN"/>
              </w:rPr>
              <w:t>膜+环氧树脂</w:t>
            </w:r>
            <w:r>
              <w:rPr>
                <w:rFonts w:hint="eastAsia" w:ascii="Times New Roman" w:hAnsi="Times New Roman" w:eastAsia="宋体" w:cs="Times New Roman"/>
                <w:b w:val="0"/>
                <w:bCs w:val="0"/>
                <w:color w:val="auto"/>
                <w:sz w:val="24"/>
                <w:szCs w:val="24"/>
                <w:lang w:val="en-US" w:eastAsia="zh-CN"/>
              </w:rPr>
              <w:t>防渗面层</w:t>
            </w:r>
            <w:r>
              <w:rPr>
                <w:rFonts w:hint="default" w:ascii="Times New Roman" w:hAnsi="Times New Roman" w:eastAsia="宋体" w:cs="Times New Roman"/>
                <w:color w:val="auto"/>
                <w:kern w:val="0"/>
                <w:sz w:val="24"/>
                <w:szCs w:val="24"/>
                <w:lang w:val="en-US" w:eastAsia="zh-CN" w:bidi="ar"/>
              </w:rPr>
              <w:t>，使其达到渗透系数≤1×10</w:t>
            </w:r>
            <w:r>
              <w:rPr>
                <w:rFonts w:hint="default" w:ascii="Times New Roman" w:hAnsi="Times New Roman" w:eastAsia="宋体" w:cs="Times New Roman"/>
                <w:color w:val="auto"/>
                <w:kern w:val="0"/>
                <w:sz w:val="24"/>
                <w:szCs w:val="24"/>
                <w:vertAlign w:val="superscript"/>
                <w:lang w:val="en-US" w:eastAsia="zh-CN" w:bidi="ar"/>
              </w:rPr>
              <w:t xml:space="preserve"> -10</w:t>
            </w:r>
            <w:r>
              <w:rPr>
                <w:rFonts w:hint="default" w:ascii="Times New Roman" w:hAnsi="Times New Roman" w:eastAsia="宋体" w:cs="Times New Roman"/>
                <w:color w:val="auto"/>
                <w:kern w:val="0"/>
                <w:sz w:val="24"/>
                <w:szCs w:val="24"/>
                <w:lang w:val="en-US" w:eastAsia="zh-CN" w:bidi="ar"/>
              </w:rPr>
              <w:t xml:space="preserve">cm/s的防渗性能，并按照要求设置规范的标识标牌。 </w:t>
            </w:r>
          </w:p>
          <w:p w14:paraId="7FA904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危险废物暂存、转运、处置应严格按照《危险废物贮存污染控制标准》（GB18597-2023）和《危险废物收集贮存运输技术规范》（HJ 2025-2012）执行。本方案对危险废物暂存场地提出如下安全措施： </w:t>
            </w:r>
          </w:p>
          <w:p w14:paraId="2D1C69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①贮存设施应根据危险废物的形态、物理化学性质、包装形式和污染物迁移途径，采取必要的防风、防晒、防雨、防漏、防渗、防腐以及其他环境污染防治措施，不应露天堆放危险废物。 </w:t>
            </w:r>
          </w:p>
          <w:p w14:paraId="0236EB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②贮存设施应根据危险废物的类别、数量、形态、物理化学性质和污染防治等要求设置必要的贮存分区，避免不相容的危险废物接触、混合。 </w:t>
            </w:r>
          </w:p>
          <w:p w14:paraId="23BE32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③在现有</w:t>
            </w:r>
            <w:r>
              <w:rPr>
                <w:rFonts w:hint="eastAsia" w:ascii="Times New Roman" w:hAnsi="Times New Roman" w:eastAsia="宋体" w:cs="Times New Roman"/>
                <w:color w:val="auto"/>
                <w:kern w:val="0"/>
                <w:sz w:val="24"/>
                <w:szCs w:val="24"/>
                <w:lang w:val="en-US" w:eastAsia="zh-CN" w:bidi="ar"/>
              </w:rPr>
              <w:t>混凝土浇筑</w:t>
            </w:r>
            <w:r>
              <w:rPr>
                <w:rFonts w:hint="default" w:ascii="Times New Roman" w:hAnsi="Times New Roman" w:eastAsia="宋体" w:cs="Times New Roman"/>
                <w:color w:val="auto"/>
                <w:kern w:val="0"/>
                <w:sz w:val="24"/>
                <w:szCs w:val="24"/>
                <w:lang w:val="en-US" w:eastAsia="zh-CN" w:bidi="ar"/>
              </w:rPr>
              <w:t>、水泥硬化的基础上增加</w:t>
            </w:r>
            <w:r>
              <w:rPr>
                <w:rFonts w:hint="default" w:ascii="Times New Roman" w:hAnsi="Times New Roman" w:eastAsia="宋体" w:cs="Times New Roman"/>
                <w:b w:val="0"/>
                <w:bCs w:val="0"/>
                <w:color w:val="auto"/>
                <w:sz w:val="24"/>
                <w:szCs w:val="24"/>
                <w:lang w:val="en-US" w:eastAsia="zh-CN"/>
              </w:rPr>
              <w:t>2.0mmHDPE</w:t>
            </w:r>
            <w:r>
              <w:rPr>
                <w:rFonts w:hint="eastAsia" w:ascii="Times New Roman" w:hAnsi="Times New Roman" w:eastAsia="宋体" w:cs="Times New Roman"/>
                <w:b w:val="0"/>
                <w:bCs w:val="0"/>
                <w:color w:val="auto"/>
                <w:sz w:val="24"/>
                <w:szCs w:val="24"/>
                <w:lang w:val="en-US" w:eastAsia="zh-CN"/>
              </w:rPr>
              <w:t>防渗</w:t>
            </w:r>
            <w:r>
              <w:rPr>
                <w:rFonts w:hint="default" w:ascii="Times New Roman" w:hAnsi="Times New Roman" w:eastAsia="宋体" w:cs="Times New Roman"/>
                <w:b w:val="0"/>
                <w:bCs w:val="0"/>
                <w:color w:val="auto"/>
                <w:sz w:val="24"/>
                <w:szCs w:val="24"/>
                <w:lang w:val="en-US" w:eastAsia="zh-CN"/>
              </w:rPr>
              <w:t>膜+环氧树脂</w:t>
            </w:r>
            <w:r>
              <w:rPr>
                <w:rFonts w:hint="eastAsia" w:ascii="Times New Roman" w:hAnsi="Times New Roman" w:eastAsia="宋体" w:cs="Times New Roman"/>
                <w:b w:val="0"/>
                <w:bCs w:val="0"/>
                <w:color w:val="auto"/>
                <w:sz w:val="24"/>
                <w:szCs w:val="24"/>
                <w:lang w:val="en-US" w:eastAsia="zh-CN"/>
              </w:rPr>
              <w:t>防渗面层</w:t>
            </w:r>
            <w:r>
              <w:rPr>
                <w:rFonts w:hint="default" w:ascii="Times New Roman" w:hAnsi="Times New Roman" w:eastAsia="宋体" w:cs="Times New Roman"/>
                <w:color w:val="auto"/>
                <w:kern w:val="0"/>
                <w:sz w:val="24"/>
                <w:szCs w:val="24"/>
                <w:lang w:val="en-US" w:eastAsia="zh-CN" w:bidi="ar"/>
              </w:rPr>
              <w:t>，使其达到渗透系数≤1×10</w:t>
            </w:r>
            <w:r>
              <w:rPr>
                <w:rFonts w:hint="default" w:ascii="Times New Roman" w:hAnsi="Times New Roman" w:eastAsia="宋体" w:cs="Times New Roman"/>
                <w:color w:val="auto"/>
                <w:kern w:val="0"/>
                <w:sz w:val="24"/>
                <w:szCs w:val="24"/>
                <w:vertAlign w:val="superscript"/>
                <w:lang w:val="en-US" w:eastAsia="zh-CN" w:bidi="ar"/>
              </w:rPr>
              <w:t xml:space="preserve"> -10</w:t>
            </w:r>
            <w:r>
              <w:rPr>
                <w:rFonts w:hint="default" w:ascii="Times New Roman" w:hAnsi="Times New Roman" w:eastAsia="宋体" w:cs="Times New Roman"/>
                <w:color w:val="auto"/>
                <w:kern w:val="0"/>
                <w:sz w:val="24"/>
                <w:szCs w:val="24"/>
                <w:lang w:val="en-US" w:eastAsia="zh-CN" w:bidi="ar"/>
              </w:rPr>
              <w:t xml:space="preserve">cm/s的防渗性能。 </w:t>
            </w:r>
          </w:p>
          <w:p w14:paraId="281BD4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④贮存设施应采取技术和管理措施防止无关人员进入。 </w:t>
            </w:r>
          </w:p>
          <w:p w14:paraId="0C44E4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⑤贮存库内不同贮存分区之间应采取隔离措施。隔离措施可根据危险废物特性采用过道、隔板或隔墙等方式。 </w:t>
            </w:r>
          </w:p>
          <w:p w14:paraId="08EA9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⑥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 </w:t>
            </w:r>
          </w:p>
          <w:p w14:paraId="74A22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⑦建立档案制度，对暂存的废物种类、数量、特性、包装容器类别、存放库位、存入日期、运出日期等详细记录在案并长期保存，建立定期巡查、维护制度；</w:t>
            </w:r>
          </w:p>
          <w:p w14:paraId="1F45D7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⑧危险废物须定期委托危险废物处理资质单位处理，并建立转移联单及管理台账。 </w:t>
            </w:r>
          </w:p>
          <w:p w14:paraId="5E30AA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b/>
                <w:bCs/>
                <w:color w:val="auto"/>
                <w:kern w:val="0"/>
                <w:sz w:val="24"/>
                <w:szCs w:val="24"/>
                <w:lang w:val="en-US" w:eastAsia="zh-CN" w:bidi="ar"/>
              </w:rPr>
              <w:t xml:space="preserve">危险废物运输要求 </w:t>
            </w:r>
          </w:p>
          <w:p w14:paraId="298647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按照《危险废物收集贮存运输技术规范》（HJ 2025-2012），本项目危险废物的运输须由持有危险废物经营许可证的单位按照其许可证的经营范围组织，并由获得交通运输部门颁发的危险货物运输资质的单位承担运输。 </w:t>
            </w:r>
          </w:p>
          <w:p w14:paraId="38B308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危险废物运输时的中转、装卸过程应遵守规范技术要求： </w:t>
            </w:r>
          </w:p>
          <w:p w14:paraId="5C2081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①装卸区的工作人员应熟悉废物的危险特性，并配备适当的个人防护装备； </w:t>
            </w:r>
          </w:p>
          <w:p w14:paraId="723C43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②装卸区应配备必要的消防设备和设施，并设置明显的指示标志； </w:t>
            </w:r>
          </w:p>
          <w:p w14:paraId="65CA6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③危险废物装卸区应设置隔离设施。 </w:t>
            </w:r>
          </w:p>
          <w:p w14:paraId="36ACBE57">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lang w:val="zh-CN"/>
              </w:rPr>
            </w:pPr>
            <w:r>
              <w:rPr>
                <w:rFonts w:hint="default" w:ascii="Times New Roman" w:hAnsi="Times New Roman" w:eastAsia="宋体" w:cs="Times New Roman"/>
                <w:b/>
                <w:bCs/>
                <w:color w:val="auto"/>
                <w:sz w:val="24"/>
              </w:rPr>
              <w:t>5、</w:t>
            </w:r>
            <w:r>
              <w:rPr>
                <w:rFonts w:hint="default" w:ascii="Times New Roman" w:hAnsi="Times New Roman" w:eastAsia="宋体" w:cs="Times New Roman"/>
                <w:b/>
                <w:color w:val="auto"/>
                <w:sz w:val="24"/>
                <w:lang w:val="zh-CN"/>
              </w:rPr>
              <w:t>土壤、</w:t>
            </w:r>
            <w:r>
              <w:rPr>
                <w:rFonts w:hint="default" w:ascii="Times New Roman" w:hAnsi="Times New Roman" w:eastAsia="宋体" w:cs="Times New Roman"/>
                <w:b/>
                <w:color w:val="auto"/>
                <w:sz w:val="24"/>
              </w:rPr>
              <w:t>地下水</w:t>
            </w:r>
            <w:r>
              <w:rPr>
                <w:rFonts w:hint="default" w:ascii="Times New Roman" w:hAnsi="Times New Roman" w:eastAsia="宋体" w:cs="Times New Roman"/>
                <w:b/>
                <w:color w:val="auto"/>
                <w:sz w:val="24"/>
                <w:lang w:val="zh-CN"/>
              </w:rPr>
              <w:t>环境影响分析</w:t>
            </w:r>
          </w:p>
          <w:p w14:paraId="78298E8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根据《环境影响评价技术导则—地下水环境》（HJ610-2016）附录A，本项目</w:t>
            </w:r>
            <w:r>
              <w:rPr>
                <w:rFonts w:hint="eastAsia" w:cs="Times New Roman"/>
                <w:color w:val="auto"/>
                <w:kern w:val="0"/>
                <w:sz w:val="24"/>
                <w:lang w:eastAsia="zh-CN" w:bidi="ar"/>
              </w:rPr>
              <w:t>属于</w:t>
            </w:r>
            <w:r>
              <w:rPr>
                <w:rFonts w:hint="default" w:ascii="Times New Roman" w:hAnsi="Times New Roman" w:eastAsia="宋体" w:cs="Times New Roman"/>
                <w:color w:val="auto"/>
                <w:kern w:val="0"/>
                <w:sz w:val="24"/>
                <w:lang w:bidi="ar"/>
              </w:rPr>
              <w:t>“</w:t>
            </w:r>
            <w:r>
              <w:rPr>
                <w:rFonts w:hint="eastAsia" w:cs="Times New Roman"/>
                <w:color w:val="auto"/>
                <w:kern w:val="0"/>
                <w:sz w:val="24"/>
                <w:lang w:val="en-US" w:eastAsia="zh-CN" w:bidi="ar"/>
              </w:rPr>
              <w:t>N轻工</w:t>
            </w:r>
            <w:r>
              <w:rPr>
                <w:rFonts w:hint="default" w:ascii="Times New Roman" w:hAnsi="Times New Roman" w:eastAsia="宋体" w:cs="Times New Roman"/>
                <w:color w:val="auto"/>
                <w:kern w:val="0"/>
                <w:sz w:val="24"/>
                <w:lang w:bidi="ar"/>
              </w:rPr>
              <w:t>”中“</w:t>
            </w:r>
            <w:r>
              <w:rPr>
                <w:rFonts w:hint="default" w:ascii="Times New Roman" w:hAnsi="Times New Roman" w:eastAsia="宋体" w:cs="Times New Roman"/>
                <w:color w:val="auto"/>
                <w:kern w:val="0"/>
                <w:sz w:val="24"/>
                <w:lang w:eastAsia="zh-CN" w:bidi="ar"/>
              </w:rPr>
              <w:t>116、塑料制品制造</w:t>
            </w:r>
            <w:r>
              <w:rPr>
                <w:rFonts w:hint="eastAsia" w:cs="Times New Roman"/>
                <w:color w:val="auto"/>
                <w:kern w:val="0"/>
                <w:sz w:val="24"/>
                <w:lang w:val="en-US" w:eastAsia="zh-CN" w:bidi="ar"/>
              </w:rPr>
              <w:t>-其它</w:t>
            </w:r>
            <w:r>
              <w:rPr>
                <w:rFonts w:hint="default" w:ascii="Times New Roman" w:hAnsi="Times New Roman" w:eastAsia="宋体" w:cs="Times New Roman"/>
                <w:color w:val="auto"/>
                <w:kern w:val="0"/>
                <w:sz w:val="24"/>
                <w:lang w:bidi="ar"/>
              </w:rPr>
              <w:t>”，地下水环境影响评价项目类别为Ⅳ类项目。根据导则4.1，Ⅳ类建设项目不开展地下水环境影响评价</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仅进行简单分析</w:t>
            </w:r>
            <w:r>
              <w:rPr>
                <w:rFonts w:hint="default" w:ascii="Times New Roman" w:hAnsi="Times New Roman" w:eastAsia="宋体" w:cs="Times New Roman"/>
                <w:color w:val="auto"/>
                <w:kern w:val="0"/>
                <w:sz w:val="24"/>
                <w:lang w:bidi="ar"/>
              </w:rPr>
              <w:t>。</w:t>
            </w:r>
          </w:p>
          <w:p w14:paraId="6D817CC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根据《环境影响评价技术导则 土壤环境（试行）》（HJ964‑2018）附录A土壤环境影响评价类别，本项目属于“其他行业”，土壤环境影响评价项目类别为Ⅳ类。项目存在</w:t>
            </w:r>
            <w:r>
              <w:rPr>
                <w:rFonts w:hint="eastAsia" w:cs="Times New Roman"/>
                <w:color w:val="auto"/>
                <w:kern w:val="0"/>
                <w:sz w:val="24"/>
                <w:lang w:eastAsia="zh-CN" w:bidi="ar"/>
              </w:rPr>
              <w:t>危废贮存库</w:t>
            </w:r>
            <w:r>
              <w:rPr>
                <w:rFonts w:hint="default" w:ascii="Times New Roman" w:hAnsi="Times New Roman" w:eastAsia="宋体" w:cs="Times New Roman"/>
                <w:color w:val="auto"/>
                <w:kern w:val="0"/>
                <w:sz w:val="24"/>
                <w:lang w:bidi="ar"/>
              </w:rPr>
              <w:t>、生产加工区等土壤及地下水潜在污染源，潜在污染物主要为石油类（废润滑油</w:t>
            </w:r>
            <w:r>
              <w:rPr>
                <w:rFonts w:hint="eastAsia" w:cs="Times New Roman"/>
                <w:color w:val="auto"/>
                <w:kern w:val="0"/>
                <w:sz w:val="24"/>
                <w:lang w:eastAsia="zh-CN" w:bidi="ar"/>
              </w:rPr>
              <w:t>、</w:t>
            </w:r>
            <w:r>
              <w:rPr>
                <w:rFonts w:hint="eastAsia" w:cs="Times New Roman"/>
                <w:color w:val="auto"/>
                <w:kern w:val="0"/>
                <w:sz w:val="24"/>
                <w:lang w:val="en-US" w:eastAsia="zh-CN" w:bidi="ar"/>
              </w:rPr>
              <w:t>柴油</w:t>
            </w:r>
            <w:r>
              <w:rPr>
                <w:rFonts w:hint="default" w:ascii="Times New Roman" w:hAnsi="Times New Roman" w:eastAsia="宋体" w:cs="Times New Roman"/>
                <w:color w:val="auto"/>
                <w:kern w:val="0"/>
                <w:sz w:val="24"/>
                <w:lang w:bidi="ar"/>
              </w:rPr>
              <w:t>）</w:t>
            </w:r>
            <w:r>
              <w:rPr>
                <w:rFonts w:hint="eastAsia" w:cs="Times New Roman"/>
                <w:color w:val="auto"/>
                <w:kern w:val="0"/>
                <w:sz w:val="24"/>
                <w:lang w:eastAsia="zh-CN" w:bidi="ar"/>
              </w:rPr>
              <w:t>、</w:t>
            </w:r>
            <w:r>
              <w:rPr>
                <w:rFonts w:hint="eastAsia" w:cs="Times New Roman"/>
                <w:color w:val="auto"/>
                <w:sz w:val="24"/>
                <w:lang w:val="en-US" w:eastAsia="zh-CN"/>
              </w:rPr>
              <w:t>脱模剂</w:t>
            </w:r>
            <w:r>
              <w:rPr>
                <w:rFonts w:hint="default" w:ascii="Times New Roman" w:hAnsi="Times New Roman" w:eastAsia="宋体" w:cs="Times New Roman"/>
                <w:color w:val="auto"/>
                <w:kern w:val="0"/>
                <w:sz w:val="24"/>
                <w:lang w:bidi="ar"/>
              </w:rPr>
              <w:t>；厂区落实分区防渗，可降低污染物入渗风险。按照导则及编制指南要求，Ⅳ类项目无需开展土壤环境现状调查及预测评价，本次仅开展土壤环境影响简单分析。</w:t>
            </w:r>
          </w:p>
          <w:p w14:paraId="076A372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（1）污染源</w:t>
            </w:r>
          </w:p>
          <w:p w14:paraId="62AEF7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rPr>
              <w:t>项目土壤污染源主要为</w:t>
            </w:r>
            <w:r>
              <w:rPr>
                <w:rFonts w:hint="eastAsia" w:cs="Times New Roman"/>
                <w:color w:val="auto"/>
                <w:sz w:val="24"/>
                <w:lang w:eastAsia="zh-CN"/>
              </w:rPr>
              <w:t>危废贮存库</w:t>
            </w:r>
            <w:r>
              <w:rPr>
                <w:rFonts w:hint="default" w:ascii="Times New Roman" w:hAnsi="Times New Roman" w:eastAsia="宋体" w:cs="Times New Roman"/>
                <w:color w:val="auto"/>
                <w:sz w:val="24"/>
              </w:rPr>
              <w:t>及生产加工区，主要污染物为石油类（废</w:t>
            </w:r>
            <w:r>
              <w:rPr>
                <w:rFonts w:hint="default" w:ascii="Times New Roman" w:hAnsi="Times New Roman" w:eastAsia="宋体" w:cs="Times New Roman"/>
                <w:color w:val="auto"/>
                <w:sz w:val="24"/>
                <w:lang w:val="en-US" w:eastAsia="zh-CN"/>
              </w:rPr>
              <w:t>润滑</w:t>
            </w:r>
            <w:r>
              <w:rPr>
                <w:rFonts w:hint="default" w:ascii="Times New Roman" w:hAnsi="Times New Roman" w:eastAsia="宋体" w:cs="Times New Roman"/>
                <w:color w:val="auto"/>
                <w:sz w:val="24"/>
              </w:rPr>
              <w:t>油</w:t>
            </w:r>
            <w:r>
              <w:rPr>
                <w:rFonts w:hint="eastAsia" w:cs="Times New Roman"/>
                <w:color w:val="auto"/>
                <w:sz w:val="24"/>
                <w:lang w:eastAsia="zh-CN"/>
              </w:rPr>
              <w:t>、</w:t>
            </w:r>
            <w:r>
              <w:rPr>
                <w:rFonts w:hint="eastAsia" w:cs="Times New Roman"/>
                <w:color w:val="auto"/>
                <w:sz w:val="24"/>
                <w:lang w:val="en-US" w:eastAsia="zh-CN"/>
              </w:rPr>
              <w:t>柴油</w:t>
            </w:r>
            <w:r>
              <w:rPr>
                <w:rFonts w:hint="default" w:ascii="Times New Roman" w:hAnsi="Times New Roman" w:eastAsia="宋体" w:cs="Times New Roman"/>
                <w:color w:val="auto"/>
                <w:sz w:val="24"/>
              </w:rPr>
              <w:t>）</w:t>
            </w:r>
            <w:r>
              <w:rPr>
                <w:rFonts w:hint="eastAsia" w:cs="Times New Roman"/>
                <w:color w:val="auto"/>
                <w:sz w:val="24"/>
                <w:lang w:val="en-US" w:eastAsia="zh-CN"/>
              </w:rPr>
              <w:t>、脱模剂</w:t>
            </w:r>
            <w:r>
              <w:rPr>
                <w:rFonts w:hint="default" w:ascii="Times New Roman" w:hAnsi="Times New Roman" w:eastAsia="宋体" w:cs="Times New Roman"/>
                <w:color w:val="auto"/>
                <w:sz w:val="24"/>
              </w:rPr>
              <w:t>。地下水污染源主要为危废间及生产加工区，污染物为石油类（废</w:t>
            </w:r>
            <w:r>
              <w:rPr>
                <w:rFonts w:hint="default" w:ascii="Times New Roman" w:hAnsi="Times New Roman" w:eastAsia="宋体" w:cs="Times New Roman"/>
                <w:color w:val="auto"/>
                <w:sz w:val="24"/>
                <w:lang w:val="en-US" w:eastAsia="zh-CN"/>
              </w:rPr>
              <w:t>润滑</w:t>
            </w:r>
            <w:r>
              <w:rPr>
                <w:rFonts w:hint="default" w:ascii="Times New Roman" w:hAnsi="Times New Roman" w:eastAsia="宋体" w:cs="Times New Roman"/>
                <w:color w:val="auto"/>
                <w:sz w:val="24"/>
              </w:rPr>
              <w:t>油</w:t>
            </w:r>
            <w:r>
              <w:rPr>
                <w:rFonts w:hint="eastAsia" w:cs="Times New Roman"/>
                <w:color w:val="auto"/>
                <w:sz w:val="24"/>
                <w:lang w:eastAsia="zh-CN"/>
              </w:rPr>
              <w:t>、</w:t>
            </w:r>
            <w:r>
              <w:rPr>
                <w:rFonts w:hint="eastAsia" w:cs="Times New Roman"/>
                <w:color w:val="auto"/>
                <w:sz w:val="24"/>
                <w:lang w:val="en-US" w:eastAsia="zh-CN"/>
              </w:rPr>
              <w:t>柴油</w:t>
            </w:r>
            <w:r>
              <w:rPr>
                <w:rFonts w:hint="default" w:ascii="Times New Roman" w:hAnsi="Times New Roman" w:eastAsia="宋体" w:cs="Times New Roman"/>
                <w:color w:val="auto"/>
                <w:sz w:val="24"/>
              </w:rPr>
              <w:t>）</w:t>
            </w:r>
            <w:r>
              <w:rPr>
                <w:rFonts w:hint="eastAsia" w:cs="Times New Roman"/>
                <w:color w:val="auto"/>
                <w:sz w:val="24"/>
                <w:lang w:eastAsia="zh-CN"/>
              </w:rPr>
              <w:t>、</w:t>
            </w:r>
            <w:r>
              <w:rPr>
                <w:rFonts w:hint="eastAsia" w:cs="Times New Roman"/>
                <w:color w:val="auto"/>
                <w:sz w:val="24"/>
                <w:lang w:val="en-US" w:eastAsia="zh-CN"/>
              </w:rPr>
              <w:t>脱模剂</w:t>
            </w:r>
            <w:r>
              <w:rPr>
                <w:rFonts w:hint="default" w:ascii="Times New Roman" w:hAnsi="Times New Roman" w:eastAsia="宋体" w:cs="Times New Roman"/>
                <w:color w:val="auto"/>
                <w:sz w:val="24"/>
              </w:rPr>
              <w:t>。</w:t>
            </w:r>
          </w:p>
          <w:p w14:paraId="5FB0C58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（2）污染途径</w:t>
            </w:r>
          </w:p>
          <w:p w14:paraId="3FA197D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rPr>
              <w:t>污染途径：生产设备配套的活性炭吸附装置故障导致大量非甲烷总烃排放沉降至土壤中</w:t>
            </w:r>
            <w:r>
              <w:rPr>
                <w:rFonts w:hint="default" w:ascii="Times New Roman" w:hAnsi="Times New Roman" w:eastAsia="宋体" w:cs="Times New Roman"/>
                <w:color w:val="auto"/>
                <w:sz w:val="24"/>
                <w:lang w:eastAsia="zh-CN"/>
              </w:rPr>
              <w:t>；</w:t>
            </w:r>
            <w:r>
              <w:rPr>
                <w:rFonts w:hint="eastAsia" w:cs="Times New Roman"/>
                <w:color w:val="auto"/>
                <w:sz w:val="24"/>
                <w:lang w:val="en-US" w:eastAsia="zh-CN"/>
              </w:rPr>
              <w:t>生产厂房、</w:t>
            </w:r>
            <w:r>
              <w:rPr>
                <w:rFonts w:hint="eastAsia" w:cs="Times New Roman"/>
                <w:color w:val="auto"/>
                <w:sz w:val="24"/>
                <w:lang w:eastAsia="zh-CN"/>
              </w:rPr>
              <w:t>危废贮存库</w:t>
            </w:r>
            <w:r>
              <w:rPr>
                <w:rFonts w:hint="default" w:ascii="Times New Roman" w:hAnsi="Times New Roman" w:eastAsia="宋体" w:cs="Times New Roman"/>
                <w:color w:val="auto"/>
                <w:sz w:val="24"/>
              </w:rPr>
              <w:t>防渗层破裂</w:t>
            </w:r>
            <w:r>
              <w:rPr>
                <w:rFonts w:hint="eastAsia" w:cs="Times New Roman"/>
                <w:color w:val="auto"/>
                <w:sz w:val="24"/>
                <w:lang w:eastAsia="zh-CN"/>
              </w:rPr>
              <w:t>，</w:t>
            </w:r>
            <w:r>
              <w:rPr>
                <w:rFonts w:hint="eastAsia" w:cs="Times New Roman"/>
                <w:color w:val="auto"/>
                <w:sz w:val="24"/>
                <w:lang w:val="en-US" w:eastAsia="zh-CN"/>
              </w:rPr>
              <w:t>储存油品的罐体破裂</w:t>
            </w:r>
            <w:r>
              <w:rPr>
                <w:rFonts w:hint="default" w:ascii="Times New Roman" w:hAnsi="Times New Roman" w:eastAsia="宋体" w:cs="Times New Roman"/>
                <w:color w:val="auto"/>
                <w:sz w:val="24"/>
              </w:rPr>
              <w:t>，导致储存的</w:t>
            </w:r>
            <w:r>
              <w:rPr>
                <w:rFonts w:hint="eastAsia" w:cs="Times New Roman"/>
                <w:color w:val="auto"/>
                <w:sz w:val="24"/>
                <w:lang w:val="en-US" w:eastAsia="zh-CN"/>
              </w:rPr>
              <w:t>油品</w:t>
            </w:r>
            <w:r>
              <w:rPr>
                <w:rFonts w:hint="default" w:ascii="Times New Roman" w:hAnsi="Times New Roman" w:eastAsia="宋体" w:cs="Times New Roman"/>
                <w:color w:val="auto"/>
                <w:sz w:val="24"/>
              </w:rPr>
              <w:t>下渗进入土壤、地下水中，污染土壤、地下水环境。</w:t>
            </w:r>
          </w:p>
          <w:p w14:paraId="6D4D898C">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（3）土壤、地下水污染防控措施</w:t>
            </w:r>
          </w:p>
          <w:p w14:paraId="48C4B0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①加强活性炭吸附装置的运行维护，确保处于正常的生产状态。</w:t>
            </w:r>
            <w:r>
              <w:rPr>
                <w:rFonts w:hint="default" w:ascii="Times New Roman" w:hAnsi="Times New Roman" w:eastAsia="宋体" w:cs="Times New Roman"/>
                <w:color w:val="auto"/>
                <w:sz w:val="24"/>
                <w:lang w:val="en-US" w:eastAsia="zh-CN"/>
              </w:rPr>
              <w:t>设置专人定期对</w:t>
            </w:r>
            <w:r>
              <w:rPr>
                <w:rFonts w:hint="eastAsia" w:cs="Times New Roman"/>
                <w:color w:val="auto"/>
                <w:sz w:val="24"/>
                <w:lang w:val="en-US" w:eastAsia="zh-CN"/>
              </w:rPr>
              <w:t>危废贮存库</w:t>
            </w:r>
            <w:r>
              <w:rPr>
                <w:rFonts w:hint="default" w:ascii="Times New Roman" w:hAnsi="Times New Roman" w:eastAsia="宋体" w:cs="Times New Roman"/>
                <w:color w:val="auto"/>
                <w:sz w:val="24"/>
                <w:lang w:val="en-US" w:eastAsia="zh-CN"/>
              </w:rPr>
              <w:t>进行检查，发现安全隐患，及时整改。</w:t>
            </w:r>
          </w:p>
          <w:p w14:paraId="3B1D824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②厂区进行分区防渗，</w:t>
            </w:r>
            <w:r>
              <w:rPr>
                <w:rFonts w:hint="default" w:ascii="Times New Roman" w:hAnsi="Times New Roman" w:eastAsia="宋体" w:cs="Times New Roman"/>
                <w:b/>
                <w:bCs/>
                <w:color w:val="auto"/>
                <w:sz w:val="24"/>
                <w:szCs w:val="24"/>
                <w:lang w:val="en-US" w:eastAsia="zh-CN"/>
              </w:rPr>
              <w:t>重点防渗区：</w:t>
            </w:r>
            <w:r>
              <w:rPr>
                <w:rFonts w:hint="eastAsia" w:cs="Times New Roman"/>
                <w:b/>
                <w:bCs/>
                <w:color w:val="auto"/>
                <w:sz w:val="24"/>
                <w:szCs w:val="24"/>
                <w:lang w:val="en-US" w:eastAsia="zh-CN"/>
              </w:rPr>
              <w:t>危废贮存库</w:t>
            </w:r>
            <w:r>
              <w:rPr>
                <w:rFonts w:hint="default" w:ascii="Times New Roman" w:hAnsi="Times New Roman" w:eastAsia="宋体" w:cs="Times New Roman"/>
                <w:b/>
                <w:bCs/>
                <w:color w:val="auto"/>
                <w:sz w:val="24"/>
                <w:szCs w:val="24"/>
                <w:lang w:val="en-US" w:eastAsia="zh-CN"/>
              </w:rPr>
              <w:t>划为重点防渗区</w:t>
            </w:r>
            <w:r>
              <w:rPr>
                <w:rFonts w:hint="eastAsia" w:cs="Times New Roman"/>
                <w:b/>
                <w:bCs/>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在现有</w:t>
            </w:r>
            <w:r>
              <w:rPr>
                <w:rFonts w:hint="eastAsia" w:ascii="Times New Roman" w:hAnsi="Times New Roman" w:eastAsia="宋体" w:cs="Times New Roman"/>
                <w:color w:val="auto"/>
                <w:kern w:val="0"/>
                <w:sz w:val="24"/>
                <w:szCs w:val="24"/>
                <w:lang w:val="en-US" w:eastAsia="zh-CN" w:bidi="ar"/>
              </w:rPr>
              <w:t>混凝土浇筑</w:t>
            </w:r>
            <w:r>
              <w:rPr>
                <w:rFonts w:hint="default" w:ascii="Times New Roman" w:hAnsi="Times New Roman" w:eastAsia="宋体" w:cs="Times New Roman"/>
                <w:color w:val="auto"/>
                <w:kern w:val="0"/>
                <w:sz w:val="24"/>
                <w:szCs w:val="24"/>
                <w:lang w:val="en-US" w:eastAsia="zh-CN" w:bidi="ar"/>
              </w:rPr>
              <w:t>、水泥硬化的基础上增加</w:t>
            </w:r>
            <w:r>
              <w:rPr>
                <w:rFonts w:hint="default" w:ascii="Times New Roman" w:hAnsi="Times New Roman" w:eastAsia="宋体" w:cs="Times New Roman"/>
                <w:b w:val="0"/>
                <w:bCs w:val="0"/>
                <w:color w:val="auto"/>
                <w:sz w:val="24"/>
                <w:szCs w:val="24"/>
                <w:lang w:val="en-US" w:eastAsia="zh-CN"/>
              </w:rPr>
              <w:t>2.0mmHDPE</w:t>
            </w:r>
            <w:r>
              <w:rPr>
                <w:rFonts w:hint="eastAsia" w:ascii="Times New Roman" w:hAnsi="Times New Roman" w:eastAsia="宋体" w:cs="Times New Roman"/>
                <w:b w:val="0"/>
                <w:bCs w:val="0"/>
                <w:color w:val="auto"/>
                <w:sz w:val="24"/>
                <w:szCs w:val="24"/>
                <w:lang w:val="en-US" w:eastAsia="zh-CN"/>
              </w:rPr>
              <w:t>防渗</w:t>
            </w:r>
            <w:r>
              <w:rPr>
                <w:rFonts w:hint="default" w:ascii="Times New Roman" w:hAnsi="Times New Roman" w:eastAsia="宋体" w:cs="Times New Roman"/>
                <w:b w:val="0"/>
                <w:bCs w:val="0"/>
                <w:color w:val="auto"/>
                <w:sz w:val="24"/>
                <w:szCs w:val="24"/>
                <w:lang w:val="en-US" w:eastAsia="zh-CN"/>
              </w:rPr>
              <w:t>膜+环氧树脂</w:t>
            </w:r>
            <w:r>
              <w:rPr>
                <w:rFonts w:hint="eastAsia" w:ascii="Times New Roman" w:hAnsi="Times New Roman" w:eastAsia="宋体" w:cs="Times New Roman"/>
                <w:b w:val="0"/>
                <w:bCs w:val="0"/>
                <w:color w:val="auto"/>
                <w:sz w:val="24"/>
                <w:szCs w:val="24"/>
                <w:lang w:val="en-US" w:eastAsia="zh-CN"/>
              </w:rPr>
              <w:t>防渗面层</w:t>
            </w:r>
            <w:r>
              <w:rPr>
                <w:rFonts w:hint="default" w:ascii="Times New Roman" w:hAnsi="Times New Roman" w:eastAsia="宋体" w:cs="Times New Roman"/>
                <w:color w:val="auto"/>
                <w:sz w:val="24"/>
                <w:szCs w:val="24"/>
                <w:lang w:val="en-US" w:eastAsia="zh-CN"/>
              </w:rPr>
              <w:t>进行防渗，使其地面、围堰区达到渗透系数≤1×10</w:t>
            </w:r>
            <w:r>
              <w:rPr>
                <w:rFonts w:hint="default" w:ascii="Times New Roman" w:hAnsi="Times New Roman" w:eastAsia="宋体" w:cs="Times New Roman"/>
                <w:color w:val="auto"/>
                <w:sz w:val="24"/>
                <w:szCs w:val="24"/>
                <w:vertAlign w:val="superscript"/>
                <w:lang w:val="en-US" w:eastAsia="zh-CN"/>
              </w:rPr>
              <w:t>-10</w:t>
            </w:r>
            <w:r>
              <w:rPr>
                <w:rFonts w:hint="default" w:ascii="Times New Roman" w:hAnsi="Times New Roman" w:eastAsia="宋体" w:cs="Times New Roman"/>
                <w:color w:val="auto"/>
                <w:sz w:val="24"/>
                <w:szCs w:val="24"/>
                <w:lang w:val="en-US" w:eastAsia="zh-CN"/>
              </w:rPr>
              <w:t>cm/s的防渗性能；</w:t>
            </w:r>
            <w:r>
              <w:rPr>
                <w:rFonts w:hint="default" w:ascii="Times New Roman" w:hAnsi="Times New Roman" w:eastAsia="宋体" w:cs="Times New Roman"/>
                <w:b/>
                <w:bCs/>
                <w:color w:val="auto"/>
                <w:sz w:val="24"/>
                <w:szCs w:val="24"/>
                <w:lang w:val="en-US" w:eastAsia="zh-CN"/>
              </w:rPr>
              <w:t>一般防渗区：循环水池划为一般防渗区</w:t>
            </w:r>
            <w:r>
              <w:rPr>
                <w:rFonts w:hint="eastAsia"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在现有</w:t>
            </w:r>
            <w:r>
              <w:rPr>
                <w:rFonts w:hint="eastAsia" w:ascii="Times New Roman" w:hAnsi="Times New Roman" w:eastAsia="宋体" w:cs="Times New Roman"/>
                <w:color w:val="auto"/>
                <w:kern w:val="0"/>
                <w:sz w:val="24"/>
                <w:szCs w:val="24"/>
                <w:lang w:val="en-US" w:eastAsia="zh-CN" w:bidi="ar"/>
              </w:rPr>
              <w:t>混凝土浇筑</w:t>
            </w:r>
            <w:r>
              <w:rPr>
                <w:rFonts w:hint="default" w:ascii="Times New Roman" w:hAnsi="Times New Roman" w:eastAsia="宋体" w:cs="Times New Roman"/>
                <w:color w:val="auto"/>
                <w:kern w:val="0"/>
                <w:sz w:val="24"/>
                <w:szCs w:val="24"/>
                <w:lang w:val="en-US" w:eastAsia="zh-CN" w:bidi="ar"/>
              </w:rPr>
              <w:t>、水泥硬化的基础上增加</w:t>
            </w:r>
            <w:r>
              <w:rPr>
                <w:rFonts w:hint="default" w:ascii="Times New Roman" w:hAnsi="Times New Roman" w:eastAsia="宋体" w:cs="Times New Roman"/>
                <w:b w:val="0"/>
                <w:bCs w:val="0"/>
                <w:color w:val="auto"/>
                <w:sz w:val="24"/>
                <w:szCs w:val="24"/>
                <w:lang w:val="en-US" w:eastAsia="zh-CN"/>
              </w:rPr>
              <w:t>2.0mmHDPE</w:t>
            </w:r>
            <w:r>
              <w:rPr>
                <w:rFonts w:hint="eastAsia" w:ascii="Times New Roman" w:hAnsi="Times New Roman" w:eastAsia="宋体" w:cs="Times New Roman"/>
                <w:b w:val="0"/>
                <w:bCs w:val="0"/>
                <w:color w:val="auto"/>
                <w:sz w:val="24"/>
                <w:szCs w:val="24"/>
                <w:lang w:val="en-US" w:eastAsia="zh-CN"/>
              </w:rPr>
              <w:t>防渗</w:t>
            </w:r>
            <w:r>
              <w:rPr>
                <w:rFonts w:hint="default" w:ascii="Times New Roman" w:hAnsi="Times New Roman" w:eastAsia="宋体" w:cs="Times New Roman"/>
                <w:b w:val="0"/>
                <w:bCs w:val="0"/>
                <w:color w:val="auto"/>
                <w:sz w:val="24"/>
                <w:szCs w:val="24"/>
                <w:lang w:val="en-US" w:eastAsia="zh-CN"/>
              </w:rPr>
              <w:t>膜+环氧树脂</w:t>
            </w:r>
            <w:r>
              <w:rPr>
                <w:rFonts w:hint="eastAsia" w:ascii="Times New Roman" w:hAnsi="Times New Roman" w:eastAsia="宋体" w:cs="Times New Roman"/>
                <w:b w:val="0"/>
                <w:bCs w:val="0"/>
                <w:color w:val="auto"/>
                <w:sz w:val="24"/>
                <w:szCs w:val="24"/>
                <w:lang w:val="en-US" w:eastAsia="zh-CN"/>
              </w:rPr>
              <w:t>防渗面层</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使其达到渗透系数</w:t>
            </w:r>
            <w:r>
              <w:rPr>
                <w:rFonts w:hint="default" w:ascii="Times New Roman" w:hAnsi="Times New Roman" w:eastAsia="宋体" w:cs="Times New Roman"/>
                <w:b w:val="0"/>
                <w:bCs w:val="0"/>
                <w:color w:val="auto"/>
                <w:sz w:val="24"/>
                <w:szCs w:val="24"/>
                <w:lang w:val="en-US" w:eastAsia="zh-CN"/>
              </w:rPr>
              <w:t>≤1.0×10</w:t>
            </w:r>
            <w:r>
              <w:rPr>
                <w:rFonts w:hint="default" w:ascii="Times New Roman" w:hAnsi="Times New Roman" w:eastAsia="宋体" w:cs="Times New Roman"/>
                <w:b w:val="0"/>
                <w:bCs w:val="0"/>
                <w:color w:val="auto"/>
                <w:sz w:val="24"/>
                <w:szCs w:val="24"/>
                <w:vertAlign w:val="superscript"/>
                <w:lang w:val="en-US" w:eastAsia="zh-CN"/>
              </w:rPr>
              <w:t>-7</w:t>
            </w:r>
            <w:r>
              <w:rPr>
                <w:rFonts w:hint="default" w:ascii="Times New Roman" w:hAnsi="Times New Roman" w:eastAsia="宋体" w:cs="Times New Roman"/>
                <w:b w:val="0"/>
                <w:bCs w:val="0"/>
                <w:color w:val="auto"/>
                <w:sz w:val="24"/>
                <w:szCs w:val="24"/>
                <w:lang w:val="en-US" w:eastAsia="zh-CN"/>
              </w:rPr>
              <w:t>cm/s</w:t>
            </w:r>
            <w:r>
              <w:rPr>
                <w:rFonts w:hint="default" w:ascii="Times New Roman" w:hAnsi="Times New Roman" w:eastAsia="宋体" w:cs="Times New Roman"/>
                <w:color w:val="auto"/>
                <w:kern w:val="0"/>
                <w:sz w:val="24"/>
                <w:szCs w:val="24"/>
                <w:lang w:val="en-US" w:eastAsia="zh-CN" w:bidi="ar"/>
              </w:rPr>
              <w:t>的防渗</w:t>
            </w:r>
            <w:r>
              <w:rPr>
                <w:rFonts w:hint="eastAsia" w:ascii="Times New Roman" w:cs="Times New Roman"/>
                <w:color w:val="auto"/>
                <w:kern w:val="0"/>
                <w:sz w:val="24"/>
                <w:szCs w:val="24"/>
                <w:lang w:val="en-US" w:eastAsia="zh-CN" w:bidi="ar"/>
              </w:rPr>
              <w:t>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
                <w:bCs/>
                <w:color w:val="auto"/>
                <w:sz w:val="24"/>
                <w:szCs w:val="24"/>
                <w:lang w:val="en-US" w:eastAsia="zh-CN"/>
              </w:rPr>
              <w:t>简单防渗区：生产厂房划为简单防渗区</w:t>
            </w:r>
            <w:r>
              <w:rPr>
                <w:rFonts w:hint="eastAsia" w:cs="Times New Roman"/>
                <w:b/>
                <w:bCs/>
                <w:color w:val="auto"/>
                <w:sz w:val="24"/>
                <w:szCs w:val="24"/>
                <w:lang w:val="en-US" w:eastAsia="zh-CN"/>
              </w:rPr>
              <w:t>，</w:t>
            </w:r>
            <w:r>
              <w:rPr>
                <w:rFonts w:hint="eastAsia" w:ascii="Times New Roman" w:cs="Times New Roman"/>
                <w:color w:val="auto"/>
                <w:sz w:val="24"/>
                <w:szCs w:val="24"/>
                <w:highlight w:val="none"/>
                <w:lang w:val="en-US" w:eastAsia="zh-CN"/>
              </w:rPr>
              <w:t>根据现场踏勘结果，厂区现状已进行混</w:t>
            </w:r>
            <w:r>
              <w:rPr>
                <w:rFonts w:hint="default" w:ascii="Times New Roman" w:hAnsi="Times New Roman" w:eastAsia="宋体" w:cs="Times New Roman"/>
                <w:color w:val="auto"/>
                <w:sz w:val="24"/>
                <w:szCs w:val="24"/>
                <w:highlight w:val="none"/>
                <w:lang w:val="en-US" w:eastAsia="zh-CN"/>
              </w:rPr>
              <w:t>凝土硬化，无明显破损、裂缝，可满足简单防渗要求</w:t>
            </w:r>
            <w:r>
              <w:rPr>
                <w:rFonts w:hint="default" w:ascii="Times New Roman" w:hAnsi="Times New Roman" w:eastAsia="宋体" w:cs="Times New Roman"/>
                <w:color w:val="auto"/>
                <w:sz w:val="24"/>
                <w:szCs w:val="24"/>
                <w:lang w:eastAsia="zh-CN"/>
              </w:rPr>
              <w:t>。</w:t>
            </w:r>
          </w:p>
          <w:p w14:paraId="32D173EA">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6、环境风险分析</w:t>
            </w:r>
          </w:p>
          <w:p w14:paraId="7C0E9B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val="en-US" w:eastAsia="zh-CN" w:bidi="ar"/>
              </w:rPr>
              <w:t>（1）风险</w:t>
            </w:r>
            <w:r>
              <w:rPr>
                <w:rFonts w:hint="eastAsia" w:cs="Times New Roman"/>
                <w:b/>
                <w:bCs/>
                <w:color w:val="auto"/>
                <w:kern w:val="0"/>
                <w:sz w:val="24"/>
                <w:szCs w:val="24"/>
                <w:lang w:val="en-US" w:eastAsia="zh-CN" w:bidi="ar"/>
              </w:rPr>
              <w:t>识别</w:t>
            </w:r>
            <w:r>
              <w:rPr>
                <w:rFonts w:hint="default" w:ascii="Times New Roman" w:hAnsi="Times New Roman" w:eastAsia="宋体" w:cs="Times New Roman"/>
                <w:b/>
                <w:bCs/>
                <w:color w:val="auto"/>
                <w:kern w:val="0"/>
                <w:sz w:val="24"/>
                <w:szCs w:val="24"/>
                <w:lang w:val="en-US" w:eastAsia="zh-CN" w:bidi="ar"/>
              </w:rPr>
              <w:t xml:space="preserve"> </w:t>
            </w:r>
          </w:p>
          <w:p w14:paraId="2F09E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根据《建设项目环境风险评价技术导则》（HJ 169-2018），确定</w:t>
            </w:r>
            <w:r>
              <w:rPr>
                <w:rFonts w:hint="default" w:ascii="Times New Roman" w:hAnsi="Times New Roman" w:eastAsia="宋体" w:cs="Times New Roman"/>
                <w:color w:val="auto"/>
                <w:sz w:val="24"/>
                <w:szCs w:val="24"/>
              </w:rPr>
              <w:t>本项目</w:t>
            </w:r>
            <w:r>
              <w:rPr>
                <w:rFonts w:hint="eastAsia" w:ascii="Times New Roman" w:cs="Times New Roman"/>
                <w:color w:val="auto"/>
                <w:sz w:val="24"/>
                <w:szCs w:val="24"/>
                <w:lang w:val="en-US" w:eastAsia="zh-CN"/>
              </w:rPr>
              <w:t>风险</w:t>
            </w:r>
            <w:r>
              <w:rPr>
                <w:rFonts w:hint="default" w:ascii="Times New Roman" w:hAnsi="Times New Roman" w:eastAsia="宋体" w:cs="Times New Roman"/>
                <w:color w:val="auto"/>
                <w:sz w:val="24"/>
                <w:szCs w:val="24"/>
              </w:rPr>
              <w:t>物质</w:t>
            </w:r>
            <w:r>
              <w:rPr>
                <w:rFonts w:hint="eastAsia" w:cs="Times New Roman"/>
                <w:color w:val="auto"/>
                <w:sz w:val="24"/>
                <w:szCs w:val="24"/>
                <w:lang w:val="en-US" w:eastAsia="zh-CN"/>
              </w:rPr>
              <w:t>为</w:t>
            </w:r>
            <w:r>
              <w:rPr>
                <w:rFonts w:hint="default" w:ascii="Times New Roman" w:hAnsi="Times New Roman" w:eastAsia="宋体" w:cs="Times New Roman"/>
                <w:color w:val="auto"/>
                <w:sz w:val="24"/>
                <w:szCs w:val="24"/>
              </w:rPr>
              <w:t>废</w:t>
            </w:r>
            <w:r>
              <w:rPr>
                <w:rFonts w:hint="default" w:ascii="Times New Roman" w:hAnsi="Times New Roman" w:eastAsia="宋体" w:cs="Times New Roman"/>
                <w:color w:val="auto"/>
                <w:sz w:val="24"/>
                <w:szCs w:val="24"/>
                <w:lang w:val="en-US" w:eastAsia="zh-CN"/>
              </w:rPr>
              <w:t>润滑</w:t>
            </w:r>
            <w:r>
              <w:rPr>
                <w:rFonts w:hint="default" w:ascii="Times New Roman" w:hAnsi="Times New Roman" w:eastAsia="宋体" w:cs="Times New Roman"/>
                <w:color w:val="auto"/>
                <w:sz w:val="24"/>
                <w:szCs w:val="24"/>
              </w:rPr>
              <w:t>油</w:t>
            </w:r>
            <w:r>
              <w:rPr>
                <w:rFonts w:hint="eastAsia" w:ascii="Times New Roman" w:cs="Times New Roman"/>
                <w:color w:val="auto"/>
                <w:sz w:val="24"/>
                <w:szCs w:val="24"/>
                <w:lang w:eastAsia="zh-CN"/>
              </w:rPr>
              <w:t>、</w:t>
            </w:r>
            <w:r>
              <w:rPr>
                <w:rFonts w:hint="eastAsia" w:ascii="Times New Roman" w:cs="Times New Roman"/>
                <w:color w:val="auto"/>
                <w:sz w:val="24"/>
                <w:szCs w:val="24"/>
                <w:lang w:val="en-US" w:eastAsia="zh-CN"/>
              </w:rPr>
              <w:t>柴油</w:t>
            </w:r>
            <w:r>
              <w:rPr>
                <w:rFonts w:hint="eastAsia" w:cs="Times New Roman"/>
                <w:color w:val="auto"/>
                <w:sz w:val="24"/>
                <w:szCs w:val="24"/>
                <w:lang w:val="en-US" w:eastAsia="zh-CN"/>
              </w:rPr>
              <w:t>，</w:t>
            </w:r>
            <w:r>
              <w:rPr>
                <w:rFonts w:hint="default" w:ascii="Times New Roman" w:hAnsi="Times New Roman" w:eastAsia="宋体" w:cs="Times New Roman"/>
                <w:color w:val="auto"/>
                <w:kern w:val="0"/>
                <w:sz w:val="24"/>
                <w:szCs w:val="24"/>
                <w:lang w:val="en-US" w:eastAsia="zh-CN" w:bidi="ar"/>
              </w:rPr>
              <w:t>参照《建设项目环境风险评价技术导则》（HJ 169-2018）附录B表B</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1突发环境事件风险物质及临界量中：序号 381 油类物质（矿物质油，如石油、汽油、柴油等；生物柴油等）临界量2500t，属于可燃物质。</w:t>
            </w:r>
          </w:p>
          <w:p w14:paraId="002FA8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val="en-US" w:eastAsia="zh-CN" w:bidi="ar"/>
              </w:rPr>
              <w:t xml:space="preserve">（2）环境风险潜势初判 </w:t>
            </w:r>
          </w:p>
          <w:p w14:paraId="07565F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根据《建设项目环境风险评价技术导则》（</w:t>
            </w:r>
            <w:r>
              <w:rPr>
                <w:rFonts w:hint="eastAsia" w:cs="Times New Roman"/>
                <w:color w:val="auto"/>
                <w:kern w:val="0"/>
                <w:sz w:val="24"/>
                <w:szCs w:val="24"/>
                <w:lang w:val="en-US" w:eastAsia="zh-CN" w:bidi="ar"/>
              </w:rPr>
              <w:t>HJ 169-2018</w:t>
            </w:r>
            <w:r>
              <w:rPr>
                <w:rFonts w:hint="default" w:ascii="Times New Roman" w:hAnsi="Times New Roman" w:eastAsia="宋体" w:cs="Times New Roman"/>
                <w:color w:val="auto"/>
                <w:kern w:val="0"/>
                <w:sz w:val="24"/>
                <w:szCs w:val="24"/>
                <w:lang w:val="en-US" w:eastAsia="zh-CN" w:bidi="ar"/>
              </w:rPr>
              <w:t>），本项目需按下式计算物质总量与其临界量比值 Q，在不同厂区的同一种物质，按其在厂界内的最大存在量计算。</w:t>
            </w:r>
          </w:p>
          <w:p w14:paraId="467B99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当只涉及一种危险物质时，计算该物质的总量与其临界量的比值，即为Q；</w:t>
            </w:r>
          </w:p>
          <w:p w14:paraId="4760A5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rPr>
              <w:t>当存在多种危险物质时，则按下式计算物质总量与其临界量比值Q：</w:t>
            </w:r>
          </w:p>
          <w:p w14:paraId="503D29A2">
            <w:pPr>
              <w:keepNext w:val="0"/>
              <w:keepLines w:val="0"/>
              <w:suppressLineNumbers w:val="0"/>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object>
                <v:shape id="_x0000_i1026" o:spt="75" type="#_x0000_t75" style="height:33.75pt;width:122.2pt;" o:ole="t" filled="f" o:preferrelative="t" stroked="f" coordsize="21600,21600">
                  <v:path/>
                  <v:fill on="f" focussize="0,0"/>
                  <v:stroke on="f"/>
                  <v:imagedata r:id="rId17" o:title=""/>
                  <o:lock v:ext="edit" aspectratio="t"/>
                  <w10:wrap type="none"/>
                  <w10:anchorlock/>
                </v:shape>
                <o:OLEObject Type="Embed" ProgID="Equation.KSEE3" ShapeID="_x0000_i1026" DrawAspect="Content" ObjectID="_1468075726" r:id="rId16">
                  <o:LockedField>false</o:LockedField>
                </o:OLEObject>
              </w:object>
            </w:r>
          </w:p>
          <w:p w14:paraId="31A51B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式中：q</w:t>
            </w:r>
            <w:r>
              <w:rPr>
                <w:rFonts w:hint="default" w:ascii="Times New Roman" w:hAnsi="Times New Roman" w:eastAsia="宋体" w:cs="Times New Roman"/>
                <w:color w:val="auto"/>
                <w:sz w:val="24"/>
                <w:vertAlign w:val="subscript"/>
              </w:rPr>
              <w:t>1</w:t>
            </w: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2</w:t>
            </w:r>
            <w:r>
              <w:rPr>
                <w:rFonts w:hint="default" w:ascii="Times New Roman" w:hAnsi="Times New Roman" w:eastAsia="宋体" w:cs="Times New Roman"/>
                <w:color w:val="auto"/>
                <w:sz w:val="24"/>
              </w:rPr>
              <w:t>、……qn——每种危险物质的最大存在量；</w:t>
            </w:r>
          </w:p>
          <w:p w14:paraId="6AB237D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Q</w:t>
            </w:r>
            <w:r>
              <w:rPr>
                <w:rFonts w:hint="default" w:ascii="Times New Roman" w:hAnsi="Times New Roman" w:eastAsia="宋体" w:cs="Times New Roman"/>
                <w:color w:val="auto"/>
                <w:sz w:val="24"/>
                <w:vertAlign w:val="subscript"/>
              </w:rPr>
              <w:t>1</w:t>
            </w: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2</w:t>
            </w:r>
            <w:r>
              <w:rPr>
                <w:rFonts w:hint="default" w:ascii="Times New Roman" w:hAnsi="Times New Roman" w:eastAsia="宋体" w:cs="Times New Roman"/>
                <w:color w:val="auto"/>
                <w:sz w:val="24"/>
              </w:rPr>
              <w:t>、……Qn——每种危险物质的临界量；</w:t>
            </w:r>
          </w:p>
          <w:p w14:paraId="2E48FA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当Q&lt;1时，该项目环境风险潜势为</w:t>
            </w: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1 \* ROMAN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I</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w:t>
            </w:r>
          </w:p>
          <w:p w14:paraId="4CEA09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当Q≥1时，将Q值划分为：1≤Q&lt;10；10≤Q&lt;100；Q≥100。</w:t>
            </w:r>
          </w:p>
          <w:p w14:paraId="2C2D15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sz w:val="24"/>
                <w:lang w:val="en-US" w:eastAsia="zh-CN"/>
              </w:rPr>
              <w:t>项目</w:t>
            </w:r>
            <w:r>
              <w:rPr>
                <w:rFonts w:hint="default" w:ascii="Times New Roman" w:hAnsi="Times New Roman" w:eastAsia="宋体" w:cs="Times New Roman"/>
                <w:color w:val="auto"/>
                <w:sz w:val="24"/>
              </w:rPr>
              <w:t>Q值</w:t>
            </w:r>
            <w:r>
              <w:rPr>
                <w:rFonts w:hint="default" w:ascii="Times New Roman" w:hAnsi="Times New Roman" w:eastAsia="宋体" w:cs="Times New Roman"/>
                <w:color w:val="000000"/>
                <w:kern w:val="0"/>
                <w:sz w:val="24"/>
                <w:szCs w:val="24"/>
                <w:lang w:val="en-US" w:eastAsia="zh-CN" w:bidi="ar"/>
              </w:rPr>
              <w:t>计算</w:t>
            </w:r>
            <w:r>
              <w:rPr>
                <w:rFonts w:hint="default" w:ascii="Times New Roman" w:hAnsi="Times New Roman" w:eastAsia="宋体" w:cs="Times New Roman"/>
                <w:color w:val="auto"/>
                <w:kern w:val="0"/>
                <w:sz w:val="24"/>
                <w:szCs w:val="24"/>
                <w:lang w:val="en-US" w:eastAsia="zh-CN" w:bidi="ar"/>
              </w:rPr>
              <w:t>结果见表 4-</w:t>
            </w:r>
            <w:r>
              <w:rPr>
                <w:rFonts w:hint="eastAsia" w:cs="Times New Roman"/>
                <w:color w:val="auto"/>
                <w:kern w:val="0"/>
                <w:sz w:val="24"/>
                <w:szCs w:val="24"/>
                <w:lang w:val="en-US" w:eastAsia="zh-CN" w:bidi="ar"/>
              </w:rPr>
              <w:t>18</w:t>
            </w:r>
            <w:r>
              <w:rPr>
                <w:rFonts w:hint="default" w:ascii="Times New Roman" w:hAnsi="Times New Roman" w:eastAsia="宋体" w:cs="Times New Roman"/>
                <w:color w:val="auto"/>
                <w:kern w:val="0"/>
                <w:sz w:val="24"/>
                <w:szCs w:val="24"/>
                <w:lang w:val="en-US" w:eastAsia="zh-CN" w:bidi="ar"/>
              </w:rPr>
              <w:t>。</w:t>
            </w:r>
          </w:p>
          <w:p w14:paraId="6AC7A9DD">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18</w:t>
            </w:r>
            <w:r>
              <w:rPr>
                <w:rFonts w:hint="default" w:ascii="Times New Roman" w:hAnsi="Times New Roman" w:eastAsia="宋体" w:cs="Times New Roman"/>
                <w:b/>
                <w:bCs/>
                <w:color w:val="auto"/>
                <w:sz w:val="21"/>
                <w:szCs w:val="21"/>
              </w:rPr>
              <w:t xml:space="preserve">  建设项目Q值确定表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485"/>
              <w:gridCol w:w="990"/>
              <w:gridCol w:w="1860"/>
              <w:gridCol w:w="1350"/>
              <w:gridCol w:w="1935"/>
            </w:tblGrid>
            <w:tr w14:paraId="3210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6" w:type="dxa"/>
                  <w:tcBorders>
                    <w:top w:val="single" w:color="auto" w:sz="4" w:space="0"/>
                    <w:left w:val="single" w:color="auto" w:sz="4" w:space="0"/>
                    <w:bottom w:val="single" w:color="auto" w:sz="4" w:space="0"/>
                    <w:right w:val="single" w:color="auto" w:sz="4" w:space="0"/>
                  </w:tcBorders>
                  <w:noWrap w:val="0"/>
                  <w:vAlign w:val="center"/>
                </w:tcPr>
                <w:p w14:paraId="01B8C1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485" w:type="dxa"/>
                  <w:tcBorders>
                    <w:top w:val="single" w:color="auto" w:sz="4" w:space="0"/>
                    <w:left w:val="single" w:color="auto" w:sz="4" w:space="0"/>
                    <w:bottom w:val="single" w:color="auto" w:sz="4" w:space="0"/>
                    <w:right w:val="single" w:color="auto" w:sz="4" w:space="0"/>
                  </w:tcBorders>
                  <w:noWrap w:val="0"/>
                  <w:vAlign w:val="center"/>
                </w:tcPr>
                <w:p w14:paraId="6AA0178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危险物质名称</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684389B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CAS号</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8691D4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最大存在总量q</w:t>
                  </w:r>
                  <w:r>
                    <w:rPr>
                      <w:rFonts w:hint="default" w:ascii="Times New Roman" w:hAnsi="Times New Roman" w:eastAsia="宋体" w:cs="Times New Roman"/>
                      <w:b/>
                      <w:bCs/>
                      <w:color w:val="auto"/>
                      <w:sz w:val="21"/>
                      <w:szCs w:val="21"/>
                      <w:vertAlign w:val="subscript"/>
                    </w:rPr>
                    <w:t>n</w:t>
                  </w:r>
                  <w:r>
                    <w:rPr>
                      <w:rFonts w:hint="default" w:ascii="Times New Roman" w:hAnsi="Times New Roman" w:eastAsia="宋体" w:cs="Times New Roman"/>
                      <w:b/>
                      <w:bCs/>
                      <w:color w:val="auto"/>
                      <w:sz w:val="21"/>
                      <w:szCs w:val="21"/>
                    </w:rPr>
                    <w:t>/t</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25B57C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临界量Q</w:t>
                  </w:r>
                  <w:r>
                    <w:rPr>
                      <w:rFonts w:hint="default" w:ascii="Times New Roman" w:hAnsi="Times New Roman" w:eastAsia="宋体" w:cs="Times New Roman"/>
                      <w:b/>
                      <w:bCs/>
                      <w:color w:val="auto"/>
                      <w:sz w:val="21"/>
                      <w:szCs w:val="21"/>
                      <w:vertAlign w:val="subscript"/>
                    </w:rPr>
                    <w:t>n</w:t>
                  </w:r>
                  <w:r>
                    <w:rPr>
                      <w:rFonts w:hint="default" w:ascii="Times New Roman" w:hAnsi="Times New Roman" w:eastAsia="宋体" w:cs="Times New Roman"/>
                      <w:b/>
                      <w:bCs/>
                      <w:color w:val="auto"/>
                      <w:sz w:val="21"/>
                      <w:szCs w:val="21"/>
                    </w:rPr>
                    <w:t>/t</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E7B0D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该种危险物质Q值</w:t>
                  </w:r>
                </w:p>
              </w:tc>
            </w:tr>
            <w:tr w14:paraId="3997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6" w:type="dxa"/>
                  <w:tcBorders>
                    <w:top w:val="single" w:color="auto" w:sz="4" w:space="0"/>
                    <w:left w:val="single" w:color="auto" w:sz="4" w:space="0"/>
                    <w:bottom w:val="single" w:color="auto" w:sz="4" w:space="0"/>
                    <w:right w:val="single" w:color="auto" w:sz="4" w:space="0"/>
                  </w:tcBorders>
                  <w:noWrap w:val="0"/>
                  <w:vAlign w:val="center"/>
                </w:tcPr>
                <w:p w14:paraId="399278F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007066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w:t>
                  </w:r>
                  <w:r>
                    <w:rPr>
                      <w:rFonts w:hint="default" w:ascii="Times New Roman" w:hAnsi="Times New Roman" w:eastAsia="宋体" w:cs="Times New Roman"/>
                      <w:color w:val="auto"/>
                      <w:sz w:val="21"/>
                      <w:szCs w:val="21"/>
                      <w:lang w:val="en-US" w:eastAsia="zh-CN"/>
                    </w:rPr>
                    <w:t>润滑</w:t>
                  </w:r>
                  <w:r>
                    <w:rPr>
                      <w:rFonts w:hint="default" w:ascii="Times New Roman" w:hAnsi="Times New Roman" w:eastAsia="宋体" w:cs="Times New Roman"/>
                      <w:color w:val="auto"/>
                      <w:sz w:val="21"/>
                      <w:szCs w:val="21"/>
                    </w:rPr>
                    <w:t>油</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31C53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3FF8C2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3FDDD8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D12E3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0.00004</w:t>
                  </w:r>
                </w:p>
              </w:tc>
            </w:tr>
            <w:tr w14:paraId="06DC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6" w:type="dxa"/>
                  <w:tcBorders>
                    <w:top w:val="single" w:color="auto" w:sz="4" w:space="0"/>
                    <w:left w:val="single" w:color="auto" w:sz="4" w:space="0"/>
                    <w:bottom w:val="single" w:color="auto" w:sz="4" w:space="0"/>
                    <w:right w:val="single" w:color="auto" w:sz="4" w:space="0"/>
                  </w:tcBorders>
                  <w:noWrap w:val="0"/>
                  <w:vAlign w:val="center"/>
                </w:tcPr>
                <w:p w14:paraId="43101B9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B59C02F">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柴油</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1E380B0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A2954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0.5</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58E5EE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2500</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C0DFA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0.0002</w:t>
                  </w:r>
                </w:p>
              </w:tc>
            </w:tr>
            <w:tr w14:paraId="762D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01" w:type="dxa"/>
                  <w:gridSpan w:val="5"/>
                  <w:tcBorders>
                    <w:top w:val="single" w:color="auto" w:sz="4" w:space="0"/>
                    <w:left w:val="single" w:color="auto" w:sz="4" w:space="0"/>
                    <w:bottom w:val="single" w:color="auto" w:sz="4" w:space="0"/>
                    <w:right w:val="single" w:color="auto" w:sz="4" w:space="0"/>
                  </w:tcBorders>
                  <w:noWrap w:val="0"/>
                  <w:vAlign w:val="center"/>
                </w:tcPr>
                <w:p w14:paraId="2AE75CB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z w:val="21"/>
                      <w:szCs w:val="21"/>
                    </w:rPr>
                    <w:t>项目Q值∑</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295D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0.00024</w:t>
                  </w:r>
                </w:p>
              </w:tc>
            </w:tr>
          </w:tbl>
          <w:p w14:paraId="7D8FAE09">
            <w:pPr>
              <w:keepNext w:val="0"/>
              <w:keepLines w:val="0"/>
              <w:suppressLineNumbers w:val="0"/>
              <w:spacing w:before="120" w:beforeLines="5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由上表可知，</w:t>
            </w:r>
            <w:r>
              <w:rPr>
                <w:rFonts w:hint="default" w:ascii="Times New Roman" w:hAnsi="Times New Roman" w:eastAsia="宋体" w:cs="Times New Roman"/>
                <w:color w:val="auto"/>
                <w:sz w:val="24"/>
                <w:szCs w:val="24"/>
              </w:rPr>
              <w:t>本项目Q</w:t>
            </w:r>
            <w:r>
              <w:rPr>
                <w:rFonts w:hint="eastAsia" w:cs="Times New Roman"/>
                <w:color w:val="auto"/>
                <w:sz w:val="24"/>
                <w:szCs w:val="24"/>
                <w:lang w:val="en-US" w:eastAsia="zh-CN"/>
              </w:rPr>
              <w:t>=</w:t>
            </w:r>
            <w:r>
              <w:rPr>
                <w:rFonts w:hint="default" w:ascii="Times New Roman" w:hAnsi="Times New Roman" w:eastAsia="宋体" w:cs="Times New Roman"/>
                <w:i w:val="0"/>
                <w:iCs w:val="0"/>
                <w:color w:val="auto"/>
                <w:kern w:val="0"/>
                <w:sz w:val="24"/>
                <w:szCs w:val="24"/>
                <w:u w:val="none"/>
                <w:lang w:val="en-US" w:eastAsia="zh-CN" w:bidi="ar"/>
              </w:rPr>
              <w:t>0.00024</w:t>
            </w:r>
            <w:r>
              <w:rPr>
                <w:rFonts w:hint="default" w:ascii="Times New Roman" w:hAnsi="Times New Roman" w:eastAsia="宋体" w:cs="Times New Roman"/>
                <w:color w:val="auto"/>
                <w:sz w:val="24"/>
                <w:szCs w:val="24"/>
              </w:rPr>
              <w:t>&lt;1，环境风险潜势为</w:t>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 1 \* ROMAN \* MERGEFORMAT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I</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w:t>
            </w:r>
          </w:p>
          <w:p w14:paraId="749AC4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szCs w:val="24"/>
              </w:rPr>
              <w:t>根据《建设项目环境风险评价技术导则</w:t>
            </w:r>
            <w:r>
              <w:rPr>
                <w:rFonts w:hint="default" w:ascii="Times New Roman" w:hAnsi="Times New Roman" w:eastAsia="宋体" w:cs="Times New Roman"/>
                <w:color w:val="auto"/>
                <w:sz w:val="24"/>
              </w:rPr>
              <w:t>》（HJ169-2018），环境风险评价工作等级根据项目涉及的物质及工艺系统危害性和所在地的环境敏感性确定环境风险潜势，按下表确定评价工作等级。</w:t>
            </w:r>
          </w:p>
          <w:p w14:paraId="31242D50">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19</w:t>
            </w:r>
            <w:r>
              <w:rPr>
                <w:rFonts w:hint="default" w:ascii="Times New Roman" w:hAnsi="Times New Roman" w:eastAsia="宋体" w:cs="Times New Roman"/>
                <w:b/>
                <w:bCs/>
                <w:color w:val="auto"/>
                <w:sz w:val="21"/>
                <w:szCs w:val="21"/>
              </w:rPr>
              <w:t xml:space="preserve">  环境风险评价工作等级划分</w:t>
            </w:r>
          </w:p>
          <w:tbl>
            <w:tblPr>
              <w:tblStyle w:val="36"/>
              <w:tblW w:w="8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1639"/>
              <w:gridCol w:w="1559"/>
              <w:gridCol w:w="1771"/>
              <w:gridCol w:w="1575"/>
            </w:tblGrid>
            <w:tr w14:paraId="00E8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2" w:type="dxa"/>
                  <w:tcBorders>
                    <w:top w:val="single" w:color="auto" w:sz="4" w:space="0"/>
                    <w:left w:val="single" w:color="auto" w:sz="4" w:space="0"/>
                    <w:bottom w:val="single" w:color="auto" w:sz="4" w:space="0"/>
                    <w:right w:val="single" w:color="auto" w:sz="4" w:space="0"/>
                  </w:tcBorders>
                  <w:noWrap w:val="0"/>
                  <w:vAlign w:val="center"/>
                </w:tcPr>
                <w:p w14:paraId="102D6EF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环境风险潜势</w:t>
                  </w:r>
                </w:p>
              </w:tc>
              <w:tc>
                <w:tcPr>
                  <w:tcW w:w="1639" w:type="dxa"/>
                  <w:tcBorders>
                    <w:top w:val="single" w:color="auto" w:sz="4" w:space="0"/>
                    <w:left w:val="single" w:color="auto" w:sz="4" w:space="0"/>
                    <w:bottom w:val="single" w:color="auto" w:sz="4" w:space="0"/>
                    <w:right w:val="single" w:color="auto" w:sz="4" w:space="0"/>
                  </w:tcBorders>
                  <w:noWrap w:val="0"/>
                  <w:vAlign w:val="center"/>
                </w:tcPr>
                <w:p w14:paraId="2CEF44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fldChar w:fldCharType="begin"/>
                  </w:r>
                  <w:r>
                    <w:rPr>
                      <w:rFonts w:hint="default" w:ascii="Times New Roman" w:hAnsi="Times New Roman" w:eastAsia="宋体" w:cs="Times New Roman"/>
                      <w:color w:val="auto"/>
                      <w:szCs w:val="21"/>
                    </w:rPr>
                    <w:instrText xml:space="preserve"> = 4 \* ROMAN \* MERGEFORMAT </w:instrText>
                  </w:r>
                  <w:r>
                    <w:rPr>
                      <w:rFonts w:hint="default" w:ascii="Times New Roman" w:hAnsi="Times New Roman" w:eastAsia="宋体" w:cs="Times New Roman"/>
                      <w:color w:val="auto"/>
                      <w:szCs w:val="21"/>
                    </w:rPr>
                    <w:fldChar w:fldCharType="separate"/>
                  </w:r>
                  <w:r>
                    <w:rPr>
                      <w:rFonts w:hint="default" w:ascii="Times New Roman" w:hAnsi="Times New Roman" w:eastAsia="宋体" w:cs="Times New Roman"/>
                      <w:color w:val="auto"/>
                      <w:szCs w:val="21"/>
                    </w:rPr>
                    <w:t>IV</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rPr>
                    <w:fldChar w:fldCharType="begin"/>
                  </w:r>
                  <w:r>
                    <w:rPr>
                      <w:rFonts w:hint="default" w:ascii="Times New Roman" w:hAnsi="Times New Roman" w:eastAsia="宋体" w:cs="Times New Roman"/>
                      <w:color w:val="auto"/>
                      <w:szCs w:val="21"/>
                    </w:rPr>
                    <w:instrText xml:space="preserve"> = 4 \* ROMAN \* MERGEFORMAT </w:instrText>
                  </w:r>
                  <w:r>
                    <w:rPr>
                      <w:rFonts w:hint="default" w:ascii="Times New Roman" w:hAnsi="Times New Roman" w:eastAsia="宋体" w:cs="Times New Roman"/>
                      <w:color w:val="auto"/>
                      <w:szCs w:val="21"/>
                    </w:rPr>
                    <w:fldChar w:fldCharType="separate"/>
                  </w:r>
                  <w:r>
                    <w:rPr>
                      <w:rFonts w:hint="default" w:ascii="Times New Roman" w:hAnsi="Times New Roman" w:eastAsia="宋体" w:cs="Times New Roman"/>
                      <w:color w:val="auto"/>
                      <w:szCs w:val="21"/>
                    </w:rPr>
                    <w:t>IV</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vertAlign w:val="superscript"/>
                    </w:rPr>
                    <w:t>+</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E7573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fldChar w:fldCharType="begin"/>
                  </w:r>
                  <w:r>
                    <w:rPr>
                      <w:rFonts w:hint="default" w:ascii="Times New Roman" w:hAnsi="Times New Roman" w:eastAsia="宋体" w:cs="Times New Roman"/>
                      <w:color w:val="auto"/>
                      <w:szCs w:val="21"/>
                    </w:rPr>
                    <w:instrText xml:space="preserve"> = 3 \* ROMAN \* MERGEFORMAT </w:instrText>
                  </w:r>
                  <w:r>
                    <w:rPr>
                      <w:rFonts w:hint="default" w:ascii="Times New Roman" w:hAnsi="Times New Roman" w:eastAsia="宋体" w:cs="Times New Roman"/>
                      <w:color w:val="auto"/>
                      <w:szCs w:val="21"/>
                    </w:rPr>
                    <w:fldChar w:fldCharType="separate"/>
                  </w:r>
                  <w:r>
                    <w:rPr>
                      <w:rFonts w:hint="default" w:ascii="Times New Roman" w:hAnsi="Times New Roman" w:eastAsia="宋体" w:cs="Times New Roman"/>
                      <w:color w:val="auto"/>
                      <w:szCs w:val="21"/>
                    </w:rPr>
                    <w:t>III</w:t>
                  </w:r>
                  <w:r>
                    <w:rPr>
                      <w:rFonts w:hint="default" w:ascii="Times New Roman" w:hAnsi="Times New Roman" w:eastAsia="宋体" w:cs="Times New Roman"/>
                      <w:color w:val="auto"/>
                      <w:szCs w:val="21"/>
                    </w:rPr>
                    <w:fldChar w:fldCharType="end"/>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6F920A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fldChar w:fldCharType="begin"/>
                  </w:r>
                  <w:r>
                    <w:rPr>
                      <w:rFonts w:hint="default" w:ascii="Times New Roman" w:hAnsi="Times New Roman" w:eastAsia="宋体" w:cs="Times New Roman"/>
                      <w:bCs/>
                      <w:color w:val="auto"/>
                      <w:szCs w:val="21"/>
                    </w:rPr>
                    <w:instrText xml:space="preserve"> = 2 \* ROMAN \* MERGEFORMAT </w:instrText>
                  </w:r>
                  <w:r>
                    <w:rPr>
                      <w:rFonts w:hint="default" w:ascii="Times New Roman" w:hAnsi="Times New Roman" w:eastAsia="宋体" w:cs="Times New Roman"/>
                      <w:bCs/>
                      <w:color w:val="auto"/>
                      <w:szCs w:val="21"/>
                    </w:rPr>
                    <w:fldChar w:fldCharType="separate"/>
                  </w:r>
                  <w:r>
                    <w:rPr>
                      <w:rFonts w:hint="default" w:ascii="Times New Roman" w:hAnsi="Times New Roman" w:eastAsia="宋体" w:cs="Times New Roman"/>
                      <w:bCs/>
                      <w:color w:val="auto"/>
                      <w:szCs w:val="21"/>
                    </w:rPr>
                    <w:t>II</w:t>
                  </w:r>
                  <w:r>
                    <w:rPr>
                      <w:rFonts w:hint="default" w:ascii="Times New Roman" w:hAnsi="Times New Roman" w:eastAsia="宋体" w:cs="Times New Roman"/>
                      <w:bCs/>
                      <w:color w:val="auto"/>
                      <w:szCs w:val="21"/>
                    </w:rPr>
                    <w:fldChar w:fldCharType="end"/>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5BC74D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Ⅰ</w:t>
                  </w:r>
                </w:p>
              </w:tc>
            </w:tr>
            <w:tr w14:paraId="238A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52" w:type="dxa"/>
                  <w:tcBorders>
                    <w:top w:val="single" w:color="auto" w:sz="4" w:space="0"/>
                    <w:left w:val="single" w:color="auto" w:sz="4" w:space="0"/>
                    <w:bottom w:val="single" w:color="auto" w:sz="4" w:space="0"/>
                    <w:right w:val="single" w:color="auto" w:sz="4" w:space="0"/>
                  </w:tcBorders>
                  <w:noWrap w:val="0"/>
                  <w:vAlign w:val="center"/>
                </w:tcPr>
                <w:p w14:paraId="2CD29CB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评价工作等级</w:t>
                  </w:r>
                </w:p>
              </w:tc>
              <w:tc>
                <w:tcPr>
                  <w:tcW w:w="1639" w:type="dxa"/>
                  <w:tcBorders>
                    <w:top w:val="single" w:color="auto" w:sz="4" w:space="0"/>
                    <w:left w:val="single" w:color="auto" w:sz="4" w:space="0"/>
                    <w:bottom w:val="single" w:color="auto" w:sz="4" w:space="0"/>
                    <w:right w:val="single" w:color="auto" w:sz="4" w:space="0"/>
                  </w:tcBorders>
                  <w:noWrap w:val="0"/>
                  <w:vAlign w:val="center"/>
                </w:tcPr>
                <w:p w14:paraId="68DAB0B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8C00C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27C58BE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三</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3D2C0C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简单评价</w:t>
                  </w:r>
                </w:p>
              </w:tc>
            </w:tr>
          </w:tbl>
          <w:p w14:paraId="537943C7">
            <w:pPr>
              <w:pStyle w:val="24"/>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综上分析，本项目环境风险评价工作等级为简单分析。</w:t>
            </w:r>
          </w:p>
          <w:p w14:paraId="384CB7F8">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（3）环境风险影响分析</w:t>
            </w:r>
          </w:p>
          <w:p w14:paraId="5C61AA93">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bCs/>
                <w:color w:val="auto"/>
                <w:sz w:val="24"/>
              </w:rPr>
              <w:t>项目涉及危险物质主要为废</w:t>
            </w:r>
            <w:r>
              <w:rPr>
                <w:rFonts w:hint="default" w:ascii="Times New Roman" w:hAnsi="Times New Roman" w:eastAsia="宋体" w:cs="Times New Roman"/>
                <w:bCs/>
                <w:color w:val="auto"/>
                <w:sz w:val="24"/>
                <w:lang w:val="en-US" w:eastAsia="zh-CN"/>
              </w:rPr>
              <w:t>润滑</w:t>
            </w:r>
            <w:r>
              <w:rPr>
                <w:rFonts w:hint="default" w:ascii="Times New Roman" w:hAnsi="Times New Roman" w:eastAsia="宋体" w:cs="Times New Roman"/>
                <w:bCs/>
                <w:color w:val="auto"/>
                <w:sz w:val="24"/>
              </w:rPr>
              <w:t>油</w:t>
            </w:r>
            <w:r>
              <w:rPr>
                <w:rFonts w:hint="eastAsia" w:cs="Times New Roman"/>
                <w:bCs/>
                <w:color w:val="auto"/>
                <w:sz w:val="24"/>
                <w:lang w:eastAsia="zh-CN"/>
              </w:rPr>
              <w:t>、</w:t>
            </w:r>
            <w:r>
              <w:rPr>
                <w:rFonts w:hint="eastAsia" w:cs="Times New Roman"/>
                <w:bCs/>
                <w:color w:val="auto"/>
                <w:sz w:val="24"/>
                <w:lang w:val="en-US" w:eastAsia="zh-CN"/>
              </w:rPr>
              <w:t>柴油等油类物质</w:t>
            </w:r>
            <w:r>
              <w:rPr>
                <w:rFonts w:hint="default" w:ascii="Times New Roman" w:hAnsi="Times New Roman" w:eastAsia="宋体" w:cs="Times New Roman"/>
                <w:bCs/>
                <w:color w:val="auto"/>
                <w:sz w:val="24"/>
              </w:rPr>
              <w:t>，在收集、贮存过程中管理不当，造成物质泄漏，可能会造成土壤和地下水</w:t>
            </w:r>
            <w:r>
              <w:rPr>
                <w:rFonts w:hint="default" w:ascii="Times New Roman" w:hAnsi="Times New Roman" w:eastAsia="宋体" w:cs="Times New Roman"/>
                <w:bCs/>
                <w:color w:val="auto"/>
                <w:sz w:val="24"/>
                <w:lang w:val="en-US" w:eastAsia="zh-CN"/>
              </w:rPr>
              <w:t>及地表水</w:t>
            </w:r>
            <w:r>
              <w:rPr>
                <w:rFonts w:hint="default" w:ascii="Times New Roman" w:hAnsi="Times New Roman" w:eastAsia="宋体" w:cs="Times New Roman"/>
                <w:bCs/>
                <w:color w:val="auto"/>
                <w:sz w:val="24"/>
              </w:rPr>
              <w:t>环境的污染，泄漏的</w:t>
            </w:r>
            <w:r>
              <w:rPr>
                <w:rFonts w:hint="eastAsia" w:cs="Times New Roman"/>
                <w:bCs/>
                <w:color w:val="auto"/>
                <w:sz w:val="24"/>
                <w:lang w:val="en-US" w:eastAsia="zh-CN"/>
              </w:rPr>
              <w:t>油品</w:t>
            </w:r>
            <w:r>
              <w:rPr>
                <w:rFonts w:hint="default" w:ascii="Times New Roman" w:hAnsi="Times New Roman" w:eastAsia="宋体" w:cs="Times New Roman"/>
                <w:bCs/>
                <w:color w:val="auto"/>
                <w:sz w:val="24"/>
              </w:rPr>
              <w:t>如遇明火会引发火灾，火灾情况下对大气环境的影响。其次</w:t>
            </w:r>
            <w:r>
              <w:rPr>
                <w:rFonts w:hint="default" w:ascii="Times New Roman" w:hAnsi="Times New Roman" w:eastAsia="宋体" w:cs="Times New Roman"/>
                <w:color w:val="000000"/>
                <w:kern w:val="0"/>
                <w:sz w:val="24"/>
                <w:szCs w:val="24"/>
                <w:lang w:val="en-US" w:eastAsia="zh-CN" w:bidi="ar"/>
              </w:rPr>
              <w:t>废气治理设施因停电或故障未能正常运行时，有机废气未经处理直接排放</w:t>
            </w:r>
            <w:r>
              <w:rPr>
                <w:rFonts w:hint="default" w:ascii="Times New Roman" w:hAnsi="Times New Roman" w:eastAsia="宋体" w:cs="Times New Roman"/>
                <w:bCs/>
                <w:color w:val="auto"/>
                <w:sz w:val="24"/>
              </w:rPr>
              <w:t>，对大气环境产生一定的影响。</w:t>
            </w:r>
            <w:r>
              <w:rPr>
                <w:rFonts w:hint="default" w:ascii="Times New Roman" w:hAnsi="Times New Roman" w:eastAsia="宋体" w:cs="Times New Roman"/>
                <w:color w:val="000000"/>
                <w:kern w:val="0"/>
                <w:sz w:val="24"/>
                <w:szCs w:val="24"/>
                <w:lang w:val="en-US" w:eastAsia="zh-CN" w:bidi="ar"/>
              </w:rPr>
              <w:t xml:space="preserve"> </w:t>
            </w:r>
          </w:p>
          <w:p w14:paraId="6456F32E">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eastAsia" w:cs="Times New Roman"/>
                <w:color w:val="000000"/>
                <w:kern w:val="0"/>
                <w:sz w:val="24"/>
                <w:szCs w:val="24"/>
                <w:lang w:val="en-US" w:eastAsia="zh-CN" w:bidi="ar"/>
              </w:rPr>
              <w:t>①</w:t>
            </w:r>
            <w:r>
              <w:rPr>
                <w:rFonts w:hint="default" w:ascii="Times New Roman" w:hAnsi="Times New Roman" w:eastAsia="宋体" w:cs="Times New Roman"/>
                <w:color w:val="000000"/>
                <w:kern w:val="0"/>
                <w:sz w:val="24"/>
                <w:szCs w:val="24"/>
                <w:lang w:val="en-US" w:eastAsia="zh-CN" w:bidi="ar"/>
              </w:rPr>
              <w:t xml:space="preserve">地表水环境风险影响分析 </w:t>
            </w:r>
          </w:p>
          <w:p w14:paraId="36C25638">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eastAsia" w:cs="Times New Roman"/>
                <w:color w:val="000000"/>
                <w:kern w:val="0"/>
                <w:sz w:val="24"/>
                <w:szCs w:val="24"/>
                <w:lang w:val="en-US" w:eastAsia="zh-CN" w:bidi="ar"/>
              </w:rPr>
              <w:t>厂区内暂存的柴油、废润滑油等油类物质</w:t>
            </w:r>
            <w:r>
              <w:rPr>
                <w:rFonts w:hint="default" w:ascii="Times New Roman" w:hAnsi="Times New Roman" w:eastAsia="宋体" w:cs="Times New Roman"/>
                <w:color w:val="000000"/>
                <w:kern w:val="0"/>
                <w:sz w:val="24"/>
                <w:szCs w:val="24"/>
                <w:lang w:val="en-US" w:eastAsia="zh-CN" w:bidi="ar"/>
              </w:rPr>
              <w:t>存在泄漏风险。泄漏物料可能会进入雨水管道、地表水体，对地表水体环境产生一定影响，甚至通过下渗对地下水和土壤造成影响；泄漏</w:t>
            </w:r>
            <w:r>
              <w:rPr>
                <w:rFonts w:hint="eastAsia" w:cs="Times New Roman"/>
                <w:color w:val="000000"/>
                <w:kern w:val="0"/>
                <w:sz w:val="24"/>
                <w:szCs w:val="24"/>
                <w:lang w:val="en-US" w:eastAsia="zh-CN" w:bidi="ar"/>
              </w:rPr>
              <w:t>物</w:t>
            </w:r>
            <w:r>
              <w:rPr>
                <w:rFonts w:hint="default" w:ascii="Times New Roman" w:hAnsi="Times New Roman" w:eastAsia="宋体" w:cs="Times New Roman"/>
                <w:color w:val="000000"/>
                <w:kern w:val="0"/>
                <w:sz w:val="24"/>
                <w:szCs w:val="24"/>
                <w:lang w:val="en-US" w:eastAsia="zh-CN" w:bidi="ar"/>
              </w:rPr>
              <w:t>一旦进入周边水体，将造成水体的污染，由于</w:t>
            </w:r>
            <w:r>
              <w:rPr>
                <w:rFonts w:hint="eastAsia" w:cs="Times New Roman"/>
                <w:color w:val="000000"/>
                <w:kern w:val="0"/>
                <w:sz w:val="24"/>
                <w:szCs w:val="24"/>
                <w:lang w:val="en-US" w:eastAsia="zh-CN" w:bidi="ar"/>
              </w:rPr>
              <w:t>油类物质</w:t>
            </w:r>
            <w:r>
              <w:rPr>
                <w:rFonts w:hint="default" w:ascii="Times New Roman" w:hAnsi="Times New Roman" w:eastAsia="宋体" w:cs="Times New Roman"/>
                <w:color w:val="000000"/>
                <w:kern w:val="0"/>
                <w:sz w:val="24"/>
                <w:szCs w:val="24"/>
                <w:lang w:val="en-US" w:eastAsia="zh-CN" w:bidi="ar"/>
              </w:rPr>
              <w:t>难溶于水，大部分上浮在水层表面，形成一层油膜使空气隔离，造成水中溶解氧浓度降低，逐渐形成死水，致使水中生物死亡。且油</w:t>
            </w:r>
            <w:r>
              <w:rPr>
                <w:rFonts w:hint="eastAsia" w:cs="Times New Roman"/>
                <w:color w:val="000000"/>
                <w:kern w:val="0"/>
                <w:sz w:val="24"/>
                <w:szCs w:val="24"/>
                <w:lang w:val="en-US" w:eastAsia="zh-CN" w:bidi="ar"/>
              </w:rPr>
              <w:t>类物质</w:t>
            </w:r>
            <w:r>
              <w:rPr>
                <w:rFonts w:hint="default" w:ascii="Times New Roman" w:hAnsi="Times New Roman" w:eastAsia="宋体" w:cs="Times New Roman"/>
                <w:color w:val="000000"/>
                <w:kern w:val="0"/>
                <w:sz w:val="24"/>
                <w:szCs w:val="24"/>
                <w:lang w:val="en-US" w:eastAsia="zh-CN" w:bidi="ar"/>
              </w:rPr>
              <w:t xml:space="preserve">遇明火发生火灾事故时需使用大量水来灭火，此过程会产生大量消防废水，消防废水一旦进入周边地表水体，将造成地表水体的污染。 </w:t>
            </w:r>
          </w:p>
          <w:p w14:paraId="4D928BC1">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eastAsia" w:cs="Times New Roman"/>
                <w:color w:val="000000"/>
                <w:kern w:val="0"/>
                <w:sz w:val="24"/>
                <w:szCs w:val="24"/>
                <w:lang w:val="en-US" w:eastAsia="zh-CN" w:bidi="ar"/>
              </w:rPr>
              <w:t>②</w:t>
            </w:r>
            <w:r>
              <w:rPr>
                <w:rFonts w:hint="default" w:ascii="Times New Roman" w:hAnsi="Times New Roman" w:eastAsia="宋体" w:cs="Times New Roman"/>
                <w:color w:val="000000"/>
                <w:kern w:val="0"/>
                <w:sz w:val="24"/>
                <w:szCs w:val="24"/>
                <w:lang w:val="en-US" w:eastAsia="zh-CN" w:bidi="ar"/>
              </w:rPr>
              <w:t xml:space="preserve">大气环境风险影响分析 </w:t>
            </w:r>
          </w:p>
          <w:p w14:paraId="4E3AC49E">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废润滑油</w:t>
            </w:r>
            <w:r>
              <w:rPr>
                <w:rFonts w:hint="eastAsia" w:cs="Times New Roman"/>
                <w:color w:val="000000"/>
                <w:kern w:val="0"/>
                <w:sz w:val="24"/>
                <w:szCs w:val="24"/>
                <w:lang w:val="en-US" w:eastAsia="zh-CN" w:bidi="ar"/>
              </w:rPr>
              <w:t>、柴油等油类物质</w:t>
            </w:r>
            <w:r>
              <w:rPr>
                <w:rFonts w:hint="default" w:ascii="Times New Roman" w:hAnsi="Times New Roman" w:eastAsia="宋体" w:cs="Times New Roman"/>
                <w:color w:val="000000"/>
                <w:kern w:val="0"/>
                <w:sz w:val="24"/>
                <w:szCs w:val="24"/>
                <w:lang w:val="en-US" w:eastAsia="zh-CN" w:bidi="ar"/>
              </w:rPr>
              <w:t>遇明火发生火灾事故，产生CO和 CO</w:t>
            </w:r>
            <w:r>
              <w:rPr>
                <w:rFonts w:hint="default" w:ascii="Times New Roman" w:hAnsi="Times New Roman" w:eastAsia="宋体" w:cs="Times New Roman"/>
                <w:color w:val="000000"/>
                <w:kern w:val="0"/>
                <w:sz w:val="24"/>
                <w:szCs w:val="24"/>
                <w:vertAlign w:val="subscript"/>
                <w:lang w:val="en-US" w:eastAsia="zh-CN" w:bidi="ar"/>
              </w:rPr>
              <w:t>2</w:t>
            </w:r>
            <w:r>
              <w:rPr>
                <w:rFonts w:hint="default" w:ascii="Times New Roman" w:hAnsi="Times New Roman" w:eastAsia="宋体" w:cs="Times New Roman"/>
                <w:color w:val="000000"/>
                <w:kern w:val="0"/>
                <w:sz w:val="24"/>
                <w:szCs w:val="24"/>
                <w:lang w:val="en-US" w:eastAsia="zh-CN" w:bidi="ar"/>
              </w:rPr>
              <w:t xml:space="preserve"> 等污染物，排放到大气环境中会污染大气环境，项目区存储量较小，发生火灾爆炸事故的概率较小，在发生火灾时能够及时采取措施在最短时间内将火扑灭，废气产生量很小，在扑灭后经空气扩散稀释后对大气环境影响较小。废气治理设施因停电或故障未能正常运行时，有机废气未经处理直接排放，造成局部大气不良影响。 </w:t>
            </w:r>
          </w:p>
          <w:p w14:paraId="2CE8327F">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rPr>
            </w:pPr>
            <w:r>
              <w:rPr>
                <w:rFonts w:hint="default" w:ascii="Times New Roman" w:hAnsi="Times New Roman" w:eastAsia="宋体" w:cs="Times New Roman"/>
                <w:b/>
                <w:bCs/>
                <w:color w:val="000000"/>
                <w:kern w:val="0"/>
                <w:sz w:val="24"/>
                <w:szCs w:val="24"/>
                <w:lang w:val="en-US" w:eastAsia="zh-CN" w:bidi="ar"/>
              </w:rPr>
              <w:t xml:space="preserve">（4）环境风险防范措施 </w:t>
            </w:r>
          </w:p>
          <w:p w14:paraId="57AF67E4">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针对本项目可能产生的风险类别，建设单位应考虑采取一系列防范措施，为进一步减少风险事故可能产生的环境影响，建议在采取预防措施基础上加强以下风险防范和管理措施。 </w:t>
            </w:r>
          </w:p>
          <w:p w14:paraId="2A2311C9">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b/>
                <w:bCs/>
                <w:color w:val="000000"/>
                <w:kern w:val="0"/>
                <w:sz w:val="24"/>
                <w:szCs w:val="24"/>
                <w:lang w:val="en-US" w:eastAsia="zh-CN" w:bidi="ar"/>
              </w:rPr>
              <w:t xml:space="preserve">1）环境风险管理 </w:t>
            </w:r>
          </w:p>
          <w:p w14:paraId="3071BF13">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为了有效地防范油品</w:t>
            </w:r>
            <w:r>
              <w:rPr>
                <w:rFonts w:hint="eastAsia" w:cs="Times New Roman"/>
                <w:color w:val="000000"/>
                <w:kern w:val="0"/>
                <w:sz w:val="24"/>
                <w:szCs w:val="24"/>
                <w:lang w:val="en-US" w:eastAsia="zh-CN" w:bidi="ar"/>
              </w:rPr>
              <w:t>泄漏</w:t>
            </w:r>
            <w:r>
              <w:rPr>
                <w:rFonts w:hint="default" w:ascii="Times New Roman" w:hAnsi="Times New Roman" w:eastAsia="宋体" w:cs="Times New Roman"/>
                <w:color w:val="000000"/>
                <w:kern w:val="0"/>
                <w:sz w:val="24"/>
                <w:szCs w:val="24"/>
                <w:lang w:val="en-US" w:eastAsia="zh-CN" w:bidi="ar"/>
              </w:rPr>
              <w:t>、火灾等事故的发生，场内应制定事故应急手册，员工还需要对杜绝油品</w:t>
            </w:r>
            <w:r>
              <w:rPr>
                <w:rFonts w:hint="eastAsia" w:cs="Times New Roman"/>
                <w:color w:val="000000"/>
                <w:kern w:val="0"/>
                <w:sz w:val="24"/>
                <w:szCs w:val="24"/>
                <w:lang w:val="en-US" w:eastAsia="zh-CN" w:bidi="ar"/>
              </w:rPr>
              <w:t>泄漏</w:t>
            </w:r>
            <w:r>
              <w:rPr>
                <w:rFonts w:hint="default" w:ascii="Times New Roman" w:hAnsi="Times New Roman" w:eastAsia="宋体" w:cs="Times New Roman"/>
                <w:color w:val="000000"/>
                <w:kern w:val="0"/>
                <w:sz w:val="24"/>
                <w:szCs w:val="24"/>
                <w:lang w:val="en-US" w:eastAsia="zh-CN" w:bidi="ar"/>
              </w:rPr>
              <w:t xml:space="preserve">、消除火灾的措施及消防器材的使用等知识加以了解和掌握。 </w:t>
            </w:r>
          </w:p>
          <w:p w14:paraId="0812A038">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rPr>
            </w:pPr>
            <w:r>
              <w:rPr>
                <w:rFonts w:hint="default" w:ascii="Times New Roman" w:hAnsi="Times New Roman" w:eastAsia="宋体" w:cs="Times New Roman"/>
                <w:b/>
                <w:bCs/>
                <w:color w:val="000000"/>
                <w:kern w:val="0"/>
                <w:sz w:val="24"/>
                <w:szCs w:val="24"/>
                <w:lang w:val="en-US" w:eastAsia="zh-CN" w:bidi="ar"/>
              </w:rPr>
              <w:t>2）</w:t>
            </w:r>
            <w:r>
              <w:rPr>
                <w:rFonts w:hint="eastAsia" w:cs="Times New Roman"/>
                <w:b/>
                <w:bCs/>
                <w:color w:val="000000"/>
                <w:kern w:val="0"/>
                <w:sz w:val="24"/>
                <w:szCs w:val="24"/>
                <w:lang w:val="en-US" w:eastAsia="zh-CN" w:bidi="ar"/>
              </w:rPr>
              <w:t>物料泄漏</w:t>
            </w:r>
            <w:r>
              <w:rPr>
                <w:rFonts w:hint="default" w:ascii="Times New Roman" w:hAnsi="Times New Roman" w:eastAsia="宋体" w:cs="Times New Roman"/>
                <w:b/>
                <w:bCs/>
                <w:color w:val="000000"/>
                <w:kern w:val="0"/>
                <w:sz w:val="24"/>
                <w:szCs w:val="24"/>
                <w:lang w:val="en-US" w:eastAsia="zh-CN" w:bidi="ar"/>
              </w:rPr>
              <w:t xml:space="preserve">的防范措施 </w:t>
            </w:r>
          </w:p>
          <w:p w14:paraId="3E1E6313">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①</w:t>
            </w:r>
            <w:r>
              <w:rPr>
                <w:rFonts w:hint="eastAsia" w:cs="Times New Roman"/>
                <w:color w:val="000000"/>
                <w:kern w:val="0"/>
                <w:sz w:val="24"/>
                <w:szCs w:val="24"/>
                <w:lang w:val="en-US" w:eastAsia="zh-CN" w:bidi="ar"/>
              </w:rPr>
              <w:t>危废贮存库</w:t>
            </w:r>
            <w:r>
              <w:rPr>
                <w:rFonts w:hint="default" w:ascii="Times New Roman" w:hAnsi="Times New Roman" w:eastAsia="宋体" w:cs="Times New Roman"/>
                <w:color w:val="000000"/>
                <w:kern w:val="0"/>
                <w:sz w:val="24"/>
                <w:szCs w:val="24"/>
                <w:lang w:val="en-US" w:eastAsia="zh-CN" w:bidi="ar"/>
              </w:rPr>
              <w:t>进行防雨、防渗、防流失处理，房间设置明显标识，远离火种、热源</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废润滑油采用专用收集桶收集后暂存于</w:t>
            </w:r>
            <w:r>
              <w:rPr>
                <w:rFonts w:hint="eastAsia" w:cs="Times New Roman"/>
                <w:color w:val="000000"/>
                <w:kern w:val="0"/>
                <w:sz w:val="24"/>
                <w:szCs w:val="24"/>
                <w:lang w:val="en-US" w:eastAsia="zh-CN" w:bidi="ar"/>
              </w:rPr>
              <w:t>危废贮存库</w:t>
            </w:r>
            <w:r>
              <w:rPr>
                <w:rFonts w:hint="default" w:ascii="Times New Roman" w:hAnsi="Times New Roman" w:eastAsia="宋体" w:cs="Times New Roman"/>
                <w:color w:val="000000"/>
                <w:kern w:val="0"/>
                <w:sz w:val="24"/>
                <w:szCs w:val="24"/>
                <w:lang w:val="en-US" w:eastAsia="zh-CN" w:bidi="ar"/>
              </w:rPr>
              <w:t>内，最终交由资质单位集中处理</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bidi="ar"/>
              </w:rPr>
              <w:t xml:space="preserve"> </w:t>
            </w:r>
          </w:p>
          <w:p w14:paraId="5F19D69C">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②配备相应品种和数量的消防器材，</w:t>
            </w:r>
            <w:r>
              <w:rPr>
                <w:rFonts w:hint="eastAsia" w:cs="Times New Roman"/>
                <w:color w:val="000000"/>
                <w:kern w:val="0"/>
                <w:sz w:val="24"/>
                <w:szCs w:val="24"/>
                <w:lang w:val="en-US" w:eastAsia="zh-CN" w:bidi="ar"/>
              </w:rPr>
              <w:t>定期</w:t>
            </w:r>
            <w:r>
              <w:rPr>
                <w:rFonts w:hint="default" w:ascii="Times New Roman" w:hAnsi="Times New Roman" w:eastAsia="宋体" w:cs="Times New Roman"/>
                <w:color w:val="000000"/>
                <w:kern w:val="0"/>
                <w:sz w:val="24"/>
                <w:szCs w:val="24"/>
                <w:lang w:bidi="ar"/>
              </w:rPr>
              <w:t>检查</w:t>
            </w:r>
            <w:r>
              <w:rPr>
                <w:rFonts w:hint="eastAsia" w:cs="Times New Roman"/>
                <w:color w:val="000000"/>
                <w:kern w:val="0"/>
                <w:sz w:val="24"/>
                <w:szCs w:val="24"/>
                <w:lang w:val="en-US" w:eastAsia="zh-CN" w:bidi="ar"/>
              </w:rPr>
              <w:t>柴油、脱模剂</w:t>
            </w:r>
            <w:r>
              <w:rPr>
                <w:rFonts w:hint="default" w:ascii="Times New Roman" w:hAnsi="Times New Roman" w:eastAsia="宋体" w:cs="Times New Roman"/>
                <w:color w:val="000000"/>
                <w:kern w:val="0"/>
                <w:sz w:val="24"/>
                <w:szCs w:val="24"/>
                <w:lang w:bidi="ar"/>
              </w:rPr>
              <w:t>容器的密闭性</w:t>
            </w:r>
            <w:r>
              <w:rPr>
                <w:rFonts w:hint="eastAsia" w:cs="Times New Roman"/>
                <w:color w:val="000000"/>
                <w:kern w:val="0"/>
                <w:sz w:val="24"/>
                <w:szCs w:val="24"/>
                <w:lang w:eastAsia="zh-CN" w:bidi="ar"/>
              </w:rPr>
              <w:t>；</w:t>
            </w:r>
            <w:r>
              <w:rPr>
                <w:rFonts w:hint="default" w:ascii="Times New Roman" w:hAnsi="Times New Roman" w:eastAsia="宋体" w:cs="Times New Roman"/>
                <w:color w:val="000000"/>
                <w:kern w:val="0"/>
                <w:sz w:val="24"/>
                <w:szCs w:val="24"/>
                <w:lang w:bidi="ar"/>
              </w:rPr>
              <w:t>安排专人定期巡查</w:t>
            </w:r>
            <w:r>
              <w:rPr>
                <w:rFonts w:hint="eastAsia" w:cs="Times New Roman"/>
                <w:color w:val="000000"/>
                <w:kern w:val="0"/>
                <w:sz w:val="24"/>
                <w:szCs w:val="24"/>
                <w:lang w:val="en-US" w:eastAsia="zh-CN" w:bidi="ar"/>
              </w:rPr>
              <w:t>柴油</w:t>
            </w:r>
            <w:r>
              <w:rPr>
                <w:rFonts w:hint="default" w:ascii="Times New Roman" w:hAnsi="Times New Roman" w:eastAsia="宋体" w:cs="Times New Roman"/>
                <w:color w:val="000000"/>
                <w:kern w:val="0"/>
                <w:sz w:val="24"/>
                <w:szCs w:val="24"/>
                <w:lang w:bidi="ar"/>
              </w:rPr>
              <w:t>入库情况</w:t>
            </w:r>
            <w:r>
              <w:rPr>
                <w:rFonts w:hint="eastAsia" w:cs="Times New Roman"/>
                <w:color w:val="000000"/>
                <w:kern w:val="0"/>
                <w:sz w:val="24"/>
                <w:szCs w:val="24"/>
                <w:lang w:eastAsia="zh-CN" w:bidi="ar"/>
              </w:rPr>
              <w:t>；</w:t>
            </w:r>
            <w:r>
              <w:rPr>
                <w:rFonts w:hint="default" w:ascii="Times New Roman" w:hAnsi="Times New Roman" w:eastAsia="宋体" w:cs="Times New Roman"/>
                <w:color w:val="000000"/>
                <w:kern w:val="0"/>
                <w:sz w:val="24"/>
                <w:szCs w:val="24"/>
                <w:lang w:bidi="ar"/>
              </w:rPr>
              <w:t>使用完成</w:t>
            </w:r>
            <w:r>
              <w:rPr>
                <w:rFonts w:hint="default" w:ascii="Times New Roman" w:hAnsi="Times New Roman" w:eastAsia="宋体" w:cs="Times New Roman"/>
                <w:color w:val="000000"/>
                <w:kern w:val="0"/>
                <w:sz w:val="24"/>
                <w:lang w:bidi="ar"/>
              </w:rPr>
              <w:t>后，空桶</w:t>
            </w:r>
            <w:r>
              <w:rPr>
                <w:rFonts w:hint="eastAsia" w:cs="Times New Roman"/>
                <w:color w:val="000000"/>
                <w:kern w:val="0"/>
                <w:sz w:val="24"/>
                <w:lang w:val="en-US" w:eastAsia="zh-CN" w:bidi="ar"/>
              </w:rPr>
              <w:t>集中</w:t>
            </w:r>
            <w:r>
              <w:rPr>
                <w:rFonts w:hint="default" w:ascii="Times New Roman" w:hAnsi="Times New Roman" w:eastAsia="宋体" w:cs="Times New Roman"/>
                <w:color w:val="000000"/>
                <w:kern w:val="0"/>
                <w:sz w:val="24"/>
                <w:szCs w:val="24"/>
                <w:lang w:val="en-US" w:eastAsia="zh-CN" w:bidi="ar"/>
              </w:rPr>
              <w:t>收集后暂存于</w:t>
            </w:r>
            <w:r>
              <w:rPr>
                <w:rFonts w:hint="eastAsia" w:cs="Times New Roman"/>
                <w:color w:val="000000"/>
                <w:kern w:val="0"/>
                <w:sz w:val="24"/>
                <w:szCs w:val="24"/>
                <w:lang w:val="en-US" w:eastAsia="zh-CN" w:bidi="ar"/>
              </w:rPr>
              <w:t>危废贮存库</w:t>
            </w:r>
            <w:r>
              <w:rPr>
                <w:rFonts w:hint="default" w:ascii="Times New Roman" w:hAnsi="Times New Roman" w:eastAsia="宋体" w:cs="Times New Roman"/>
                <w:color w:val="000000"/>
                <w:kern w:val="0"/>
                <w:sz w:val="24"/>
                <w:szCs w:val="24"/>
                <w:lang w:val="en-US" w:eastAsia="zh-CN" w:bidi="ar"/>
              </w:rPr>
              <w:t>内</w:t>
            </w:r>
            <w:r>
              <w:rPr>
                <w:rFonts w:hint="eastAsia" w:cs="Times New Roman"/>
                <w:color w:val="000000"/>
                <w:kern w:val="0"/>
                <w:sz w:val="24"/>
                <w:szCs w:val="24"/>
                <w:lang w:val="en-US" w:eastAsia="zh-CN" w:bidi="ar"/>
              </w:rPr>
              <w:t>，定期委托有资质单位清运处置</w:t>
            </w:r>
            <w:r>
              <w:rPr>
                <w:rFonts w:hint="eastAsia" w:cs="Times New Roman"/>
                <w:color w:val="000000"/>
                <w:kern w:val="0"/>
                <w:sz w:val="24"/>
                <w:lang w:eastAsia="zh-CN" w:bidi="ar"/>
              </w:rPr>
              <w:t>。</w:t>
            </w:r>
            <w:r>
              <w:rPr>
                <w:rFonts w:hint="default" w:ascii="Times New Roman" w:hAnsi="Times New Roman" w:eastAsia="宋体" w:cs="Times New Roman"/>
                <w:color w:val="000000"/>
                <w:kern w:val="0"/>
                <w:sz w:val="24"/>
                <w:szCs w:val="24"/>
                <w:lang w:val="en-US" w:eastAsia="zh-CN" w:bidi="ar"/>
              </w:rPr>
              <w:t xml:space="preserve"> </w:t>
            </w:r>
          </w:p>
          <w:p w14:paraId="5E763950">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rPr>
            </w:pPr>
            <w:r>
              <w:rPr>
                <w:rFonts w:hint="default" w:ascii="Times New Roman" w:hAnsi="Times New Roman" w:eastAsia="宋体" w:cs="Times New Roman"/>
                <w:b/>
                <w:bCs/>
                <w:color w:val="000000"/>
                <w:kern w:val="0"/>
                <w:sz w:val="24"/>
                <w:szCs w:val="24"/>
                <w:lang w:val="en-US" w:eastAsia="zh-CN" w:bidi="ar"/>
              </w:rPr>
              <w:t xml:space="preserve">3）火灾事故防范措施 </w:t>
            </w:r>
          </w:p>
          <w:p w14:paraId="49F16D91">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①对厂内可能的明火、电器火花和撞击火花进行控制管理；严禁在危险区内吸烟和违章动用明火；电器设备、仪表选用防爆型；操作人员应按规定穿戴劳保用品，防止静电火花的产生。 </w:t>
            </w:r>
          </w:p>
          <w:p w14:paraId="4BA7DA5A">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②移动式灭火设备 </w:t>
            </w:r>
          </w:p>
          <w:p w14:paraId="7055FB85">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按照《建筑灭火器配置设计规范》（GB50140－2005），对项目区内可能发生火灾的各类场所、工艺装置区、主要建筑物等，根据其火灾危险性、区域大小等实际情况，分别配置一定数量不同类型、不同规格的移动式灭火器材，以便及时扑救初始零星火灾。 </w:t>
            </w:r>
          </w:p>
          <w:p w14:paraId="32295BBA">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③提高员工素质。增强安全意识。建立严格的安全管理制度，杜绝违章动火、吸烟等现象，按规定配备劳动防护用品</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经常性地向职工进行安全和健康防护方面的教育。 </w:t>
            </w:r>
          </w:p>
          <w:p w14:paraId="726D812E">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④项目区内危险区域内的电气设备选型、安装、电力线路敷设等，应符合现行国家标准《爆炸和火灾危险环境电力装置设计规范》</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GB 50058</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的规定。 </w:t>
            </w:r>
          </w:p>
          <w:p w14:paraId="60AF2457">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rPr>
            </w:pPr>
            <w:r>
              <w:rPr>
                <w:rFonts w:hint="default" w:ascii="Times New Roman" w:hAnsi="Times New Roman" w:eastAsia="宋体" w:cs="Times New Roman"/>
                <w:b/>
                <w:bCs/>
                <w:color w:val="000000"/>
                <w:kern w:val="0"/>
                <w:sz w:val="24"/>
                <w:szCs w:val="24"/>
                <w:lang w:val="en-US" w:eastAsia="zh-CN" w:bidi="ar"/>
              </w:rPr>
              <w:t xml:space="preserve">4）废气事故排放防范措施 </w:t>
            </w:r>
          </w:p>
          <w:p w14:paraId="65BA5F54">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①加强废气治理设施的日常维护管理，确保废气治理系统处在良好的运转状态； </w:t>
            </w:r>
          </w:p>
          <w:p w14:paraId="4C420130">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szCs w:val="24"/>
                <w:lang w:val="en-US" w:eastAsia="zh-CN" w:bidi="ar"/>
              </w:rPr>
              <w:t xml:space="preserve">②委托有资质的监测机构定期对废气排放口监测，掌握污染物的排放情况，建立废气治理措施运行台账管理制度，杜绝废气事故排放。 </w:t>
            </w:r>
          </w:p>
          <w:p w14:paraId="67205D72">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rPr>
            </w:pPr>
            <w:r>
              <w:rPr>
                <w:rFonts w:hint="default" w:ascii="Times New Roman" w:hAnsi="Times New Roman" w:eastAsia="宋体" w:cs="Times New Roman"/>
                <w:b/>
                <w:bCs/>
                <w:color w:val="000000"/>
                <w:kern w:val="0"/>
                <w:sz w:val="24"/>
                <w:szCs w:val="24"/>
                <w:lang w:val="en-US" w:eastAsia="zh-CN" w:bidi="ar"/>
              </w:rPr>
              <w:t xml:space="preserve">（5）应急措施 </w:t>
            </w:r>
          </w:p>
          <w:p w14:paraId="1391DA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color w:val="000000"/>
                <w:kern w:val="0"/>
                <w:sz w:val="24"/>
                <w:lang w:bidi="ar"/>
              </w:rPr>
              <w:t>项目的建设必然伴随着潜在的危害，如果安全措施水平高，则事故的概率必然会降低，但不会为零。一旦发生事故，需要采取工程应急措施，控制和减小事故危害。</w:t>
            </w:r>
            <w:r>
              <w:rPr>
                <w:rFonts w:hint="default" w:ascii="Times New Roman" w:hAnsi="Times New Roman" w:eastAsia="宋体" w:cs="Times New Roman"/>
                <w:color w:val="000000"/>
                <w:kern w:val="0"/>
                <w:sz w:val="24"/>
                <w:szCs w:val="24"/>
                <w:lang w:val="en-US" w:eastAsia="zh-CN" w:bidi="ar"/>
              </w:rPr>
              <w:t>针对</w:t>
            </w:r>
            <w:r>
              <w:rPr>
                <w:rFonts w:hint="eastAsia" w:ascii="Times New Roman" w:hAnsi="Times New Roman" w:eastAsia="宋体" w:cs="Times New Roman"/>
                <w:color w:val="000000"/>
                <w:kern w:val="0"/>
                <w:sz w:val="24"/>
                <w:szCs w:val="24"/>
                <w:lang w:val="en-US" w:eastAsia="zh-CN" w:bidi="ar"/>
              </w:rPr>
              <w:t>以上</w:t>
            </w:r>
            <w:r>
              <w:rPr>
                <w:rFonts w:hint="default" w:ascii="Times New Roman" w:hAnsi="Times New Roman" w:eastAsia="宋体" w:cs="Times New Roman"/>
                <w:color w:val="000000"/>
                <w:kern w:val="0"/>
                <w:sz w:val="24"/>
                <w:szCs w:val="24"/>
                <w:lang w:val="en-US" w:eastAsia="zh-CN" w:bidi="ar"/>
              </w:rPr>
              <w:t>事故，为保证项目内部、社会及人民生命财产的安全，防止突发性重大化学危险品事故发生，在事故发生后迅速有效控制处理，防止事故蔓延、扩大，积极组织抢救、抢险、抢修，发挥各职能部门、社会力量的作用，使事故发生的损失减少到最低限度，总结经验，吸取教训，防患于未然。建设单位应按照《云南省企业单位突发环境事件应急预案指导目录和编制要点（试行）》</w:t>
            </w:r>
            <w:r>
              <w:rPr>
                <w:rFonts w:hint="eastAsia" w:ascii="Times New Roman" w:hAnsi="Times New Roman" w:eastAsia="宋体" w:cs="Times New Roman"/>
                <w:color w:val="000000"/>
                <w:kern w:val="0"/>
                <w:sz w:val="24"/>
                <w:szCs w:val="24"/>
                <w:lang w:val="en-US" w:eastAsia="zh-CN" w:bidi="ar"/>
              </w:rPr>
              <w:t>对</w:t>
            </w:r>
            <w:r>
              <w:rPr>
                <w:rFonts w:hint="default" w:ascii="Times New Roman" w:hAnsi="Times New Roman" w:eastAsia="宋体" w:cs="Times New Roman"/>
                <w:color w:val="000000"/>
                <w:kern w:val="0"/>
                <w:sz w:val="24"/>
                <w:szCs w:val="24"/>
                <w:lang w:val="en-US" w:eastAsia="zh-CN" w:bidi="ar"/>
              </w:rPr>
              <w:t xml:space="preserve">本项目可能造成环境风险的突发性事故编制应急预案并备案，见下表，供项目决策人参考。 </w:t>
            </w:r>
          </w:p>
          <w:p w14:paraId="7EAB2B50">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b/>
                <w:bCs/>
                <w:color w:val="000000"/>
                <w:kern w:val="0"/>
                <w:sz w:val="24"/>
                <w:szCs w:val="24"/>
                <w:lang w:val="en-US" w:eastAsia="zh-CN" w:bidi="ar"/>
              </w:rPr>
              <w:t xml:space="preserve">（6）环境风险影响结论 </w:t>
            </w:r>
          </w:p>
          <w:p w14:paraId="6C217591">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lang w:bidi="ar"/>
              </w:rPr>
              <w:t>项目运行</w:t>
            </w:r>
            <w:r>
              <w:rPr>
                <w:rFonts w:hint="eastAsia" w:ascii="Times New Roman" w:hAnsi="Times New Roman" w:eastAsia="宋体" w:cs="Times New Roman"/>
                <w:color w:val="000000"/>
                <w:kern w:val="0"/>
                <w:sz w:val="24"/>
                <w:lang w:eastAsia="zh-CN" w:bidi="ar"/>
              </w:rPr>
              <w:t>过程中存在</w:t>
            </w:r>
            <w:r>
              <w:rPr>
                <w:rFonts w:hint="default" w:ascii="Times New Roman" w:hAnsi="Times New Roman" w:eastAsia="宋体" w:cs="Times New Roman"/>
                <w:color w:val="000000"/>
                <w:kern w:val="0"/>
                <w:sz w:val="24"/>
                <w:lang w:val="en-US" w:eastAsia="zh-CN" w:bidi="ar"/>
              </w:rPr>
              <w:t>油品</w:t>
            </w:r>
            <w:r>
              <w:rPr>
                <w:rFonts w:hint="default" w:ascii="Times New Roman" w:hAnsi="Times New Roman" w:eastAsia="宋体" w:cs="Times New Roman"/>
                <w:color w:val="000000"/>
                <w:kern w:val="0"/>
                <w:sz w:val="24"/>
                <w:lang w:bidi="ar"/>
              </w:rPr>
              <w:t>泄漏</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val="en-US" w:eastAsia="zh-CN" w:bidi="ar"/>
              </w:rPr>
              <w:t>遇明火发生火灾、废气非正常工况排放等突发环境事故</w:t>
            </w:r>
            <w:r>
              <w:rPr>
                <w:rFonts w:hint="default" w:ascii="Times New Roman" w:hAnsi="Times New Roman" w:eastAsia="宋体" w:cs="Times New Roman"/>
                <w:color w:val="000000"/>
                <w:kern w:val="0"/>
                <w:sz w:val="24"/>
                <w:lang w:bidi="ar"/>
              </w:rPr>
              <w:t>风险，在</w:t>
            </w:r>
            <w:r>
              <w:rPr>
                <w:rFonts w:hint="default" w:ascii="Times New Roman" w:hAnsi="Times New Roman" w:eastAsia="宋体" w:cs="Times New Roman"/>
                <w:color w:val="000000"/>
                <w:kern w:val="0"/>
                <w:sz w:val="24"/>
                <w:lang w:val="en-US" w:eastAsia="zh-CN" w:bidi="ar"/>
              </w:rPr>
              <w:t>日常管理中</w:t>
            </w:r>
            <w:r>
              <w:rPr>
                <w:rFonts w:hint="default" w:ascii="Times New Roman" w:hAnsi="Times New Roman" w:eastAsia="宋体" w:cs="Times New Roman"/>
                <w:color w:val="000000"/>
                <w:kern w:val="0"/>
                <w:sz w:val="24"/>
                <w:lang w:bidi="ar"/>
              </w:rPr>
              <w:t>必须严格按照有关规</w:t>
            </w:r>
            <w:r>
              <w:rPr>
                <w:rFonts w:hint="eastAsia" w:ascii="Times New Roman" w:hAnsi="Times New Roman" w:eastAsia="宋体" w:cs="Times New Roman"/>
                <w:color w:val="000000"/>
                <w:kern w:val="0"/>
                <w:sz w:val="24"/>
                <w:lang w:eastAsia="zh-CN" w:bidi="ar"/>
              </w:rPr>
              <w:t>范和</w:t>
            </w:r>
            <w:r>
              <w:rPr>
                <w:rFonts w:hint="default" w:ascii="Times New Roman" w:hAnsi="Times New Roman" w:eastAsia="宋体" w:cs="Times New Roman"/>
                <w:color w:val="000000"/>
                <w:kern w:val="0"/>
                <w:sz w:val="24"/>
                <w:lang w:bidi="ar"/>
              </w:rPr>
              <w:t>标准的要求对废气处理设施和</w:t>
            </w:r>
            <w:r>
              <w:rPr>
                <w:rFonts w:hint="eastAsia" w:cs="Times New Roman"/>
                <w:color w:val="000000"/>
                <w:kern w:val="0"/>
                <w:sz w:val="24"/>
                <w:lang w:eastAsia="zh-CN" w:bidi="ar"/>
              </w:rPr>
              <w:t>危废贮存库</w:t>
            </w:r>
            <w:r>
              <w:rPr>
                <w:rFonts w:hint="default" w:ascii="Times New Roman" w:hAnsi="Times New Roman" w:eastAsia="宋体" w:cs="Times New Roman"/>
                <w:color w:val="000000"/>
                <w:kern w:val="0"/>
                <w:sz w:val="24"/>
                <w:lang w:bidi="ar"/>
              </w:rPr>
              <w:t>进行监控和管理</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szCs w:val="24"/>
                <w:lang w:val="en-US" w:eastAsia="zh-CN" w:bidi="ar"/>
              </w:rPr>
              <w:t>采取积极的风险防范措施，降低事故发生的概率</w:t>
            </w:r>
            <w:r>
              <w:rPr>
                <w:rFonts w:hint="default" w:ascii="Times New Roman" w:hAnsi="Times New Roman" w:eastAsia="宋体" w:cs="Times New Roman"/>
                <w:color w:val="000000"/>
                <w:kern w:val="0"/>
                <w:sz w:val="24"/>
                <w:lang w:bidi="ar"/>
              </w:rPr>
              <w:t>；</w:t>
            </w:r>
            <w:r>
              <w:rPr>
                <w:rFonts w:hint="default" w:ascii="Times New Roman" w:hAnsi="Times New Roman" w:eastAsia="宋体" w:cs="Times New Roman"/>
                <w:color w:val="000000"/>
                <w:kern w:val="0"/>
                <w:sz w:val="24"/>
                <w:lang w:val="en-US" w:eastAsia="zh-CN" w:bidi="ar"/>
              </w:rPr>
              <w:t>并</w:t>
            </w:r>
            <w:r>
              <w:rPr>
                <w:rFonts w:hint="default" w:ascii="Times New Roman" w:hAnsi="Times New Roman" w:eastAsia="宋体" w:cs="Times New Roman"/>
                <w:color w:val="000000"/>
                <w:kern w:val="0"/>
                <w:sz w:val="24"/>
                <w:lang w:bidi="ar"/>
              </w:rPr>
              <w:t>编制环境风险应急预案，且加强对突发环境事件的演练。在认真落实</w:t>
            </w:r>
            <w:r>
              <w:rPr>
                <w:rFonts w:hint="default" w:ascii="Times New Roman" w:hAnsi="Times New Roman" w:eastAsia="宋体" w:cs="Times New Roman"/>
                <w:color w:val="000000"/>
                <w:kern w:val="0"/>
                <w:sz w:val="24"/>
                <w:lang w:val="en-US" w:eastAsia="zh-CN" w:bidi="ar"/>
              </w:rPr>
              <w:t>项目</w:t>
            </w:r>
            <w:r>
              <w:rPr>
                <w:rFonts w:hint="default" w:ascii="Times New Roman" w:hAnsi="Times New Roman" w:eastAsia="宋体" w:cs="Times New Roman"/>
                <w:color w:val="000000"/>
                <w:kern w:val="0"/>
                <w:sz w:val="24"/>
                <w:lang w:bidi="ar"/>
              </w:rPr>
              <w:t>拟采取的</w:t>
            </w:r>
            <w:r>
              <w:rPr>
                <w:rFonts w:hint="default" w:ascii="Times New Roman" w:hAnsi="Times New Roman" w:eastAsia="宋体" w:cs="Times New Roman"/>
                <w:color w:val="000000"/>
                <w:kern w:val="0"/>
                <w:sz w:val="24"/>
                <w:lang w:val="en-US" w:eastAsia="zh-CN" w:bidi="ar"/>
              </w:rPr>
              <w:t>环境风险防范</w:t>
            </w:r>
            <w:r>
              <w:rPr>
                <w:rFonts w:hint="default" w:ascii="Times New Roman" w:hAnsi="Times New Roman" w:eastAsia="宋体" w:cs="Times New Roman"/>
                <w:color w:val="000000"/>
                <w:kern w:val="0"/>
                <w:sz w:val="24"/>
                <w:lang w:bidi="ar"/>
              </w:rPr>
              <w:t>措施及对策后，</w:t>
            </w:r>
            <w:r>
              <w:rPr>
                <w:rFonts w:hint="default" w:ascii="Times New Roman" w:hAnsi="Times New Roman" w:eastAsia="宋体" w:cs="Times New Roman"/>
                <w:color w:val="000000"/>
                <w:kern w:val="0"/>
                <w:sz w:val="24"/>
                <w:szCs w:val="24"/>
                <w:lang w:val="en-US" w:eastAsia="zh-CN" w:bidi="ar"/>
              </w:rPr>
              <w:t>在事故发生时依照应急预案及时处理，</w:t>
            </w:r>
            <w:r>
              <w:rPr>
                <w:rFonts w:hint="default" w:ascii="Times New Roman" w:hAnsi="Times New Roman" w:eastAsia="宋体" w:cs="Times New Roman"/>
                <w:color w:val="auto"/>
                <w:sz w:val="24"/>
                <w:lang w:eastAsia="zh-CN"/>
              </w:rPr>
              <w:t>可有效降低环境风险的影响，</w:t>
            </w:r>
            <w:r>
              <w:rPr>
                <w:rFonts w:hint="default" w:ascii="Times New Roman" w:hAnsi="Times New Roman" w:eastAsia="宋体" w:cs="Times New Roman"/>
                <w:color w:val="000000"/>
                <w:kern w:val="0"/>
                <w:sz w:val="24"/>
                <w:szCs w:val="24"/>
                <w:lang w:val="en-US" w:eastAsia="zh-CN" w:bidi="ar"/>
              </w:rPr>
              <w:t>拟建项目</w:t>
            </w:r>
            <w:r>
              <w:rPr>
                <w:rFonts w:hint="default" w:ascii="Times New Roman" w:hAnsi="Times New Roman" w:eastAsia="宋体" w:cs="Times New Roman"/>
                <w:color w:val="000000"/>
                <w:kern w:val="0"/>
                <w:sz w:val="24"/>
                <w:lang w:bidi="ar"/>
              </w:rPr>
              <w:t>环境风险影响是</w:t>
            </w:r>
            <w:r>
              <w:rPr>
                <w:rFonts w:hint="default" w:ascii="Times New Roman" w:hAnsi="Times New Roman" w:eastAsia="宋体" w:cs="Times New Roman"/>
                <w:color w:val="000000"/>
                <w:kern w:val="0"/>
                <w:sz w:val="24"/>
                <w:lang w:val="en-US" w:eastAsia="zh-CN" w:bidi="ar"/>
              </w:rPr>
              <w:t>可控</w:t>
            </w:r>
            <w:r>
              <w:rPr>
                <w:rFonts w:hint="default" w:ascii="Times New Roman" w:hAnsi="Times New Roman" w:eastAsia="宋体" w:cs="Times New Roman"/>
                <w:color w:val="000000"/>
                <w:kern w:val="0"/>
                <w:sz w:val="24"/>
                <w:lang w:bidi="ar"/>
              </w:rPr>
              <w:t>的。</w:t>
            </w:r>
          </w:p>
          <w:p w14:paraId="0F46B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000000"/>
                <w:kern w:val="0"/>
                <w:sz w:val="24"/>
                <w:szCs w:val="24"/>
                <w:lang w:val="en-US" w:eastAsia="zh-CN" w:bidi="ar"/>
              </w:rPr>
              <w:t>建设项目</w:t>
            </w:r>
            <w:r>
              <w:rPr>
                <w:rFonts w:hint="default" w:ascii="Times New Roman" w:hAnsi="Times New Roman" w:eastAsia="宋体" w:cs="Times New Roman"/>
                <w:color w:val="auto"/>
                <w:kern w:val="0"/>
                <w:sz w:val="24"/>
                <w:szCs w:val="24"/>
                <w:lang w:val="en-US" w:eastAsia="zh-CN" w:bidi="ar"/>
              </w:rPr>
              <w:t>环境风险简单分析内容见表4-2</w:t>
            </w:r>
            <w:r>
              <w:rPr>
                <w:rFonts w:hint="eastAsia" w:cs="Times New Roman"/>
                <w:color w:val="auto"/>
                <w:kern w:val="0"/>
                <w:sz w:val="24"/>
                <w:szCs w:val="24"/>
                <w:lang w:val="en-US" w:eastAsia="zh-CN" w:bidi="ar"/>
              </w:rPr>
              <w:t>0</w:t>
            </w:r>
            <w:r>
              <w:rPr>
                <w:rFonts w:hint="default" w:ascii="Times New Roman" w:hAnsi="Times New Roman" w:eastAsia="宋体" w:cs="Times New Roman"/>
                <w:color w:val="auto"/>
                <w:kern w:val="0"/>
                <w:sz w:val="24"/>
                <w:szCs w:val="24"/>
                <w:lang w:val="en-US" w:eastAsia="zh-CN" w:bidi="ar"/>
              </w:rPr>
              <w:t xml:space="preserve">。 </w:t>
            </w:r>
          </w:p>
          <w:p w14:paraId="583B306C">
            <w:pPr>
              <w:pStyle w:val="24"/>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表4</w:t>
            </w:r>
            <w:r>
              <w:rPr>
                <w:rFonts w:hint="eastAsia" w:ascii="Times New Roman" w:hAnsi="Times New Roman" w:cs="Times New Roman"/>
                <w:b/>
                <w:color w:val="auto"/>
                <w:sz w:val="21"/>
                <w:szCs w:val="21"/>
                <w:lang w:val="en-US" w:eastAsia="zh-CN"/>
              </w:rPr>
              <w:t>-20</w:t>
            </w:r>
            <w:r>
              <w:rPr>
                <w:rFonts w:hint="default" w:ascii="Times New Roman" w:hAnsi="Times New Roman" w:eastAsia="宋体" w:cs="Times New Roman"/>
                <w:b/>
                <w:color w:val="auto"/>
                <w:sz w:val="21"/>
                <w:szCs w:val="21"/>
              </w:rPr>
              <w:t xml:space="preserve">  建设项目环境风险简单分析内容表</w:t>
            </w:r>
          </w:p>
          <w:tbl>
            <w:tblPr>
              <w:tblStyle w:val="36"/>
              <w:tblW w:w="8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657"/>
              <w:gridCol w:w="2055"/>
              <w:gridCol w:w="920"/>
              <w:gridCol w:w="2555"/>
            </w:tblGrid>
            <w:tr w14:paraId="080A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05" w:type="dxa"/>
                  <w:tcBorders>
                    <w:top w:val="single" w:color="auto" w:sz="4" w:space="0"/>
                    <w:left w:val="single" w:color="auto" w:sz="4" w:space="0"/>
                    <w:bottom w:val="single" w:color="auto" w:sz="4" w:space="0"/>
                    <w:right w:val="single" w:color="auto" w:sz="4" w:space="0"/>
                  </w:tcBorders>
                  <w:noWrap w:val="0"/>
                  <w:vAlign w:val="center"/>
                </w:tcPr>
                <w:p w14:paraId="0A2548F6">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建设项目名称</w:t>
                  </w:r>
                </w:p>
              </w:tc>
              <w:tc>
                <w:tcPr>
                  <w:tcW w:w="6187" w:type="dxa"/>
                  <w:gridSpan w:val="4"/>
                  <w:tcBorders>
                    <w:top w:val="single" w:color="auto" w:sz="4" w:space="0"/>
                    <w:left w:val="single" w:color="auto" w:sz="4" w:space="0"/>
                    <w:bottom w:val="single" w:color="auto" w:sz="4" w:space="0"/>
                    <w:right w:val="single" w:color="auto" w:sz="4" w:space="0"/>
                  </w:tcBorders>
                  <w:noWrap w:val="0"/>
                  <w:vAlign w:val="center"/>
                </w:tcPr>
                <w:p w14:paraId="41F5E963">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sz w:val="21"/>
                      <w:szCs w:val="21"/>
                      <w:lang w:eastAsia="zh-CN"/>
                    </w:rPr>
                    <w:t>寻甸亿源塑料制品有限公司果蔬专用框生产项目（金所片区）</w:t>
                  </w:r>
                </w:p>
              </w:tc>
            </w:tr>
            <w:tr w14:paraId="74D8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05" w:type="dxa"/>
                  <w:tcBorders>
                    <w:top w:val="single" w:color="auto" w:sz="4" w:space="0"/>
                    <w:left w:val="single" w:color="auto" w:sz="4" w:space="0"/>
                    <w:bottom w:val="single" w:color="auto" w:sz="4" w:space="0"/>
                    <w:right w:val="single" w:color="auto" w:sz="4" w:space="0"/>
                  </w:tcBorders>
                  <w:noWrap w:val="0"/>
                  <w:vAlign w:val="center"/>
                </w:tcPr>
                <w:p w14:paraId="0CEA9F77">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建设地点</w:t>
                  </w:r>
                </w:p>
              </w:tc>
              <w:tc>
                <w:tcPr>
                  <w:tcW w:w="6187" w:type="dxa"/>
                  <w:gridSpan w:val="4"/>
                  <w:tcBorders>
                    <w:top w:val="single" w:color="auto" w:sz="4" w:space="0"/>
                    <w:left w:val="single" w:color="auto" w:sz="4" w:space="0"/>
                    <w:bottom w:val="single" w:color="auto" w:sz="4" w:space="0"/>
                    <w:right w:val="single" w:color="auto" w:sz="4" w:space="0"/>
                  </w:tcBorders>
                  <w:noWrap w:val="0"/>
                  <w:vAlign w:val="center"/>
                </w:tcPr>
                <w:p w14:paraId="4AC0BFC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kern w:val="0"/>
                      <w:sz w:val="21"/>
                      <w:szCs w:val="21"/>
                      <w:highlight w:val="none"/>
                    </w:rPr>
                    <w:t>云南省昆明市寻甸</w:t>
                  </w:r>
                  <w:r>
                    <w:rPr>
                      <w:rFonts w:hint="eastAsia" w:cs="Times New Roman"/>
                      <w:color w:val="auto"/>
                      <w:kern w:val="0"/>
                      <w:sz w:val="21"/>
                      <w:szCs w:val="21"/>
                      <w:highlight w:val="none"/>
                      <w:lang w:val="en-US" w:eastAsia="zh-CN"/>
                    </w:rPr>
                    <w:t>县</w:t>
                  </w:r>
                  <w:r>
                    <w:rPr>
                      <w:rFonts w:hint="default" w:ascii="Times New Roman" w:hAnsi="Times New Roman" w:eastAsia="宋体" w:cs="Times New Roman"/>
                      <w:color w:val="auto"/>
                      <w:kern w:val="0"/>
                      <w:sz w:val="21"/>
                      <w:szCs w:val="21"/>
                      <w:highlight w:val="none"/>
                    </w:rPr>
                    <w:t>金所街道办事处竹沟社区居委会魏所工业园区01号</w:t>
                  </w:r>
                </w:p>
              </w:tc>
            </w:tr>
            <w:tr w14:paraId="3AE2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05" w:type="dxa"/>
                  <w:tcBorders>
                    <w:top w:val="single" w:color="auto" w:sz="4" w:space="0"/>
                    <w:left w:val="single" w:color="auto" w:sz="4" w:space="0"/>
                    <w:bottom w:val="single" w:color="auto" w:sz="4" w:space="0"/>
                    <w:right w:val="single" w:color="auto" w:sz="4" w:space="0"/>
                  </w:tcBorders>
                  <w:noWrap w:val="0"/>
                  <w:vAlign w:val="center"/>
                </w:tcPr>
                <w:p w14:paraId="7C375969">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地理坐标</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58E0F5B6">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经度</w:t>
                  </w:r>
                </w:p>
              </w:tc>
              <w:tc>
                <w:tcPr>
                  <w:tcW w:w="2055" w:type="dxa"/>
                  <w:tcBorders>
                    <w:top w:val="single" w:color="auto" w:sz="4" w:space="0"/>
                    <w:left w:val="single" w:color="auto" w:sz="4" w:space="0"/>
                    <w:bottom w:val="single" w:color="auto" w:sz="4" w:space="0"/>
                    <w:right w:val="single" w:color="auto" w:sz="4" w:space="0"/>
                  </w:tcBorders>
                  <w:noWrap w:val="0"/>
                  <w:vAlign w:val="center"/>
                </w:tcPr>
                <w:p w14:paraId="6FB27F4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103°12′44.169″</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26C7A961">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纬度</w:t>
                  </w:r>
                </w:p>
              </w:tc>
              <w:tc>
                <w:tcPr>
                  <w:tcW w:w="2555" w:type="dxa"/>
                  <w:tcBorders>
                    <w:top w:val="single" w:color="auto" w:sz="4" w:space="0"/>
                    <w:left w:val="single" w:color="auto" w:sz="4" w:space="0"/>
                    <w:bottom w:val="single" w:color="auto" w:sz="4" w:space="0"/>
                    <w:right w:val="single" w:color="auto" w:sz="4" w:space="0"/>
                  </w:tcBorders>
                  <w:noWrap w:val="0"/>
                  <w:vAlign w:val="center"/>
                </w:tcPr>
                <w:p w14:paraId="1BF4D8D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25°35′1.816″</w:t>
                  </w:r>
                </w:p>
              </w:tc>
            </w:tr>
            <w:tr w14:paraId="18AD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05" w:type="dxa"/>
                  <w:tcBorders>
                    <w:top w:val="single" w:color="auto" w:sz="4" w:space="0"/>
                    <w:left w:val="single" w:color="auto" w:sz="4" w:space="0"/>
                    <w:bottom w:val="single" w:color="auto" w:sz="4" w:space="0"/>
                    <w:right w:val="single" w:color="auto" w:sz="4" w:space="0"/>
                  </w:tcBorders>
                  <w:noWrap w:val="0"/>
                  <w:vAlign w:val="center"/>
                </w:tcPr>
                <w:p w14:paraId="6A4D3199">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主要危险物质及分布</w:t>
                  </w:r>
                </w:p>
              </w:tc>
              <w:tc>
                <w:tcPr>
                  <w:tcW w:w="6187" w:type="dxa"/>
                  <w:gridSpan w:val="4"/>
                  <w:tcBorders>
                    <w:top w:val="single" w:color="auto" w:sz="4" w:space="0"/>
                    <w:left w:val="single" w:color="auto" w:sz="4" w:space="0"/>
                    <w:bottom w:val="single" w:color="auto" w:sz="4" w:space="0"/>
                    <w:right w:val="single" w:color="auto" w:sz="4" w:space="0"/>
                  </w:tcBorders>
                  <w:noWrap w:val="0"/>
                  <w:vAlign w:val="center"/>
                </w:tcPr>
                <w:p w14:paraId="4442D9F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废</w:t>
                  </w:r>
                  <w:r>
                    <w:rPr>
                      <w:rFonts w:hint="default" w:ascii="Times New Roman" w:hAnsi="Times New Roman" w:eastAsia="宋体" w:cs="Times New Roman"/>
                      <w:bCs/>
                      <w:color w:val="auto"/>
                      <w:sz w:val="21"/>
                      <w:szCs w:val="21"/>
                      <w:lang w:val="en-US" w:eastAsia="zh-CN"/>
                    </w:rPr>
                    <w:t>润滑</w:t>
                  </w:r>
                  <w:r>
                    <w:rPr>
                      <w:rFonts w:hint="default" w:ascii="Times New Roman" w:hAnsi="Times New Roman" w:eastAsia="宋体" w:cs="Times New Roman"/>
                      <w:bCs/>
                      <w:color w:val="auto"/>
                      <w:sz w:val="21"/>
                      <w:szCs w:val="21"/>
                    </w:rPr>
                    <w:t>油</w:t>
                  </w:r>
                  <w:r>
                    <w:rPr>
                      <w:rFonts w:hint="eastAsia" w:ascii="Times New Roman" w:hAnsi="Times New Roman" w:cs="Times New Roman"/>
                      <w:bCs/>
                      <w:color w:val="auto"/>
                      <w:sz w:val="21"/>
                      <w:szCs w:val="21"/>
                      <w:lang w:eastAsia="zh-CN"/>
                    </w:rPr>
                    <w:t>、</w:t>
                  </w:r>
                  <w:r>
                    <w:rPr>
                      <w:rFonts w:hint="eastAsia" w:ascii="Times New Roman" w:hAnsi="Times New Roman" w:cs="Times New Roman"/>
                      <w:bCs/>
                      <w:color w:val="auto"/>
                      <w:sz w:val="21"/>
                      <w:szCs w:val="21"/>
                      <w:lang w:val="en-US" w:eastAsia="zh-CN"/>
                    </w:rPr>
                    <w:t>柴油</w:t>
                  </w:r>
                  <w:r>
                    <w:rPr>
                      <w:rFonts w:hint="default" w:ascii="Times New Roman" w:hAnsi="Times New Roman" w:eastAsia="宋体" w:cs="Times New Roman"/>
                      <w:bCs/>
                      <w:color w:val="auto"/>
                      <w:sz w:val="21"/>
                      <w:szCs w:val="21"/>
                    </w:rPr>
                    <w:t>，分布在</w:t>
                  </w:r>
                  <w:r>
                    <w:rPr>
                      <w:rFonts w:hint="default" w:ascii="Times New Roman" w:hAnsi="Times New Roman" w:eastAsia="宋体" w:cs="Times New Roman"/>
                      <w:bCs/>
                      <w:color w:val="auto"/>
                      <w:sz w:val="21"/>
                      <w:szCs w:val="21"/>
                      <w:lang w:val="en-US" w:eastAsia="zh-CN"/>
                    </w:rPr>
                    <w:t>项目区</w:t>
                  </w:r>
                  <w:r>
                    <w:rPr>
                      <w:rFonts w:hint="eastAsia" w:ascii="Times New Roman" w:hAnsi="Times New Roman" w:cs="Times New Roman"/>
                      <w:bCs/>
                      <w:color w:val="auto"/>
                      <w:sz w:val="21"/>
                      <w:szCs w:val="21"/>
                      <w:lang w:val="en-US" w:eastAsia="zh-CN"/>
                    </w:rPr>
                    <w:t>内</w:t>
                  </w:r>
                  <w:r>
                    <w:rPr>
                      <w:rFonts w:hint="default" w:ascii="Times New Roman" w:hAnsi="Times New Roman" w:eastAsia="宋体" w:cs="Times New Roman"/>
                      <w:bCs/>
                      <w:color w:val="auto"/>
                      <w:sz w:val="21"/>
                      <w:szCs w:val="21"/>
                      <w:lang w:val="en-US" w:eastAsia="zh-CN"/>
                    </w:rPr>
                    <w:t>。</w:t>
                  </w:r>
                </w:p>
              </w:tc>
            </w:tr>
            <w:tr w14:paraId="663D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05" w:type="dxa"/>
                  <w:tcBorders>
                    <w:top w:val="single" w:color="auto" w:sz="4" w:space="0"/>
                    <w:left w:val="single" w:color="auto" w:sz="4" w:space="0"/>
                    <w:bottom w:val="single" w:color="auto" w:sz="4" w:space="0"/>
                    <w:right w:val="single" w:color="auto" w:sz="4" w:space="0"/>
                  </w:tcBorders>
                  <w:noWrap w:val="0"/>
                  <w:vAlign w:val="center"/>
                </w:tcPr>
                <w:p w14:paraId="4D54928B">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环境影响途径及危害后果（大气、地表水、地下水等）</w:t>
                  </w:r>
                </w:p>
              </w:tc>
              <w:tc>
                <w:tcPr>
                  <w:tcW w:w="6187" w:type="dxa"/>
                  <w:gridSpan w:val="4"/>
                  <w:tcBorders>
                    <w:top w:val="single" w:color="auto" w:sz="4" w:space="0"/>
                    <w:left w:val="single" w:color="auto" w:sz="4" w:space="0"/>
                    <w:bottom w:val="single" w:color="auto" w:sz="4" w:space="0"/>
                    <w:right w:val="single" w:color="auto" w:sz="4" w:space="0"/>
                  </w:tcBorders>
                  <w:noWrap w:val="0"/>
                  <w:vAlign w:val="center"/>
                </w:tcPr>
                <w:p w14:paraId="6D3C061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影响途径：泄漏、火灾。 </w:t>
                  </w:r>
                </w:p>
                <w:p w14:paraId="2A83CD3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kern w:val="0"/>
                      <w:sz w:val="21"/>
                      <w:szCs w:val="21"/>
                      <w:lang w:val="en-US" w:eastAsia="zh-CN" w:bidi="ar"/>
                    </w:rPr>
                    <w:t>危害后果：1、大气：油品泄漏引发火灾事故、废气非正常排放造成大气污染；2、水体：泄漏物料及消防废水若未及时拦截通过园区排水系统进入雨水管网，对周边受纳水体进行污染。</w:t>
                  </w:r>
                </w:p>
              </w:tc>
            </w:tr>
            <w:tr w14:paraId="0AAB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05" w:type="dxa"/>
                  <w:tcBorders>
                    <w:top w:val="single" w:color="auto" w:sz="4" w:space="0"/>
                    <w:left w:val="single" w:color="auto" w:sz="4" w:space="0"/>
                    <w:bottom w:val="single" w:color="auto" w:sz="4" w:space="0"/>
                    <w:right w:val="single" w:color="auto" w:sz="4" w:space="0"/>
                  </w:tcBorders>
                  <w:noWrap w:val="0"/>
                  <w:vAlign w:val="center"/>
                </w:tcPr>
                <w:p w14:paraId="67CDEF12">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风险防范措施要求</w:t>
                  </w:r>
                </w:p>
              </w:tc>
              <w:tc>
                <w:tcPr>
                  <w:tcW w:w="6187" w:type="dxa"/>
                  <w:gridSpan w:val="4"/>
                  <w:tcBorders>
                    <w:top w:val="single" w:color="auto" w:sz="4" w:space="0"/>
                    <w:left w:val="single" w:color="auto" w:sz="4" w:space="0"/>
                    <w:bottom w:val="single" w:color="auto" w:sz="4" w:space="0"/>
                    <w:right w:val="single" w:color="auto" w:sz="4" w:space="0"/>
                  </w:tcBorders>
                  <w:noWrap w:val="0"/>
                  <w:vAlign w:val="center"/>
                </w:tcPr>
                <w:p w14:paraId="62E490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（1）环境风险管理 </w:t>
                  </w:r>
                </w:p>
                <w:p w14:paraId="50B8A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为了有效地防范油品</w:t>
                  </w:r>
                  <w:r>
                    <w:rPr>
                      <w:rFonts w:hint="eastAsia" w:ascii="Times New Roman" w:hAnsi="Times New Roman" w:eastAsia="宋体" w:cs="Times New Roman"/>
                      <w:color w:val="000000"/>
                      <w:kern w:val="0"/>
                      <w:sz w:val="21"/>
                      <w:szCs w:val="21"/>
                      <w:lang w:val="en-US" w:eastAsia="zh-CN" w:bidi="ar"/>
                    </w:rPr>
                    <w:t>泄漏</w:t>
                  </w:r>
                  <w:r>
                    <w:rPr>
                      <w:rFonts w:hint="default" w:ascii="Times New Roman" w:hAnsi="Times New Roman" w:eastAsia="宋体" w:cs="Times New Roman"/>
                      <w:color w:val="000000"/>
                      <w:kern w:val="0"/>
                      <w:sz w:val="21"/>
                      <w:szCs w:val="21"/>
                      <w:lang w:val="en-US" w:eastAsia="zh-CN" w:bidi="ar"/>
                    </w:rPr>
                    <w:t>、火灾等事故的发生，场内应制定事故应急手册，员工还需要对杜绝油品</w:t>
                  </w:r>
                  <w:r>
                    <w:rPr>
                      <w:rFonts w:hint="eastAsia" w:ascii="Times New Roman" w:hAnsi="Times New Roman" w:eastAsia="宋体" w:cs="Times New Roman"/>
                      <w:color w:val="000000"/>
                      <w:kern w:val="0"/>
                      <w:sz w:val="21"/>
                      <w:szCs w:val="21"/>
                      <w:lang w:val="en-US" w:eastAsia="zh-CN" w:bidi="ar"/>
                    </w:rPr>
                    <w:t>泄漏</w:t>
                  </w:r>
                  <w:r>
                    <w:rPr>
                      <w:rFonts w:hint="default" w:ascii="Times New Roman" w:hAnsi="Times New Roman" w:eastAsia="宋体" w:cs="Times New Roman"/>
                      <w:color w:val="000000"/>
                      <w:kern w:val="0"/>
                      <w:sz w:val="21"/>
                      <w:szCs w:val="21"/>
                      <w:lang w:val="en-US" w:eastAsia="zh-CN" w:bidi="ar"/>
                    </w:rPr>
                    <w:t xml:space="preserve">、消除火灾的措施及消防器材的使用等知识加以了解和掌握。 </w:t>
                  </w:r>
                </w:p>
                <w:p w14:paraId="16BEA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w:t>
                  </w:r>
                  <w:r>
                    <w:rPr>
                      <w:rFonts w:hint="eastAsia" w:ascii="Times New Roman" w:hAnsi="Times New Roman" w:eastAsia="宋体" w:cs="Times New Roman"/>
                      <w:color w:val="000000"/>
                      <w:kern w:val="0"/>
                      <w:sz w:val="21"/>
                      <w:szCs w:val="21"/>
                      <w:lang w:val="en-US" w:eastAsia="zh-CN" w:bidi="ar"/>
                    </w:rPr>
                    <w:t>物料泄漏</w:t>
                  </w:r>
                  <w:r>
                    <w:rPr>
                      <w:rFonts w:hint="default" w:ascii="Times New Roman" w:hAnsi="Times New Roman" w:eastAsia="宋体" w:cs="Times New Roman"/>
                      <w:color w:val="000000"/>
                      <w:kern w:val="0"/>
                      <w:sz w:val="21"/>
                      <w:szCs w:val="21"/>
                      <w:lang w:val="en-US" w:eastAsia="zh-CN" w:bidi="ar"/>
                    </w:rPr>
                    <w:t xml:space="preserve">的防范措施 </w:t>
                  </w:r>
                </w:p>
                <w:p w14:paraId="718CB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①</w:t>
                  </w:r>
                  <w:r>
                    <w:rPr>
                      <w:rFonts w:hint="eastAsia" w:cs="Times New Roman"/>
                      <w:color w:val="000000"/>
                      <w:kern w:val="0"/>
                      <w:sz w:val="21"/>
                      <w:szCs w:val="21"/>
                      <w:lang w:val="en-US" w:eastAsia="zh-CN" w:bidi="ar"/>
                    </w:rPr>
                    <w:t>危废贮存库</w:t>
                  </w:r>
                  <w:r>
                    <w:rPr>
                      <w:rFonts w:hint="default" w:ascii="Times New Roman" w:hAnsi="Times New Roman" w:eastAsia="宋体" w:cs="Times New Roman"/>
                      <w:color w:val="000000"/>
                      <w:kern w:val="0"/>
                      <w:sz w:val="21"/>
                      <w:szCs w:val="21"/>
                      <w:lang w:val="en-US" w:eastAsia="zh-CN" w:bidi="ar"/>
                    </w:rPr>
                    <w:t>进行防雨、防渗、防流失处理，房间设置明显标识，远离火种、热源</w:t>
                  </w: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废润滑油采用专用收集桶收集后暂存于</w:t>
                  </w:r>
                  <w:r>
                    <w:rPr>
                      <w:rFonts w:hint="eastAsia" w:cs="Times New Roman"/>
                      <w:color w:val="000000"/>
                      <w:kern w:val="0"/>
                      <w:sz w:val="21"/>
                      <w:szCs w:val="21"/>
                      <w:lang w:val="en-US" w:eastAsia="zh-CN" w:bidi="ar"/>
                    </w:rPr>
                    <w:t>危废贮存库</w:t>
                  </w:r>
                  <w:r>
                    <w:rPr>
                      <w:rFonts w:hint="default" w:ascii="Times New Roman" w:hAnsi="Times New Roman" w:eastAsia="宋体" w:cs="Times New Roman"/>
                      <w:color w:val="000000"/>
                      <w:kern w:val="0"/>
                      <w:sz w:val="21"/>
                      <w:szCs w:val="21"/>
                      <w:lang w:val="en-US" w:eastAsia="zh-CN" w:bidi="ar"/>
                    </w:rPr>
                    <w:t>内，最终交由资质单位集中处理</w:t>
                  </w: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 xml:space="preserve"> </w:t>
                  </w:r>
                </w:p>
                <w:p w14:paraId="3A9B8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②配备相应品种和数量的消防器材，</w:t>
                  </w:r>
                  <w:r>
                    <w:rPr>
                      <w:rFonts w:hint="eastAsia" w:cs="Times New Roman"/>
                      <w:color w:val="000000"/>
                      <w:kern w:val="0"/>
                      <w:sz w:val="21"/>
                      <w:szCs w:val="21"/>
                      <w:lang w:val="en-US" w:eastAsia="zh-CN" w:bidi="ar"/>
                    </w:rPr>
                    <w:t>定期</w:t>
                  </w:r>
                  <w:r>
                    <w:rPr>
                      <w:rFonts w:hint="default" w:ascii="Times New Roman" w:hAnsi="Times New Roman" w:eastAsia="宋体" w:cs="Times New Roman"/>
                      <w:color w:val="000000"/>
                      <w:kern w:val="0"/>
                      <w:sz w:val="21"/>
                      <w:szCs w:val="21"/>
                      <w:lang w:bidi="ar"/>
                    </w:rPr>
                    <w:t>检查</w:t>
                  </w:r>
                  <w:r>
                    <w:rPr>
                      <w:rFonts w:hint="eastAsia" w:cs="Times New Roman"/>
                      <w:color w:val="000000"/>
                      <w:kern w:val="0"/>
                      <w:sz w:val="21"/>
                      <w:szCs w:val="21"/>
                      <w:lang w:val="en-US" w:eastAsia="zh-CN" w:bidi="ar"/>
                    </w:rPr>
                    <w:t>柴油</w:t>
                  </w:r>
                  <w:r>
                    <w:rPr>
                      <w:rFonts w:hint="default" w:ascii="Times New Roman" w:hAnsi="Times New Roman" w:eastAsia="宋体" w:cs="Times New Roman"/>
                      <w:color w:val="000000"/>
                      <w:kern w:val="0"/>
                      <w:sz w:val="21"/>
                      <w:szCs w:val="21"/>
                      <w:lang w:bidi="ar"/>
                    </w:rPr>
                    <w:t>容器的密闭性</w:t>
                  </w:r>
                  <w:r>
                    <w:rPr>
                      <w:rFonts w:hint="eastAsia"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bidi="ar"/>
                    </w:rPr>
                    <w:t>安排专人定期巡查</w:t>
                  </w:r>
                  <w:r>
                    <w:rPr>
                      <w:rFonts w:hint="eastAsia" w:cs="Times New Roman"/>
                      <w:color w:val="000000"/>
                      <w:kern w:val="0"/>
                      <w:sz w:val="21"/>
                      <w:szCs w:val="21"/>
                      <w:lang w:val="en-US" w:eastAsia="zh-CN" w:bidi="ar"/>
                    </w:rPr>
                    <w:t>柴油</w:t>
                  </w:r>
                  <w:r>
                    <w:rPr>
                      <w:rFonts w:hint="default" w:ascii="Times New Roman" w:hAnsi="Times New Roman" w:eastAsia="宋体" w:cs="Times New Roman"/>
                      <w:color w:val="000000"/>
                      <w:kern w:val="0"/>
                      <w:sz w:val="21"/>
                      <w:szCs w:val="21"/>
                      <w:lang w:bidi="ar"/>
                    </w:rPr>
                    <w:t>入库情况</w:t>
                  </w:r>
                  <w:r>
                    <w:rPr>
                      <w:rFonts w:hint="eastAsia"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bidi="ar"/>
                    </w:rPr>
                    <w:t>使用完成后，空桶</w:t>
                  </w:r>
                  <w:r>
                    <w:rPr>
                      <w:rFonts w:hint="eastAsia" w:cs="Times New Roman"/>
                      <w:color w:val="000000"/>
                      <w:kern w:val="0"/>
                      <w:sz w:val="21"/>
                      <w:szCs w:val="21"/>
                      <w:lang w:val="en-US" w:eastAsia="zh-CN" w:bidi="ar"/>
                    </w:rPr>
                    <w:t>集中</w:t>
                  </w:r>
                  <w:r>
                    <w:rPr>
                      <w:rFonts w:hint="default" w:ascii="Times New Roman" w:hAnsi="Times New Roman" w:eastAsia="宋体" w:cs="Times New Roman"/>
                      <w:color w:val="000000"/>
                      <w:kern w:val="0"/>
                      <w:sz w:val="21"/>
                      <w:szCs w:val="21"/>
                      <w:lang w:val="en-US" w:eastAsia="zh-CN" w:bidi="ar"/>
                    </w:rPr>
                    <w:t>收集后暂存于</w:t>
                  </w:r>
                  <w:r>
                    <w:rPr>
                      <w:rFonts w:hint="eastAsia" w:cs="Times New Roman"/>
                      <w:color w:val="000000"/>
                      <w:kern w:val="0"/>
                      <w:sz w:val="21"/>
                      <w:szCs w:val="21"/>
                      <w:lang w:val="en-US" w:eastAsia="zh-CN" w:bidi="ar"/>
                    </w:rPr>
                    <w:t>危废贮存库</w:t>
                  </w:r>
                  <w:r>
                    <w:rPr>
                      <w:rFonts w:hint="default" w:ascii="Times New Roman" w:hAnsi="Times New Roman" w:eastAsia="宋体" w:cs="Times New Roman"/>
                      <w:color w:val="000000"/>
                      <w:kern w:val="0"/>
                      <w:sz w:val="21"/>
                      <w:szCs w:val="21"/>
                      <w:lang w:val="en-US" w:eastAsia="zh-CN" w:bidi="ar"/>
                    </w:rPr>
                    <w:t>内</w:t>
                  </w:r>
                  <w:r>
                    <w:rPr>
                      <w:rFonts w:hint="eastAsia" w:cs="Times New Roman"/>
                      <w:color w:val="000000"/>
                      <w:kern w:val="0"/>
                      <w:sz w:val="21"/>
                      <w:szCs w:val="21"/>
                      <w:lang w:val="en-US" w:eastAsia="zh-CN" w:bidi="ar"/>
                    </w:rPr>
                    <w:t>，定期委托有资质单位清运处置</w:t>
                  </w:r>
                  <w:r>
                    <w:rPr>
                      <w:rFonts w:hint="eastAsia"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 xml:space="preserve"> </w:t>
                  </w:r>
                </w:p>
                <w:p w14:paraId="40D56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（3）火灾事故防范措施 </w:t>
                  </w:r>
                </w:p>
                <w:p w14:paraId="2B20FE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①对厂内可能的明火、电器火花和撞击火花进行控制管理；严禁在危险区内吸烟和违章动用明火；电器设备、仪表选用防爆型；操作人员应按规定穿戴劳保用品，防止静电火花的产生。 </w:t>
                  </w:r>
                </w:p>
                <w:p w14:paraId="797F3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②移动式灭火设备按照《建筑灭火器配置设计规范》（GB50140－2005），对项目区内可能发生火灾的各类场所、工艺装置区、主要建筑物等，根据其火灾危险性、区域大小等实际情况，分别配置一定数量不同类型、不同规格的移动式灭火器材，以便及时扑救初始零星火灾。 </w:t>
                  </w:r>
                </w:p>
                <w:p w14:paraId="548B48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③提高员工素质。增强安全意识。建立严格的安全管理制度，杜绝违章动火、吸烟等现象，按规定配备劳动防护用品</w:t>
                  </w: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 xml:space="preserve">经常性地向职工进行安全和健康防护方面的教育。 </w:t>
                  </w:r>
                </w:p>
                <w:p w14:paraId="7039EC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④项目区内危险区域内的电气设备选型、安装、电力线路敷设等，应符合现行国家标准《爆炸和火灾危险环境电力装置设计规范》</w:t>
                  </w:r>
                  <w:r>
                    <w:rPr>
                      <w:rFonts w:hint="eastAsia"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GB 50058</w:t>
                  </w:r>
                  <w:r>
                    <w:rPr>
                      <w:rFonts w:hint="eastAsia"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 xml:space="preserve">的规定。 </w:t>
                  </w:r>
                </w:p>
                <w:p w14:paraId="29F6BA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（4）废气事故排放防范措施</w:t>
                  </w:r>
                </w:p>
                <w:p w14:paraId="0782C9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①加强废气治理设施的日常维护管理，确保废气治理系统处在良好的运转状态； </w:t>
                  </w:r>
                </w:p>
                <w:p w14:paraId="0BCD1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②委托有资质的监测机构定期对废气排放口监测，掌握污染物的排放情况，建立废气治理措施运行台账管理制度，杜绝废气事故排放。 </w:t>
                  </w:r>
                </w:p>
                <w:p w14:paraId="032CE9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 xml:space="preserve">（5）编制应急预案 </w:t>
                  </w:r>
                </w:p>
                <w:p w14:paraId="3DA596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000000"/>
                      <w:kern w:val="0"/>
                      <w:sz w:val="21"/>
                      <w:szCs w:val="21"/>
                      <w:lang w:bidi="ar"/>
                    </w:rPr>
                    <w:t>项目建设后，环评建议</w:t>
                  </w:r>
                  <w:r>
                    <w:rPr>
                      <w:rFonts w:hint="default" w:ascii="Times New Roman" w:hAnsi="Times New Roman" w:eastAsia="宋体" w:cs="Times New Roman"/>
                      <w:color w:val="000000"/>
                      <w:kern w:val="0"/>
                      <w:sz w:val="21"/>
                      <w:szCs w:val="21"/>
                      <w:lang w:val="en-US" w:eastAsia="zh-CN" w:bidi="ar"/>
                    </w:rPr>
                    <w:t>建设单位应</w:t>
                  </w:r>
                  <w:r>
                    <w:rPr>
                      <w:rFonts w:hint="default" w:ascii="Times New Roman" w:hAnsi="Times New Roman" w:eastAsia="宋体" w:cs="Times New Roman"/>
                      <w:color w:val="000000"/>
                      <w:kern w:val="0"/>
                      <w:sz w:val="21"/>
                      <w:szCs w:val="21"/>
                      <w:lang w:bidi="ar"/>
                    </w:rPr>
                    <w:t>根据</w:t>
                  </w:r>
                  <w:r>
                    <w:rPr>
                      <w:rFonts w:hint="default" w:ascii="Times New Roman" w:hAnsi="Times New Roman" w:eastAsia="宋体" w:cs="Times New Roman"/>
                      <w:color w:val="000000"/>
                      <w:kern w:val="0"/>
                      <w:sz w:val="21"/>
                      <w:szCs w:val="21"/>
                      <w:lang w:val="en-US" w:eastAsia="zh-CN" w:bidi="ar"/>
                    </w:rPr>
                    <w:t>本项目可能造成环境风险的突发性事故编制应急预案并备案</w:t>
                  </w:r>
                  <w:r>
                    <w:rPr>
                      <w:rFonts w:hint="default" w:ascii="Times New Roman" w:hAnsi="Times New Roman" w:eastAsia="宋体" w:cs="Times New Roman"/>
                      <w:color w:val="000000"/>
                      <w:kern w:val="0"/>
                      <w:sz w:val="21"/>
                      <w:szCs w:val="21"/>
                      <w:lang w:bidi="ar"/>
                    </w:rPr>
                    <w:t>。</w:t>
                  </w:r>
                </w:p>
              </w:tc>
            </w:tr>
            <w:tr w14:paraId="7860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92" w:type="dxa"/>
                  <w:gridSpan w:val="5"/>
                  <w:tcBorders>
                    <w:top w:val="single" w:color="auto" w:sz="4" w:space="0"/>
                    <w:left w:val="single" w:color="auto" w:sz="4" w:space="0"/>
                    <w:bottom w:val="single" w:color="auto" w:sz="4" w:space="0"/>
                    <w:right w:val="single" w:color="auto" w:sz="4" w:space="0"/>
                  </w:tcBorders>
                  <w:noWrap w:val="0"/>
                  <w:vAlign w:val="center"/>
                </w:tcPr>
                <w:p w14:paraId="7FC02AE3">
                  <w:pPr>
                    <w:pStyle w:val="24"/>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填表说明（列出项目相关信息及评价说明）：无。</w:t>
                  </w:r>
                </w:p>
              </w:tc>
            </w:tr>
          </w:tbl>
          <w:p w14:paraId="53F5F477">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sz w:val="24"/>
                <w:szCs w:val="24"/>
              </w:rPr>
            </w:pPr>
            <w:r>
              <w:rPr>
                <w:rFonts w:hint="default"/>
                <w:b/>
                <w:bCs/>
                <w:color w:val="auto"/>
                <w:sz w:val="24"/>
                <w:szCs w:val="24"/>
              </w:rPr>
              <w:t>7、生态环境影响分析</w:t>
            </w:r>
          </w:p>
          <w:p w14:paraId="023DA8D9">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项目租用云南鹏达冠得有限公司已建闲置厂房进行建设（厂房占地面积2300m</w:t>
            </w:r>
            <w:r>
              <w:rPr>
                <w:rFonts w:hint="default"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不新增土建施工，施工期仅进行设备安装。项目所在区域现状已硬化，主要为水泥路面和人工绿化植被，无天然植被分布；评价范围内无自然保护区、风景名胜区、森林公园、历史文化遗迹等需要特殊保护的生态敏感目标，项目区域及周边200m范围内无国家、省、市（县）级保护野生动植物分布，无生态环境保护目标。</w:t>
            </w:r>
          </w:p>
          <w:p w14:paraId="0E92B90C">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建设期仅进行设备安装，工程量小、工期短，无土方开挖、不新增占地，不会对区域地貌、植被及动物生境造成明显扰动；施工结束后及时清理施工迹地，施工对生态环境的影响随施工结束而消失。项目运营期主要在生产厂房内进行塑料框生产，不占用新的土地空间；项目利用现有厂区已建的绿化、</w:t>
            </w:r>
            <w:r>
              <w:rPr>
                <w:rFonts w:hint="eastAsia" w:cs="Times New Roman"/>
                <w:color w:val="auto"/>
                <w:kern w:val="0"/>
                <w:sz w:val="24"/>
                <w:szCs w:val="24"/>
                <w:lang w:val="en-US" w:eastAsia="zh-CN" w:bidi="ar"/>
              </w:rPr>
              <w:t>雨污分流</w:t>
            </w:r>
            <w:r>
              <w:rPr>
                <w:rFonts w:hint="default" w:ascii="Times New Roman" w:hAnsi="Times New Roman" w:eastAsia="宋体" w:cs="Times New Roman"/>
                <w:color w:val="auto"/>
                <w:kern w:val="0"/>
                <w:sz w:val="24"/>
                <w:szCs w:val="24"/>
                <w:lang w:val="en-US" w:eastAsia="zh-CN" w:bidi="ar"/>
              </w:rPr>
              <w:t>排水</w:t>
            </w:r>
            <w:r>
              <w:rPr>
                <w:rFonts w:hint="eastAsia" w:cs="Times New Roman"/>
                <w:color w:val="auto"/>
                <w:kern w:val="0"/>
                <w:sz w:val="24"/>
                <w:szCs w:val="24"/>
                <w:lang w:val="en-US" w:eastAsia="zh-CN" w:bidi="ar"/>
              </w:rPr>
              <w:t>系统</w:t>
            </w:r>
            <w:r>
              <w:rPr>
                <w:rFonts w:hint="default" w:ascii="Times New Roman" w:hAnsi="Times New Roman" w:eastAsia="宋体" w:cs="Times New Roman"/>
                <w:color w:val="auto"/>
                <w:kern w:val="0"/>
                <w:sz w:val="24"/>
                <w:szCs w:val="24"/>
                <w:lang w:val="en-US" w:eastAsia="zh-CN" w:bidi="ar"/>
              </w:rPr>
              <w:t>等生态基础设施并加强维护，发挥其水土保持与生态缓冲功能；运营期无生产废水外排，生活污水依托已建污水处理系统处理达标后回用于区域绿化浇灌及道路场地洒水，有利于区域植被维护；各类固体废物分类收集、规范暂存、合规处置，不进入土壤及水体，不会对区域生态环境造成不利影响。</w:t>
            </w:r>
          </w:p>
          <w:p w14:paraId="79550802">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综上所述，项目建设和运营对区域生态环境的影响较小，不会导致区域生态系统结构与功能的明显改变。</w:t>
            </w:r>
          </w:p>
          <w:p w14:paraId="3D6598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rPr>
            </w:pPr>
            <w:r>
              <w:rPr>
                <w:rFonts w:hint="default"/>
                <w:b/>
                <w:bCs/>
                <w:color w:val="auto"/>
                <w:sz w:val="24"/>
                <w:szCs w:val="24"/>
              </w:rPr>
              <w:t>8、碳排放分析</w:t>
            </w:r>
          </w:p>
          <w:p w14:paraId="0889E19E">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根据《环境影响评价与排污许可领域协同推进碳减排工作方案》（环办环评函〔2021〕131号）、《关于开展重点行业建设项目碳排放环境影响评价的通知》（环办环评〔2021〕27号），目前碳排放环境影响评价试点范围为发电、石化、化工、建材、钢铁、有色金属冶炼、造纸、民航等重点行业。本项目为塑料包装箱及容器制造（C2926）项目，不属于上述试点行业及</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两高</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行业，不需要开展碳排放环境影响评价，本次仅对项目碳排放情况进行简单分析。</w:t>
            </w:r>
          </w:p>
          <w:p w14:paraId="3E5EDC0E">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项目运营期能源消耗主要为电能，年用电量约</w:t>
            </w:r>
            <w:r>
              <w:rPr>
                <w:rFonts w:hint="eastAsia" w:cs="Times New Roman"/>
                <w:color w:val="auto"/>
                <w:kern w:val="0"/>
                <w:sz w:val="24"/>
                <w:szCs w:val="24"/>
                <w:lang w:val="en-US" w:eastAsia="zh-CN" w:bidi="ar"/>
              </w:rPr>
              <w:t>120</w:t>
            </w:r>
            <w:r>
              <w:rPr>
                <w:rFonts w:hint="default" w:ascii="Times New Roman" w:hAnsi="Times New Roman" w:eastAsia="宋体" w:cs="Times New Roman"/>
                <w:color w:val="auto"/>
                <w:kern w:val="0"/>
                <w:sz w:val="24"/>
                <w:szCs w:val="24"/>
                <w:lang w:val="en-US" w:eastAsia="zh-CN" w:bidi="ar"/>
              </w:rPr>
              <w:t>万kW·h，由市政供电电网供给，生产设备采用电加热，不使用燃煤、燃油、燃气等化石燃料，无工艺燃烧碳排放源，碳排放主要为外购电力引起的间接碳排放。参照生态环境部、国家统计局《关于发布2022年电力二氧化碳排放因子的公告》，采用云南省电力平均二氧化碳排放因子（0.1073 kgCO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/kWh，2022年度）估算，项目运营期年碳排放量约为</w:t>
            </w:r>
            <w:r>
              <w:rPr>
                <w:rFonts w:hint="eastAsia" w:cs="Times New Roman"/>
                <w:color w:val="auto"/>
                <w:kern w:val="0"/>
                <w:sz w:val="24"/>
                <w:szCs w:val="24"/>
                <w:lang w:val="en-US" w:eastAsia="zh-CN" w:bidi="ar"/>
              </w:rPr>
              <w:t>120</w:t>
            </w:r>
            <w:r>
              <w:rPr>
                <w:rFonts w:hint="default" w:ascii="Times New Roman" w:hAnsi="Times New Roman" w:eastAsia="宋体" w:cs="Times New Roman"/>
                <w:color w:val="auto"/>
                <w:kern w:val="0"/>
                <w:sz w:val="24"/>
                <w:szCs w:val="24"/>
                <w:lang w:val="en-US" w:eastAsia="zh-CN" w:bidi="ar"/>
              </w:rPr>
              <w:t>万kW·h/a×0.1073 kgCO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/kWh≈</w:t>
            </w:r>
            <w:r>
              <w:rPr>
                <w:rFonts w:hint="eastAsia" w:cs="Times New Roman"/>
                <w:color w:val="auto"/>
                <w:kern w:val="0"/>
                <w:sz w:val="24"/>
                <w:szCs w:val="24"/>
                <w:lang w:val="en-US" w:eastAsia="zh-CN" w:bidi="ar"/>
              </w:rPr>
              <w:t>128.76</w:t>
            </w:r>
            <w:r>
              <w:rPr>
                <w:rFonts w:hint="default" w:ascii="Times New Roman" w:hAnsi="Times New Roman" w:eastAsia="宋体" w:cs="Times New Roman"/>
                <w:color w:val="auto"/>
                <w:kern w:val="0"/>
                <w:sz w:val="24"/>
                <w:szCs w:val="24"/>
                <w:lang w:val="en-US" w:eastAsia="zh-CN" w:bidi="ar"/>
              </w:rPr>
              <w:t>tCO</w:t>
            </w:r>
            <w:r>
              <w:rPr>
                <w:rFonts w:hint="default" w:ascii="Times New Roman" w:hAnsi="Times New Roman" w:eastAsia="宋体" w:cs="Times New Roman"/>
                <w:color w:val="auto"/>
                <w:kern w:val="0"/>
                <w:sz w:val="24"/>
                <w:szCs w:val="24"/>
                <w:vertAlign w:val="subscript"/>
                <w:lang w:val="en-US" w:eastAsia="zh-CN" w:bidi="ar"/>
              </w:rPr>
              <w:t>2</w:t>
            </w:r>
            <w:r>
              <w:rPr>
                <w:rFonts w:hint="default" w:ascii="Times New Roman" w:hAnsi="Times New Roman" w:eastAsia="宋体" w:cs="Times New Roman"/>
                <w:color w:val="auto"/>
                <w:kern w:val="0"/>
                <w:sz w:val="24"/>
                <w:szCs w:val="24"/>
                <w:lang w:val="en-US" w:eastAsia="zh-CN" w:bidi="ar"/>
              </w:rPr>
              <w:t>/a。</w:t>
            </w:r>
          </w:p>
          <w:p w14:paraId="092817D7">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项目从源头落实减污降碳协同要求：①生产设备采用电能（清洁能源）加热，选用低能耗注塑设备，不使用高污染燃料；②注塑冷却水循环回用，减少新鲜水消耗及相应的水处理能耗；③生产边角料及不合格品破碎后全部回用于生产，减少原料消耗，间接降低上游原料生产环节的隐含碳排放。</w:t>
            </w:r>
          </w:p>
          <w:p w14:paraId="6115E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rPr>
            </w:pPr>
            <w:r>
              <w:rPr>
                <w:rFonts w:hint="default" w:ascii="Times New Roman" w:hAnsi="Times New Roman" w:eastAsia="宋体" w:cs="Times New Roman"/>
                <w:color w:val="auto"/>
                <w:kern w:val="0"/>
                <w:sz w:val="24"/>
                <w:szCs w:val="24"/>
                <w:lang w:val="en-US" w:eastAsia="zh-CN" w:bidi="ar"/>
              </w:rPr>
              <w:t>综上所述，项目能源结构清洁、碳排放量较小，不属于</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两高一低</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项目，项目碳排放对区域碳减排目标影响较小。</w:t>
            </w:r>
          </w:p>
          <w:p w14:paraId="6AC410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auto"/>
                <w:sz w:val="24"/>
                <w:szCs w:val="24"/>
              </w:rPr>
            </w:pPr>
            <w:r>
              <w:rPr>
                <w:rFonts w:hint="eastAsia"/>
                <w:b/>
                <w:bCs/>
                <w:color w:val="auto"/>
                <w:sz w:val="24"/>
                <w:szCs w:val="24"/>
                <w:lang w:val="en-US" w:eastAsia="zh-CN"/>
              </w:rPr>
              <w:t>9</w:t>
            </w:r>
            <w:r>
              <w:rPr>
                <w:rFonts w:hint="default" w:ascii="Times New Roman" w:hAnsi="Times New Roman" w:eastAsia="宋体" w:cs="Times New Roman"/>
                <w:b/>
                <w:bCs/>
                <w:color w:val="auto"/>
                <w:kern w:val="0"/>
                <w:sz w:val="24"/>
                <w:szCs w:val="24"/>
                <w:lang w:val="en-US" w:eastAsia="zh-CN" w:bidi="ar"/>
              </w:rPr>
              <w:t xml:space="preserve">、项目排污许可制度 </w:t>
            </w:r>
          </w:p>
          <w:p w14:paraId="7E4E04FE">
            <w:pPr>
              <w:keepNext w:val="0"/>
              <w:keepLines w:val="0"/>
              <w:pageBreakBefore w:val="0"/>
              <w:widowControl/>
              <w:suppressLineNumbers w:val="0"/>
              <w:kinsoku/>
              <w:overflowPunct/>
              <w:autoSpaceDE/>
              <w:autoSpaceDN/>
              <w:bidi w:val="0"/>
              <w:snapToGrid/>
              <w:spacing w:before="0" w:beforeAutospacing="0" w:after="0" w:afterAutospacing="0" w:line="360" w:lineRule="auto"/>
              <w:ind w:left="0" w:right="0" w:firstLine="480" w:firstLineChars="200"/>
              <w:jc w:val="left"/>
              <w:rPr>
                <w:rFonts w:hint="default" w:ascii="Times New Roman" w:hAnsi="Times New Roman" w:eastAsia="宋体" w:cs="Times New Roman"/>
                <w:lang w:val="en-US" w:eastAsia="zh-CN"/>
              </w:rPr>
            </w:pPr>
            <w:r>
              <w:rPr>
                <w:rFonts w:hint="default" w:ascii="Times New Roman" w:hAnsi="Times New Roman" w:eastAsia="宋体" w:cs="Times New Roman"/>
                <w:color w:val="000000"/>
                <w:kern w:val="0"/>
                <w:sz w:val="24"/>
                <w:szCs w:val="24"/>
                <w:lang w:val="en-US" w:eastAsia="zh-CN" w:bidi="ar"/>
              </w:rPr>
              <w:t>对照《固定污染源排污许可分类管理名录（2019 年版）》，本项目属于二十四、橡胶和塑料制品业 29，62.塑料制品 292</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其他</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为登记管理。建设</w:t>
            </w:r>
            <w:r>
              <w:rPr>
                <w:rFonts w:hint="eastAsia" w:cs="Times New Roman"/>
                <w:color w:val="000000"/>
                <w:kern w:val="0"/>
                <w:sz w:val="24"/>
                <w:szCs w:val="24"/>
                <w:lang w:val="en-US" w:eastAsia="zh-CN" w:bidi="ar"/>
              </w:rPr>
              <w:t>单位</w:t>
            </w:r>
            <w:r>
              <w:rPr>
                <w:rFonts w:hint="default" w:ascii="Times New Roman" w:hAnsi="Times New Roman" w:eastAsia="宋体" w:cs="Times New Roman"/>
                <w:color w:val="000000"/>
                <w:kern w:val="0"/>
                <w:sz w:val="24"/>
                <w:szCs w:val="24"/>
                <w:lang w:val="en-US" w:eastAsia="zh-CN" w:bidi="ar"/>
              </w:rPr>
              <w:t>应在项目取得环评批复后</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在启动生产设施或者发生实际排污之前，应当按照国家环境保护相关法律法规以及排污许可证申请与核发技术规范要求申请排污登记，不得无证排污或不按证排污。环境影响报告书（表）2015 年 1 月 1 日（含）后获得批准的建设项目，其环境影响报告书（表）以及审批文件中与污染物排放相关的主要内容应当纳入排污登记。建设项目无证排污或不按证排污的，建设单位不得出具该项目验收合格的意见，验收报告中与污染物排放相关的主要内容应当纳入该项目验收完成当年排污许可证执行年报。排污许可证执行报告、台账记录以及自行监测执行情况等应作为开展建设项目环境影响后评价的重要依据。 </w:t>
            </w:r>
          </w:p>
        </w:tc>
      </w:tr>
    </w:tbl>
    <w:p w14:paraId="2FD4D3A6">
      <w:pPr>
        <w:pStyle w:val="2"/>
        <w:rPr>
          <w:rFonts w:hint="eastAsia" w:ascii="宋体" w:hAnsi="宋体" w:eastAsia="宋体" w:cs="宋体"/>
          <w:color w:val="auto"/>
          <w:szCs w:val="21"/>
        </w:rPr>
      </w:pPr>
      <w:r>
        <w:rPr>
          <w:bCs w:val="0"/>
          <w:color w:val="auto"/>
          <w:szCs w:val="21"/>
        </w:rPr>
        <w:br w:type="page"/>
      </w:r>
      <w:bookmarkStart w:id="14" w:name="_Toc25968"/>
      <w:r>
        <w:rPr>
          <w:rFonts w:hint="eastAsia" w:ascii="宋体" w:hAnsi="宋体" w:eastAsia="宋体" w:cs="宋体"/>
          <w:color w:val="auto"/>
          <w:szCs w:val="21"/>
        </w:rPr>
        <w:t>五、</w:t>
      </w:r>
      <w:bookmarkStart w:id="15" w:name="_Hlk54167917"/>
      <w:r>
        <w:rPr>
          <w:rFonts w:hint="eastAsia" w:ascii="宋体" w:hAnsi="宋体" w:eastAsia="宋体" w:cs="宋体"/>
          <w:color w:val="auto"/>
          <w:szCs w:val="21"/>
        </w:rPr>
        <w:t>环境保护措施监督检查清单</w:t>
      </w:r>
      <w:bookmarkEnd w:id="14"/>
      <w:bookmarkEnd w:id="15"/>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230"/>
        <w:gridCol w:w="1409"/>
        <w:gridCol w:w="2836"/>
        <w:gridCol w:w="2255"/>
      </w:tblGrid>
      <w:tr w14:paraId="42E5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70" w:type="dxa"/>
            <w:tcBorders>
              <w:tl2br w:val="single" w:color="auto" w:sz="4" w:space="0"/>
            </w:tcBorders>
            <w:noWrap w:val="0"/>
            <w:vAlign w:val="top"/>
          </w:tcPr>
          <w:p w14:paraId="64A9E9BA">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内容</w:t>
            </w:r>
          </w:p>
          <w:p w14:paraId="3C4E3B0D">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p>
          <w:p w14:paraId="7A4831BB">
            <w:pPr>
              <w:pStyle w:val="85"/>
              <w:keepNext w:val="0"/>
              <w:keepLines w:val="0"/>
              <w:suppressLineNumbers w:val="0"/>
              <w:spacing w:before="0" w:beforeAutospacing="0" w:after="0" w:afterAutospacing="0"/>
              <w:ind w:left="0" w:right="0"/>
              <w:jc w:val="both"/>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要素</w:t>
            </w:r>
          </w:p>
        </w:tc>
        <w:tc>
          <w:tcPr>
            <w:tcW w:w="1230" w:type="dxa"/>
            <w:noWrap w:val="0"/>
            <w:vAlign w:val="center"/>
          </w:tcPr>
          <w:p w14:paraId="3BA3F5E0">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排放口</w:t>
            </w:r>
          </w:p>
          <w:p w14:paraId="3EE7B2D3">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(编号、名称)/污染源</w:t>
            </w:r>
          </w:p>
        </w:tc>
        <w:tc>
          <w:tcPr>
            <w:tcW w:w="1409" w:type="dxa"/>
            <w:noWrap w:val="0"/>
            <w:vAlign w:val="center"/>
          </w:tcPr>
          <w:p w14:paraId="5CE831B3">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污染物项目</w:t>
            </w:r>
          </w:p>
        </w:tc>
        <w:tc>
          <w:tcPr>
            <w:tcW w:w="2836" w:type="dxa"/>
            <w:noWrap w:val="0"/>
            <w:vAlign w:val="center"/>
          </w:tcPr>
          <w:p w14:paraId="78D640E6">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环境保护措施</w:t>
            </w:r>
          </w:p>
        </w:tc>
        <w:tc>
          <w:tcPr>
            <w:tcW w:w="2255" w:type="dxa"/>
            <w:noWrap w:val="0"/>
            <w:vAlign w:val="center"/>
          </w:tcPr>
          <w:p w14:paraId="07EAFECB">
            <w:pPr>
              <w:pStyle w:val="85"/>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执行标准</w:t>
            </w:r>
          </w:p>
        </w:tc>
      </w:tr>
      <w:tr w14:paraId="1CB9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70" w:type="dxa"/>
            <w:vMerge w:val="restart"/>
            <w:noWrap w:val="0"/>
            <w:vAlign w:val="center"/>
          </w:tcPr>
          <w:p w14:paraId="0F0D3188">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大气 </w:t>
            </w:r>
          </w:p>
        </w:tc>
        <w:tc>
          <w:tcPr>
            <w:tcW w:w="1230" w:type="dxa"/>
            <w:vMerge w:val="restart"/>
            <w:noWrap w:val="0"/>
            <w:vAlign w:val="center"/>
          </w:tcPr>
          <w:p w14:paraId="2F39C936">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注塑</w:t>
            </w:r>
          </w:p>
        </w:tc>
        <w:tc>
          <w:tcPr>
            <w:tcW w:w="1409" w:type="dxa"/>
            <w:noWrap w:val="0"/>
            <w:vAlign w:val="center"/>
          </w:tcPr>
          <w:p w14:paraId="2727D8A6">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非甲烷总烃</w:t>
            </w:r>
          </w:p>
        </w:tc>
        <w:tc>
          <w:tcPr>
            <w:tcW w:w="2836" w:type="dxa"/>
            <w:vMerge w:val="restart"/>
            <w:noWrap w:val="0"/>
            <w:vAlign w:val="center"/>
          </w:tcPr>
          <w:p w14:paraId="39F8E26A">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经</w:t>
            </w:r>
            <w:r>
              <w:rPr>
                <w:rFonts w:hint="default" w:ascii="Times New Roman" w:hAnsi="Times New Roman" w:eastAsia="宋体" w:cs="Times New Roman"/>
                <w:bCs/>
                <w:color w:val="auto"/>
                <w:sz w:val="21"/>
                <w:szCs w:val="21"/>
                <w:lang w:val="en-US" w:eastAsia="zh-CN"/>
              </w:rPr>
              <w:t>注塑机</w:t>
            </w:r>
            <w:r>
              <w:rPr>
                <w:rFonts w:hint="default" w:ascii="Times New Roman" w:hAnsi="Times New Roman" w:eastAsia="宋体" w:cs="Times New Roman"/>
                <w:bCs/>
                <w:color w:val="auto"/>
                <w:sz w:val="21"/>
                <w:szCs w:val="21"/>
              </w:rPr>
              <w:t>上方设置</w:t>
            </w:r>
            <w:r>
              <w:rPr>
                <w:rFonts w:hint="default" w:ascii="Times New Roman" w:hAnsi="Times New Roman" w:eastAsia="宋体" w:cs="Times New Roman"/>
                <w:bCs/>
                <w:color w:val="auto"/>
                <w:sz w:val="21"/>
                <w:szCs w:val="21"/>
                <w:lang w:val="en-US" w:eastAsia="zh-CN"/>
              </w:rPr>
              <w:t>的</w:t>
            </w:r>
            <w:r>
              <w:rPr>
                <w:rFonts w:hint="default" w:ascii="Times New Roman" w:hAnsi="Times New Roman" w:eastAsia="宋体" w:cs="Times New Roman"/>
                <w:bCs/>
                <w:color w:val="auto"/>
                <w:sz w:val="21"/>
                <w:szCs w:val="21"/>
              </w:rPr>
              <w:t>集气罩收集</w:t>
            </w:r>
            <w:r>
              <w:rPr>
                <w:rFonts w:hint="default" w:ascii="Times New Roman" w:hAnsi="Times New Roman" w:eastAsia="宋体" w:cs="Times New Roman"/>
                <w:bCs/>
                <w:color w:val="auto"/>
                <w:sz w:val="21"/>
                <w:szCs w:val="21"/>
                <w:lang w:val="en-US" w:eastAsia="zh-CN"/>
              </w:rPr>
              <w:t>进入一套三级活性炭吸附装置</w:t>
            </w:r>
            <w:r>
              <w:rPr>
                <w:rFonts w:hint="default" w:ascii="Times New Roman" w:hAnsi="Times New Roman" w:eastAsia="宋体" w:cs="Times New Roman"/>
                <w:bCs/>
                <w:color w:val="auto"/>
                <w:sz w:val="21"/>
                <w:szCs w:val="21"/>
              </w:rPr>
              <w:t>处理后</w:t>
            </w:r>
            <w:r>
              <w:rPr>
                <w:rFonts w:hint="default" w:ascii="Times New Roman" w:hAnsi="Times New Roman" w:eastAsia="宋体" w:cs="Times New Roman"/>
                <w:bCs/>
                <w:color w:val="auto"/>
                <w:sz w:val="21"/>
                <w:szCs w:val="21"/>
                <w:lang w:val="en-US" w:eastAsia="zh-CN"/>
              </w:rPr>
              <w:t>通过1根</w:t>
            </w:r>
            <w:r>
              <w:rPr>
                <w:rFonts w:hint="default" w:ascii="Times New Roman" w:hAnsi="Times New Roman" w:eastAsia="宋体" w:cs="Times New Roman"/>
                <w:bCs/>
                <w:color w:val="auto"/>
                <w:sz w:val="21"/>
                <w:szCs w:val="21"/>
              </w:rPr>
              <w:t>15m</w:t>
            </w:r>
            <w:r>
              <w:rPr>
                <w:rFonts w:hint="default" w:ascii="Times New Roman" w:hAnsi="Times New Roman" w:eastAsia="宋体" w:cs="Times New Roman"/>
                <w:bCs/>
                <w:color w:val="auto"/>
                <w:sz w:val="21"/>
                <w:szCs w:val="21"/>
                <w:lang w:val="en-US" w:eastAsia="zh-CN"/>
              </w:rPr>
              <w:t>高的</w:t>
            </w:r>
            <w:r>
              <w:rPr>
                <w:rFonts w:hint="default" w:ascii="Times New Roman" w:hAnsi="Times New Roman" w:eastAsia="宋体" w:cs="Times New Roman"/>
                <w:bCs/>
                <w:color w:val="auto"/>
                <w:sz w:val="21"/>
                <w:szCs w:val="21"/>
              </w:rPr>
              <w:t>排气筒（DA00</w:t>
            </w:r>
            <w:r>
              <w:rPr>
                <w:rFonts w:hint="default" w:ascii="Times New Roman" w:hAnsi="Times New Roman" w:eastAsia="宋体" w:cs="Times New Roman"/>
                <w:bCs/>
                <w:color w:val="auto"/>
                <w:sz w:val="21"/>
                <w:szCs w:val="21"/>
                <w:lang w:val="en-US" w:eastAsia="zh-CN"/>
              </w:rPr>
              <w:t>1</w:t>
            </w:r>
            <w:r>
              <w:rPr>
                <w:rFonts w:hint="default" w:ascii="Times New Roman" w:hAnsi="Times New Roman" w:eastAsia="宋体" w:cs="Times New Roman"/>
                <w:bCs/>
                <w:color w:val="auto"/>
                <w:sz w:val="21"/>
                <w:szCs w:val="21"/>
              </w:rPr>
              <w:t>）排放。</w:t>
            </w:r>
          </w:p>
        </w:tc>
        <w:tc>
          <w:tcPr>
            <w:tcW w:w="2255" w:type="dxa"/>
            <w:noWrap w:val="0"/>
            <w:vAlign w:val="center"/>
          </w:tcPr>
          <w:p w14:paraId="792DCE5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《合成树脂工业污染物排放标准》（GB31572-2015含2024年修改单）表4标准限值</w:t>
            </w:r>
          </w:p>
        </w:tc>
      </w:tr>
      <w:tr w14:paraId="6E41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070" w:type="dxa"/>
            <w:vMerge w:val="continue"/>
            <w:noWrap w:val="0"/>
            <w:vAlign w:val="center"/>
          </w:tcPr>
          <w:p w14:paraId="3762E854">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30" w:type="dxa"/>
            <w:vMerge w:val="continue"/>
            <w:noWrap w:val="0"/>
            <w:vAlign w:val="center"/>
          </w:tcPr>
          <w:p w14:paraId="7050D82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409" w:type="dxa"/>
            <w:noWrap w:val="0"/>
            <w:vAlign w:val="center"/>
          </w:tcPr>
          <w:p w14:paraId="4F9AFE8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臭气浓度</w:t>
            </w:r>
          </w:p>
        </w:tc>
        <w:tc>
          <w:tcPr>
            <w:tcW w:w="2836" w:type="dxa"/>
            <w:vMerge w:val="continue"/>
            <w:noWrap w:val="0"/>
            <w:vAlign w:val="center"/>
          </w:tcPr>
          <w:p w14:paraId="7385F112">
            <w:pPr>
              <w:pStyle w:val="85"/>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1"/>
                <w:szCs w:val="21"/>
              </w:rPr>
            </w:pPr>
          </w:p>
        </w:tc>
        <w:tc>
          <w:tcPr>
            <w:tcW w:w="2255" w:type="dxa"/>
            <w:noWrap w:val="0"/>
            <w:vAlign w:val="center"/>
          </w:tcPr>
          <w:p w14:paraId="1BD286B4">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《恶臭污染物排放标准》（GB14554-93）表2中臭气浓度排放标准</w:t>
            </w:r>
          </w:p>
        </w:tc>
      </w:tr>
      <w:tr w14:paraId="1AD7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070" w:type="dxa"/>
            <w:vMerge w:val="continue"/>
            <w:noWrap w:val="0"/>
            <w:vAlign w:val="center"/>
          </w:tcPr>
          <w:p w14:paraId="2B68FFB7">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30" w:type="dxa"/>
            <w:vMerge w:val="restart"/>
            <w:noWrap w:val="0"/>
            <w:vAlign w:val="center"/>
          </w:tcPr>
          <w:p w14:paraId="11CA87B7">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无组织废气</w:t>
            </w:r>
          </w:p>
        </w:tc>
        <w:tc>
          <w:tcPr>
            <w:tcW w:w="1409" w:type="dxa"/>
            <w:noWrap w:val="0"/>
            <w:vAlign w:val="center"/>
          </w:tcPr>
          <w:p w14:paraId="6049EF9C">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非甲烷总烃</w:t>
            </w:r>
          </w:p>
        </w:tc>
        <w:tc>
          <w:tcPr>
            <w:tcW w:w="2836" w:type="dxa"/>
            <w:noWrap w:val="0"/>
            <w:vAlign w:val="center"/>
          </w:tcPr>
          <w:p w14:paraId="2BB8BA98">
            <w:pPr>
              <w:pStyle w:val="8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厂房封闭、自然扩散</w:t>
            </w:r>
          </w:p>
        </w:tc>
        <w:tc>
          <w:tcPr>
            <w:tcW w:w="2255" w:type="dxa"/>
            <w:noWrap w:val="0"/>
            <w:vAlign w:val="center"/>
          </w:tcPr>
          <w:p w14:paraId="79F4F9ED">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厂界执行《合成树脂工业污染物排放标准》（GB31572-2015含2024年修改单）表9 企业边界大气污染物浓度限值，厂区内执行（GB37822-2019）《挥发性有机物无组织排放控制标准》中标准限值</w:t>
            </w:r>
          </w:p>
        </w:tc>
      </w:tr>
      <w:tr w14:paraId="66C5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070" w:type="dxa"/>
            <w:vMerge w:val="continue"/>
            <w:noWrap w:val="0"/>
            <w:vAlign w:val="center"/>
          </w:tcPr>
          <w:p w14:paraId="6425C7C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30" w:type="dxa"/>
            <w:vMerge w:val="continue"/>
            <w:noWrap w:val="0"/>
            <w:vAlign w:val="center"/>
          </w:tcPr>
          <w:p w14:paraId="241EA30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409" w:type="dxa"/>
            <w:noWrap w:val="0"/>
            <w:vAlign w:val="center"/>
          </w:tcPr>
          <w:p w14:paraId="2EBAC8E0">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颗粒物</w:t>
            </w:r>
          </w:p>
        </w:tc>
        <w:tc>
          <w:tcPr>
            <w:tcW w:w="2836" w:type="dxa"/>
            <w:noWrap w:val="0"/>
            <w:vAlign w:val="center"/>
          </w:tcPr>
          <w:p w14:paraId="39C48C15">
            <w:pPr>
              <w:pStyle w:val="8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rPr>
              <w:t>拌料、破碎</w:t>
            </w:r>
            <w:r>
              <w:rPr>
                <w:rFonts w:hint="default" w:ascii="Times New Roman" w:hAnsi="Times New Roman" w:eastAsia="宋体" w:cs="Times New Roman"/>
                <w:color w:val="auto"/>
                <w:kern w:val="0"/>
                <w:sz w:val="21"/>
                <w:szCs w:val="21"/>
                <w:lang w:val="en-US" w:eastAsia="zh-CN"/>
              </w:rPr>
              <w:t>过程加盖密闭，生产车间为封闭厂房</w:t>
            </w:r>
          </w:p>
        </w:tc>
        <w:tc>
          <w:tcPr>
            <w:tcW w:w="2255" w:type="dxa"/>
            <w:noWrap w:val="0"/>
            <w:vAlign w:val="center"/>
          </w:tcPr>
          <w:p w14:paraId="57D0D34C">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《合成树脂工业污染物排放标准》（GB31572-2015含2024年修改单）表9 企业边界大气污染物浓度限值</w:t>
            </w:r>
          </w:p>
        </w:tc>
      </w:tr>
      <w:tr w14:paraId="6AEF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070" w:type="dxa"/>
            <w:vMerge w:val="continue"/>
            <w:noWrap w:val="0"/>
            <w:vAlign w:val="center"/>
          </w:tcPr>
          <w:p w14:paraId="674263CE">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30" w:type="dxa"/>
            <w:vMerge w:val="continue"/>
            <w:noWrap w:val="0"/>
            <w:vAlign w:val="center"/>
          </w:tcPr>
          <w:p w14:paraId="2D75D9F7">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409" w:type="dxa"/>
            <w:noWrap w:val="0"/>
            <w:vAlign w:val="center"/>
          </w:tcPr>
          <w:p w14:paraId="276A88D8">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臭气浓度</w:t>
            </w:r>
          </w:p>
        </w:tc>
        <w:tc>
          <w:tcPr>
            <w:tcW w:w="2836" w:type="dxa"/>
            <w:noWrap w:val="0"/>
            <w:vAlign w:val="center"/>
          </w:tcPr>
          <w:p w14:paraId="6548BFF1">
            <w:pPr>
              <w:pStyle w:val="8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厂房封闭、自然扩散</w:t>
            </w:r>
          </w:p>
        </w:tc>
        <w:tc>
          <w:tcPr>
            <w:tcW w:w="2255" w:type="dxa"/>
            <w:noWrap w:val="0"/>
            <w:vAlign w:val="center"/>
          </w:tcPr>
          <w:p w14:paraId="311C8B9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《恶臭污染物排放标准》（GB14554-93）表1中标准限值</w:t>
            </w:r>
          </w:p>
        </w:tc>
      </w:tr>
      <w:tr w14:paraId="511E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70" w:type="dxa"/>
            <w:vMerge w:val="restart"/>
            <w:noWrap w:val="0"/>
            <w:vAlign w:val="center"/>
          </w:tcPr>
          <w:p w14:paraId="3B1D822F">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地表水 </w:t>
            </w:r>
          </w:p>
        </w:tc>
        <w:tc>
          <w:tcPr>
            <w:tcW w:w="1230" w:type="dxa"/>
            <w:noWrap w:val="0"/>
            <w:vAlign w:val="center"/>
          </w:tcPr>
          <w:p w14:paraId="0B1495C1">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生产废水</w:t>
            </w:r>
          </w:p>
        </w:tc>
        <w:tc>
          <w:tcPr>
            <w:tcW w:w="1409" w:type="dxa"/>
            <w:noWrap w:val="0"/>
            <w:vAlign w:val="center"/>
          </w:tcPr>
          <w:p w14:paraId="5AD2A2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冷却水</w:t>
            </w:r>
          </w:p>
        </w:tc>
        <w:tc>
          <w:tcPr>
            <w:tcW w:w="2836" w:type="dxa"/>
            <w:noWrap w:val="0"/>
            <w:vAlign w:val="center"/>
          </w:tcPr>
          <w:p w14:paraId="1FA713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w:t>
            </w:r>
            <w:r>
              <w:rPr>
                <w:rFonts w:hint="default" w:ascii="Times New Roman" w:hAnsi="Times New Roman" w:eastAsia="宋体" w:cs="Times New Roman"/>
                <w:color w:val="auto"/>
                <w:sz w:val="21"/>
                <w:szCs w:val="21"/>
                <w:lang w:val="en-US" w:eastAsia="zh-CN"/>
              </w:rPr>
              <w:t>循环水池（容积为10</w:t>
            </w:r>
            <w:r>
              <w:rPr>
                <w:rFonts w:hint="default" w:ascii="Times New Roman" w:hAnsi="Times New Roman" w:eastAsia="宋体" w:cs="Times New Roman"/>
                <w:color w:val="auto"/>
                <w:sz w:val="21"/>
                <w:szCs w:val="21"/>
              </w:rPr>
              <w:t>m³</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收集</w:t>
            </w:r>
            <w:r>
              <w:rPr>
                <w:rFonts w:hint="default" w:ascii="Times New Roman" w:hAnsi="Times New Roman" w:eastAsia="宋体" w:cs="Times New Roman"/>
                <w:color w:val="auto"/>
                <w:sz w:val="21"/>
                <w:szCs w:val="21"/>
                <w:lang w:val="en-US" w:eastAsia="zh-CN"/>
              </w:rPr>
              <w:t>冷却后</w:t>
            </w:r>
            <w:r>
              <w:rPr>
                <w:rFonts w:hint="default" w:ascii="Times New Roman" w:hAnsi="Times New Roman" w:eastAsia="宋体" w:cs="Times New Roman"/>
                <w:color w:val="auto"/>
                <w:sz w:val="21"/>
                <w:szCs w:val="21"/>
              </w:rPr>
              <w:t>循环使用</w:t>
            </w:r>
          </w:p>
        </w:tc>
        <w:tc>
          <w:tcPr>
            <w:tcW w:w="2255" w:type="dxa"/>
            <w:noWrap w:val="0"/>
            <w:vAlign w:val="center"/>
          </w:tcPr>
          <w:p w14:paraId="49C634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循环使用</w:t>
            </w:r>
          </w:p>
        </w:tc>
      </w:tr>
      <w:tr w14:paraId="3AB4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70" w:type="dxa"/>
            <w:vMerge w:val="continue"/>
            <w:noWrap w:val="0"/>
            <w:vAlign w:val="center"/>
          </w:tcPr>
          <w:p w14:paraId="07A8A49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30" w:type="dxa"/>
            <w:noWrap w:val="0"/>
            <w:vAlign w:val="center"/>
          </w:tcPr>
          <w:p w14:paraId="06127BE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生活污水</w:t>
            </w:r>
          </w:p>
        </w:tc>
        <w:tc>
          <w:tcPr>
            <w:tcW w:w="1409" w:type="dxa"/>
            <w:noWrap w:val="0"/>
            <w:vAlign w:val="center"/>
          </w:tcPr>
          <w:p w14:paraId="013F17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COD、BOD</w:t>
            </w:r>
            <w:r>
              <w:rPr>
                <w:rFonts w:hint="default" w:ascii="Times New Roman" w:hAnsi="Times New Roman" w:eastAsia="宋体" w:cs="Times New Roman"/>
                <w:color w:val="auto"/>
                <w:sz w:val="21"/>
                <w:szCs w:val="21"/>
                <w:vertAlign w:val="subscript"/>
                <w:lang w:val="en-US" w:eastAsia="zh-CN"/>
              </w:rPr>
              <w:t>5</w:t>
            </w:r>
            <w:r>
              <w:rPr>
                <w:rFonts w:hint="default" w:ascii="Times New Roman" w:hAnsi="Times New Roman" w:eastAsia="宋体" w:cs="Times New Roman"/>
                <w:color w:val="auto"/>
                <w:sz w:val="21"/>
                <w:szCs w:val="21"/>
                <w:lang w:val="en-US" w:eastAsia="zh-CN"/>
              </w:rPr>
              <w:t>、氨氮、总磷</w:t>
            </w:r>
            <w:r>
              <w:rPr>
                <w:rFonts w:hint="eastAsia" w:cs="Times New Roman"/>
                <w:color w:val="auto"/>
                <w:sz w:val="21"/>
                <w:szCs w:val="21"/>
                <w:lang w:val="en-US" w:eastAsia="zh-CN"/>
              </w:rPr>
              <w:t>、动植物油</w:t>
            </w:r>
            <w:r>
              <w:rPr>
                <w:rFonts w:hint="default" w:ascii="Times New Roman" w:hAnsi="Times New Roman" w:eastAsia="宋体" w:cs="Times New Roman"/>
                <w:color w:val="auto"/>
                <w:sz w:val="21"/>
                <w:szCs w:val="21"/>
                <w:lang w:val="en-US" w:eastAsia="zh-CN"/>
              </w:rPr>
              <w:t>等</w:t>
            </w:r>
          </w:p>
        </w:tc>
        <w:tc>
          <w:tcPr>
            <w:tcW w:w="2836" w:type="dxa"/>
            <w:noWrap w:val="0"/>
            <w:vAlign w:val="center"/>
          </w:tcPr>
          <w:p w14:paraId="6B2AE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依托</w:t>
            </w:r>
            <w:r>
              <w:rPr>
                <w:rFonts w:hint="default" w:ascii="Times New Roman" w:hAnsi="Times New Roman" w:eastAsia="宋体" w:cs="Times New Roman"/>
                <w:caps w:val="0"/>
                <w:smallCaps w:val="0"/>
                <w:color w:val="auto"/>
                <w:kern w:val="2"/>
                <w:sz w:val="21"/>
                <w:szCs w:val="21"/>
                <w:lang w:val="en-US" w:eastAsia="zh-CN" w:bidi="ar-SA"/>
              </w:rPr>
              <w:t>云南鹏达冠得有限公司</w:t>
            </w:r>
            <w:r>
              <w:rPr>
                <w:rFonts w:hint="default" w:ascii="Times New Roman" w:hAnsi="Times New Roman" w:eastAsia="宋体" w:cs="Times New Roman"/>
                <w:color w:val="auto"/>
                <w:sz w:val="21"/>
                <w:szCs w:val="21"/>
                <w:lang w:val="en-US" w:eastAsia="zh-CN"/>
              </w:rPr>
              <w:t>已建污水处理系统（化粪池+</w:t>
            </w:r>
            <w:r>
              <w:rPr>
                <w:rFonts w:hint="default" w:ascii="Times New Roman" w:hAnsi="Times New Roman" w:eastAsia="宋体" w:cs="Times New Roman"/>
                <w:color w:val="000000"/>
                <w:kern w:val="0"/>
                <w:sz w:val="21"/>
                <w:szCs w:val="21"/>
                <w:lang w:val="en-US" w:eastAsia="zh-CN" w:bidi="ar"/>
              </w:rPr>
              <w:t>一体化污水处理设施+蓄水池，食堂废水先经油水分离器处理后同其他生活污水一同进入化粪池</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000000"/>
                <w:kern w:val="0"/>
                <w:sz w:val="21"/>
                <w:szCs w:val="21"/>
                <w:lang w:val="en-US" w:eastAsia="zh-CN" w:bidi="ar"/>
              </w:rPr>
              <w:t>处理达标后</w:t>
            </w:r>
            <w:r>
              <w:rPr>
                <w:rFonts w:hint="default" w:ascii="Times New Roman" w:hAnsi="Times New Roman" w:eastAsia="宋体" w:cs="Times New Roman"/>
                <w:color w:val="auto"/>
                <w:sz w:val="21"/>
                <w:szCs w:val="21"/>
              </w:rPr>
              <w:t>用于</w:t>
            </w:r>
            <w:r>
              <w:rPr>
                <w:rFonts w:hint="default" w:ascii="Times New Roman" w:hAnsi="Times New Roman" w:eastAsia="宋体" w:cs="Times New Roman"/>
                <w:color w:val="000000"/>
                <w:kern w:val="0"/>
                <w:sz w:val="21"/>
                <w:szCs w:val="21"/>
                <w:lang w:val="en-US" w:eastAsia="zh-CN" w:bidi="ar"/>
              </w:rPr>
              <w:t>绿化浇灌及道路洒水</w:t>
            </w:r>
            <w:r>
              <w:rPr>
                <w:rFonts w:hint="default" w:ascii="Times New Roman" w:hAnsi="Times New Roman" w:eastAsia="宋体" w:cs="Times New Roman"/>
                <w:color w:val="auto"/>
                <w:sz w:val="21"/>
                <w:szCs w:val="21"/>
              </w:rPr>
              <w:t>。</w:t>
            </w:r>
          </w:p>
        </w:tc>
        <w:tc>
          <w:tcPr>
            <w:tcW w:w="2255" w:type="dxa"/>
            <w:noWrap w:val="0"/>
            <w:vAlign w:val="center"/>
          </w:tcPr>
          <w:p w14:paraId="5789C5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不外排</w:t>
            </w:r>
          </w:p>
        </w:tc>
      </w:tr>
      <w:tr w14:paraId="07F1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1070" w:type="dxa"/>
            <w:noWrap w:val="0"/>
            <w:vAlign w:val="center"/>
          </w:tcPr>
          <w:p w14:paraId="61C832F9">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2639" w:type="dxa"/>
            <w:gridSpan w:val="2"/>
            <w:noWrap w:val="0"/>
            <w:vAlign w:val="center"/>
          </w:tcPr>
          <w:p w14:paraId="1B49474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设备噪声</w:t>
            </w:r>
          </w:p>
        </w:tc>
        <w:tc>
          <w:tcPr>
            <w:tcW w:w="2836" w:type="dxa"/>
            <w:noWrap w:val="0"/>
            <w:vAlign w:val="center"/>
          </w:tcPr>
          <w:p w14:paraId="375D6EB8">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①厂房封闭；②</w:t>
            </w:r>
            <w:r>
              <w:rPr>
                <w:rFonts w:hint="default" w:ascii="Times New Roman" w:hAnsi="Times New Roman" w:eastAsia="宋体" w:cs="Times New Roman"/>
                <w:color w:val="auto"/>
                <w:sz w:val="21"/>
                <w:szCs w:val="21"/>
                <w:lang w:val="en-US" w:eastAsia="zh-CN"/>
              </w:rPr>
              <w:t>产噪</w:t>
            </w:r>
            <w:r>
              <w:rPr>
                <w:rFonts w:hint="default" w:ascii="Times New Roman" w:hAnsi="Times New Roman" w:eastAsia="宋体" w:cs="Times New Roman"/>
                <w:color w:val="auto"/>
                <w:sz w:val="21"/>
                <w:szCs w:val="21"/>
              </w:rPr>
              <w:t>设备安装减震垫；③合理布局生产设备；④加强设备维护，确保设备处于良好的运行状态</w:t>
            </w:r>
          </w:p>
        </w:tc>
        <w:tc>
          <w:tcPr>
            <w:tcW w:w="2255" w:type="dxa"/>
            <w:noWrap w:val="0"/>
            <w:vAlign w:val="center"/>
          </w:tcPr>
          <w:p w14:paraId="01C76949">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厂界达到《工业企业厂界环境噪声排放标准》（GB12348-2008）</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类</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4类</w:t>
            </w:r>
            <w:r>
              <w:rPr>
                <w:rFonts w:hint="default" w:ascii="Times New Roman" w:hAnsi="Times New Roman" w:eastAsia="宋体" w:cs="Times New Roman"/>
                <w:color w:val="auto"/>
                <w:sz w:val="21"/>
                <w:szCs w:val="21"/>
              </w:rPr>
              <w:t>标准</w:t>
            </w:r>
          </w:p>
        </w:tc>
      </w:tr>
      <w:tr w14:paraId="635BC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70" w:type="dxa"/>
            <w:noWrap w:val="0"/>
            <w:vAlign w:val="center"/>
          </w:tcPr>
          <w:p w14:paraId="5527E724">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电磁辐射</w:t>
            </w:r>
          </w:p>
        </w:tc>
        <w:tc>
          <w:tcPr>
            <w:tcW w:w="1230" w:type="dxa"/>
            <w:noWrap w:val="0"/>
            <w:vAlign w:val="center"/>
          </w:tcPr>
          <w:p w14:paraId="7629D3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409" w:type="dxa"/>
            <w:noWrap w:val="0"/>
            <w:vAlign w:val="center"/>
          </w:tcPr>
          <w:p w14:paraId="379F15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836" w:type="dxa"/>
            <w:noWrap w:val="0"/>
            <w:vAlign w:val="center"/>
          </w:tcPr>
          <w:p w14:paraId="65E904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255" w:type="dxa"/>
            <w:noWrap w:val="0"/>
            <w:vAlign w:val="center"/>
          </w:tcPr>
          <w:p w14:paraId="70B5AF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765A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070" w:type="dxa"/>
            <w:noWrap w:val="0"/>
            <w:vAlign w:val="center"/>
          </w:tcPr>
          <w:p w14:paraId="5FBD7C13">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w:t>
            </w:r>
          </w:p>
        </w:tc>
        <w:tc>
          <w:tcPr>
            <w:tcW w:w="7730" w:type="dxa"/>
            <w:gridSpan w:val="4"/>
            <w:noWrap w:val="0"/>
            <w:vAlign w:val="center"/>
          </w:tcPr>
          <w:p w14:paraId="726658E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ind w:left="0" w:right="0" w:firstLine="0" w:firstLineChars="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①生活垃圾</w:t>
            </w:r>
            <w:r>
              <w:rPr>
                <w:rFonts w:hint="default" w:ascii="Times New Roman" w:hAnsi="Times New Roman" w:eastAsia="宋体" w:cs="Times New Roman"/>
                <w:color w:val="auto"/>
                <w:sz w:val="21"/>
                <w:szCs w:val="21"/>
                <w:lang w:val="en-US" w:eastAsia="zh-CN"/>
              </w:rPr>
              <w:t>经</w:t>
            </w:r>
            <w:r>
              <w:rPr>
                <w:rFonts w:hint="default" w:ascii="Times New Roman" w:hAnsi="Times New Roman" w:eastAsia="宋体" w:cs="Times New Roman"/>
                <w:color w:val="auto"/>
                <w:sz w:val="21"/>
                <w:szCs w:val="21"/>
              </w:rPr>
              <w:t>垃圾桶收集后委托环卫部门处置</w:t>
            </w:r>
            <w:r>
              <w:rPr>
                <w:rFonts w:hint="default" w:ascii="Times New Roman" w:hAnsi="Times New Roman" w:eastAsia="宋体" w:cs="Times New Roman"/>
                <w:color w:val="auto"/>
                <w:sz w:val="21"/>
                <w:szCs w:val="21"/>
                <w:lang w:eastAsia="zh-CN"/>
              </w:rPr>
              <w:t>。</w:t>
            </w:r>
          </w:p>
          <w:p w14:paraId="6981C60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Cs/>
                <w:color w:val="auto"/>
                <w:sz w:val="21"/>
                <w:szCs w:val="21"/>
              </w:rPr>
              <w:t>②</w:t>
            </w:r>
            <w:r>
              <w:rPr>
                <w:rFonts w:hint="default" w:ascii="Times New Roman" w:hAnsi="Times New Roman" w:eastAsia="宋体" w:cs="Times New Roman"/>
                <w:color w:val="auto"/>
                <w:sz w:val="21"/>
                <w:szCs w:val="21"/>
              </w:rPr>
              <w:t>包装固废收集后</w:t>
            </w:r>
            <w:r>
              <w:rPr>
                <w:rFonts w:hint="default" w:ascii="Times New Roman" w:hAnsi="Times New Roman" w:eastAsia="宋体" w:cs="Times New Roman"/>
                <w:color w:val="auto"/>
                <w:sz w:val="21"/>
                <w:szCs w:val="21"/>
                <w:lang w:val="en-US" w:eastAsia="zh-CN"/>
              </w:rPr>
              <w:t>暂存于</w:t>
            </w:r>
            <w:r>
              <w:rPr>
                <w:rFonts w:hint="eastAsia" w:cs="Times New Roman"/>
                <w:color w:val="auto"/>
                <w:sz w:val="21"/>
                <w:szCs w:val="21"/>
                <w:lang w:val="en-US" w:eastAsia="zh-CN"/>
              </w:rPr>
              <w:t>生产厂房内</w:t>
            </w:r>
            <w:r>
              <w:rPr>
                <w:rFonts w:hint="default" w:ascii="Times New Roman" w:hAnsi="Times New Roman" w:eastAsia="宋体" w:cs="Times New Roman"/>
                <w:color w:val="auto"/>
                <w:sz w:val="21"/>
                <w:szCs w:val="21"/>
                <w:lang w:val="en-US" w:eastAsia="zh-CN"/>
              </w:rPr>
              <w:t>，定期</w:t>
            </w:r>
            <w:r>
              <w:rPr>
                <w:rFonts w:hint="default" w:ascii="Times New Roman" w:hAnsi="Times New Roman" w:eastAsia="宋体" w:cs="Times New Roman"/>
                <w:color w:val="auto"/>
                <w:sz w:val="21"/>
                <w:szCs w:val="21"/>
              </w:rPr>
              <w:t>出售给物资回收单位</w:t>
            </w:r>
            <w:r>
              <w:rPr>
                <w:rFonts w:hint="default" w:ascii="Times New Roman" w:hAnsi="Times New Roman" w:eastAsia="宋体" w:cs="Times New Roman"/>
                <w:color w:val="auto"/>
                <w:sz w:val="21"/>
                <w:szCs w:val="21"/>
                <w:lang w:eastAsia="zh-CN"/>
              </w:rPr>
              <w:t>。</w:t>
            </w:r>
          </w:p>
          <w:p w14:paraId="7CB9004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1"/>
                <w:szCs w:val="21"/>
                <w:lang w:eastAsia="zh-CN"/>
              </w:rPr>
            </w:pPr>
            <w:r>
              <w:rPr>
                <w:rFonts w:hint="eastAsia" w:cs="宋体"/>
                <w:caps w:val="0"/>
                <w:smallCaps w:val="0"/>
                <w:color w:val="auto"/>
                <w:kern w:val="0"/>
                <w:sz w:val="21"/>
                <w:szCs w:val="21"/>
                <w:highlight w:val="none"/>
                <w:lang w:val="en-US" w:eastAsia="zh-CN" w:bidi="ar"/>
              </w:rPr>
              <w:t>③</w:t>
            </w:r>
            <w:r>
              <w:rPr>
                <w:rFonts w:hint="eastAsia" w:ascii="Times New Roman" w:hAnsi="Times New Roman" w:cs="宋体"/>
                <w:caps w:val="0"/>
                <w:smallCaps w:val="0"/>
                <w:color w:val="auto"/>
                <w:kern w:val="0"/>
                <w:sz w:val="21"/>
                <w:szCs w:val="21"/>
                <w:highlight w:val="none"/>
                <w:lang w:val="en-US" w:eastAsia="zh-CN" w:bidi="ar"/>
              </w:rPr>
              <w:t>厂房沉降</w:t>
            </w:r>
            <w:r>
              <w:rPr>
                <w:rFonts w:hint="eastAsia" w:ascii="Times New Roman" w:hAnsi="Times New Roman" w:cs="宋体"/>
                <w:caps w:val="0"/>
                <w:smallCaps w:val="0"/>
                <w:color w:val="auto"/>
                <w:kern w:val="0"/>
                <w:sz w:val="21"/>
                <w:szCs w:val="21"/>
                <w:highlight w:val="none"/>
                <w:lang w:bidi="ar"/>
              </w:rPr>
              <w:t>粉尘</w:t>
            </w:r>
            <w:r>
              <w:rPr>
                <w:rFonts w:hint="eastAsia" w:cs="宋体"/>
                <w:caps w:val="0"/>
                <w:smallCaps w:val="0"/>
                <w:color w:val="auto"/>
                <w:kern w:val="0"/>
                <w:sz w:val="21"/>
                <w:szCs w:val="21"/>
                <w:highlight w:val="none"/>
                <w:lang w:val="en-US" w:eastAsia="zh-CN" w:bidi="ar"/>
              </w:rPr>
              <w:t>经</w:t>
            </w:r>
            <w:r>
              <w:rPr>
                <w:rFonts w:hint="eastAsia" w:ascii="宋体" w:hAnsi="宋体" w:eastAsia="宋体" w:cs="宋体"/>
                <w:color w:val="auto"/>
                <w:kern w:val="0"/>
                <w:sz w:val="21"/>
                <w:szCs w:val="21"/>
                <w:lang w:val="en-US" w:eastAsia="zh-CN" w:bidi="ar"/>
              </w:rPr>
              <w:t>人工清扫后</w:t>
            </w:r>
            <w:r>
              <w:rPr>
                <w:rFonts w:hint="default" w:ascii="Times New Roman" w:hAnsi="Times New Roman" w:eastAsia="宋体" w:cs="Times New Roman"/>
                <w:color w:val="auto"/>
                <w:sz w:val="21"/>
                <w:szCs w:val="21"/>
              </w:rPr>
              <w:t>交由环卫部门处理</w:t>
            </w:r>
            <w:r>
              <w:rPr>
                <w:rFonts w:hint="eastAsia" w:ascii="Times New Roman" w:hAnsi="Times New Roman" w:cs="宋体"/>
                <w:caps w:val="0"/>
                <w:smallCaps w:val="0"/>
                <w:color w:val="auto"/>
                <w:kern w:val="0"/>
                <w:sz w:val="21"/>
                <w:szCs w:val="21"/>
                <w:highlight w:val="none"/>
                <w:lang w:bidi="ar"/>
              </w:rPr>
              <w:t>。</w:t>
            </w:r>
          </w:p>
          <w:p w14:paraId="7FEE9DB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ind w:left="0" w:right="0" w:firstLine="0" w:firstLineChars="0"/>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④生产废料及</w:t>
            </w:r>
            <w:r>
              <w:rPr>
                <w:rFonts w:hint="default" w:ascii="Times New Roman" w:hAnsi="Times New Roman" w:eastAsia="宋体" w:cs="Times New Roman"/>
                <w:color w:val="auto"/>
                <w:sz w:val="21"/>
                <w:szCs w:val="21"/>
                <w:lang w:val="en-US" w:eastAsia="zh-CN"/>
              </w:rPr>
              <w:t>不合格品</w:t>
            </w:r>
            <w:r>
              <w:rPr>
                <w:rFonts w:hint="default" w:ascii="Times New Roman" w:hAnsi="Times New Roman" w:eastAsia="宋体" w:cs="Times New Roman"/>
                <w:color w:val="auto"/>
                <w:kern w:val="0"/>
                <w:sz w:val="21"/>
                <w:szCs w:val="21"/>
                <w:lang w:val="en-US" w:eastAsia="zh-CN" w:bidi="ar"/>
              </w:rPr>
              <w:t>破碎重新作为原料回用于生产线。</w:t>
            </w:r>
          </w:p>
          <w:p w14:paraId="7CCE24E5">
            <w:pPr>
              <w:keepNext w:val="0"/>
              <w:keepLines w:val="0"/>
              <w:pageBreakBefore w:val="0"/>
              <w:widowControl w:val="0"/>
              <w:suppressLineNumbers w:val="0"/>
              <w:kinsoku/>
              <w:wordWrap/>
              <w:overflowPunct/>
              <w:topLinePunct w:val="0"/>
              <w:autoSpaceDE/>
              <w:autoSpaceDN/>
              <w:bidi w:val="0"/>
              <w:snapToGrid/>
              <w:spacing w:before="0" w:beforeAutospacing="0" w:after="0" w:afterAutospacing="0"/>
              <w:ind w:left="0" w:right="0" w:firstLine="0" w:firstLineChars="0"/>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⑤</w:t>
            </w:r>
            <w:r>
              <w:rPr>
                <w:rFonts w:hint="default" w:ascii="Times New Roman" w:hAnsi="Times New Roman" w:eastAsia="宋体" w:cs="Times New Roman"/>
                <w:color w:val="auto"/>
                <w:sz w:val="21"/>
                <w:szCs w:val="21"/>
                <w:lang w:eastAsia="zh-CN"/>
              </w:rPr>
              <w:t>废润滑油</w:t>
            </w:r>
            <w:r>
              <w:rPr>
                <w:rFonts w:hint="eastAsia" w:cs="Times New Roman"/>
                <w:color w:val="auto"/>
                <w:sz w:val="21"/>
                <w:szCs w:val="21"/>
                <w:lang w:eastAsia="zh-CN"/>
              </w:rPr>
              <w:t>、</w:t>
            </w:r>
            <w:r>
              <w:rPr>
                <w:rFonts w:hint="eastAsia" w:ascii="Times New Roman" w:hAnsi="Times New Roman" w:eastAsia="Times New Roman" w:cs="宋体"/>
                <w:b w:val="0"/>
                <w:bCs w:val="0"/>
                <w:color w:val="auto"/>
                <w:sz w:val="21"/>
                <w:szCs w:val="21"/>
                <w:lang w:val="en-US" w:eastAsia="zh-CN" w:bidi="ar-SA"/>
              </w:rPr>
              <w:t>含油</w:t>
            </w:r>
            <w:r>
              <w:rPr>
                <w:rFonts w:hint="eastAsia" w:eastAsia="Times New Roman" w:cs="宋体"/>
                <w:b w:val="0"/>
                <w:bCs w:val="0"/>
                <w:color w:val="auto"/>
                <w:sz w:val="21"/>
                <w:szCs w:val="21"/>
                <w:lang w:val="en-US" w:eastAsia="zh-CN" w:bidi="ar-SA"/>
              </w:rPr>
              <w:t>废</w:t>
            </w:r>
            <w:r>
              <w:rPr>
                <w:rFonts w:hint="eastAsia" w:ascii="Times New Roman" w:hAnsi="Times New Roman" w:eastAsia="Times New Roman" w:cs="宋体"/>
                <w:b w:val="0"/>
                <w:bCs w:val="0"/>
                <w:color w:val="auto"/>
                <w:sz w:val="21"/>
                <w:szCs w:val="21"/>
                <w:lang w:val="en-US" w:eastAsia="zh-CN" w:bidi="ar-SA"/>
              </w:rPr>
              <w:t>手套抹布、</w:t>
            </w:r>
            <w:r>
              <w:rPr>
                <w:rFonts w:hint="eastAsia" w:cs="Times New Roman"/>
                <w:color w:val="auto"/>
                <w:sz w:val="21"/>
                <w:szCs w:val="21"/>
                <w:lang w:val="en-US" w:eastAsia="zh-CN"/>
              </w:rPr>
              <w:t>废柴油桶、废脱模剂瓶、废活性炭</w:t>
            </w:r>
            <w:r>
              <w:rPr>
                <w:rFonts w:hint="default" w:ascii="Times New Roman" w:hAnsi="Times New Roman" w:eastAsia="宋体" w:cs="Times New Roman"/>
                <w:bCs/>
                <w:color w:val="auto"/>
                <w:sz w:val="21"/>
                <w:szCs w:val="21"/>
              </w:rPr>
              <w:t>收集暂存于</w:t>
            </w:r>
            <w:r>
              <w:rPr>
                <w:rFonts w:hint="eastAsia" w:cs="Times New Roman"/>
                <w:bCs/>
                <w:color w:val="auto"/>
                <w:sz w:val="21"/>
                <w:szCs w:val="21"/>
                <w:lang w:val="en-US" w:eastAsia="zh-CN"/>
              </w:rPr>
              <w:t>危废贮存库</w:t>
            </w:r>
            <w:r>
              <w:rPr>
                <w:rFonts w:hint="default" w:ascii="Times New Roman" w:hAnsi="Times New Roman" w:eastAsia="宋体" w:cs="Times New Roman"/>
                <w:bCs/>
                <w:color w:val="auto"/>
                <w:sz w:val="21"/>
                <w:szCs w:val="21"/>
              </w:rPr>
              <w:t>内，定期委托有资质的单位进行清运处置</w:t>
            </w:r>
            <w:r>
              <w:rPr>
                <w:rFonts w:hint="default" w:ascii="Times New Roman" w:hAnsi="Times New Roman" w:eastAsia="宋体" w:cs="Times New Roman"/>
                <w:color w:val="auto"/>
                <w:sz w:val="21"/>
                <w:szCs w:val="21"/>
              </w:rPr>
              <w:t>。</w:t>
            </w:r>
          </w:p>
          <w:p w14:paraId="02492919">
            <w:pPr>
              <w:pStyle w:val="85"/>
              <w:keepNext w:val="0"/>
              <w:keepLines w:val="0"/>
              <w:pageBreakBefore w:val="0"/>
              <w:widowControl w:val="0"/>
              <w:suppressLineNumbers w:val="0"/>
              <w:kinsoku/>
              <w:wordWrap/>
              <w:overflowPunct/>
              <w:topLinePunct w:val="0"/>
              <w:autoSpaceDE/>
              <w:autoSpaceDN/>
              <w:bidi w:val="0"/>
              <w:snapToGrid/>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综上，固废处置率100%。</w:t>
            </w:r>
          </w:p>
        </w:tc>
      </w:tr>
      <w:tr w14:paraId="6BD5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70" w:type="dxa"/>
            <w:noWrap w:val="0"/>
            <w:vAlign w:val="center"/>
          </w:tcPr>
          <w:p w14:paraId="4B4006EC">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土壤及地下水污染防治措施</w:t>
            </w:r>
          </w:p>
        </w:tc>
        <w:tc>
          <w:tcPr>
            <w:tcW w:w="7730" w:type="dxa"/>
            <w:gridSpan w:val="4"/>
            <w:noWrap w:val="0"/>
            <w:vAlign w:val="center"/>
          </w:tcPr>
          <w:p w14:paraId="0A6732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①加强活性炭吸附装置的运行维护，确保处于正常的生产状态。设置专人定期对</w:t>
            </w:r>
            <w:r>
              <w:rPr>
                <w:rFonts w:hint="eastAsia" w:cs="Times New Roman"/>
                <w:color w:val="auto"/>
                <w:sz w:val="21"/>
                <w:szCs w:val="21"/>
                <w:lang w:val="en-US" w:eastAsia="zh-CN"/>
              </w:rPr>
              <w:t>危废贮存库</w:t>
            </w:r>
            <w:r>
              <w:rPr>
                <w:rFonts w:hint="default" w:ascii="Times New Roman" w:hAnsi="Times New Roman" w:eastAsia="宋体" w:cs="Times New Roman"/>
                <w:color w:val="auto"/>
                <w:sz w:val="21"/>
                <w:szCs w:val="21"/>
                <w:lang w:val="en-US" w:eastAsia="zh-CN"/>
              </w:rPr>
              <w:t>进行检查，发现安全隐患，及时整改。</w:t>
            </w:r>
          </w:p>
          <w:p w14:paraId="5DDF78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②厂区</w:t>
            </w:r>
            <w:r>
              <w:rPr>
                <w:rFonts w:hint="default" w:ascii="Times New Roman" w:hAnsi="Times New Roman" w:eastAsia="宋体" w:cs="Times New Roman"/>
                <w:b w:val="0"/>
                <w:bCs w:val="0"/>
                <w:color w:val="auto"/>
                <w:sz w:val="21"/>
                <w:szCs w:val="21"/>
                <w:lang w:val="en-US" w:eastAsia="zh-CN"/>
              </w:rPr>
              <w:t>进行分区防渗，重点防渗区：</w:t>
            </w:r>
            <w:r>
              <w:rPr>
                <w:rFonts w:hint="eastAsia" w:cs="Times New Roman"/>
                <w:b/>
                <w:bCs/>
                <w:color w:val="auto"/>
                <w:sz w:val="21"/>
                <w:szCs w:val="21"/>
                <w:lang w:val="en-US" w:eastAsia="zh-CN"/>
              </w:rPr>
              <w:t>危废贮存库</w:t>
            </w:r>
            <w:r>
              <w:rPr>
                <w:rFonts w:hint="default" w:ascii="Times New Roman" w:hAnsi="Times New Roman" w:eastAsia="宋体" w:cs="Times New Roman"/>
                <w:b/>
                <w:bCs/>
                <w:color w:val="auto"/>
                <w:sz w:val="21"/>
                <w:szCs w:val="21"/>
                <w:lang w:val="en-US" w:eastAsia="zh-CN"/>
              </w:rPr>
              <w:t>划为重点防渗区</w:t>
            </w:r>
            <w:r>
              <w:rPr>
                <w:rFonts w:hint="eastAsia" w:cs="Times New Roman"/>
                <w:b/>
                <w:bCs/>
                <w:color w:val="auto"/>
                <w:sz w:val="21"/>
                <w:szCs w:val="21"/>
                <w:lang w:val="en-US" w:eastAsia="zh-CN"/>
              </w:rPr>
              <w:t>，</w:t>
            </w:r>
            <w:r>
              <w:rPr>
                <w:rFonts w:hint="default" w:ascii="Times New Roman" w:hAnsi="Times New Roman" w:eastAsia="宋体" w:cs="Times New Roman"/>
                <w:color w:val="auto"/>
                <w:kern w:val="0"/>
                <w:sz w:val="21"/>
                <w:szCs w:val="21"/>
                <w:lang w:val="en-US" w:eastAsia="zh-CN" w:bidi="ar"/>
              </w:rPr>
              <w:t>在现有</w:t>
            </w:r>
            <w:r>
              <w:rPr>
                <w:rFonts w:hint="eastAsia" w:ascii="Times New Roman" w:hAnsi="Times New Roman" w:eastAsia="宋体" w:cs="Times New Roman"/>
                <w:color w:val="auto"/>
                <w:kern w:val="0"/>
                <w:sz w:val="21"/>
                <w:szCs w:val="21"/>
                <w:lang w:val="en-US" w:eastAsia="zh-CN" w:bidi="ar"/>
              </w:rPr>
              <w:t>混凝土浇筑</w:t>
            </w:r>
            <w:r>
              <w:rPr>
                <w:rFonts w:hint="default" w:ascii="Times New Roman" w:hAnsi="Times New Roman" w:eastAsia="宋体" w:cs="Times New Roman"/>
                <w:color w:val="auto"/>
                <w:kern w:val="0"/>
                <w:sz w:val="21"/>
                <w:szCs w:val="21"/>
                <w:lang w:val="en-US" w:eastAsia="zh-CN" w:bidi="ar"/>
              </w:rPr>
              <w:t>、水泥硬化的基础上增加</w:t>
            </w:r>
            <w:r>
              <w:rPr>
                <w:rFonts w:hint="default" w:ascii="Times New Roman" w:hAnsi="Times New Roman" w:eastAsia="宋体" w:cs="Times New Roman"/>
                <w:b w:val="0"/>
                <w:bCs w:val="0"/>
                <w:color w:val="auto"/>
                <w:sz w:val="21"/>
                <w:szCs w:val="21"/>
                <w:lang w:val="en-US" w:eastAsia="zh-CN"/>
              </w:rPr>
              <w:t>2.0mmHDPE</w:t>
            </w:r>
            <w:r>
              <w:rPr>
                <w:rFonts w:hint="eastAsia" w:ascii="Times New Roman" w:hAnsi="Times New Roman" w:eastAsia="宋体" w:cs="Times New Roman"/>
                <w:b w:val="0"/>
                <w:bCs w:val="0"/>
                <w:color w:val="auto"/>
                <w:sz w:val="21"/>
                <w:szCs w:val="21"/>
                <w:lang w:val="en-US" w:eastAsia="zh-CN"/>
              </w:rPr>
              <w:t>防渗</w:t>
            </w:r>
            <w:r>
              <w:rPr>
                <w:rFonts w:hint="default" w:ascii="Times New Roman" w:hAnsi="Times New Roman" w:eastAsia="宋体" w:cs="Times New Roman"/>
                <w:b w:val="0"/>
                <w:bCs w:val="0"/>
                <w:color w:val="auto"/>
                <w:sz w:val="21"/>
                <w:szCs w:val="21"/>
                <w:lang w:val="en-US" w:eastAsia="zh-CN"/>
              </w:rPr>
              <w:t>膜+环氧树脂</w:t>
            </w:r>
            <w:r>
              <w:rPr>
                <w:rFonts w:hint="eastAsia" w:ascii="Times New Roman" w:hAnsi="Times New Roman" w:eastAsia="宋体" w:cs="Times New Roman"/>
                <w:b w:val="0"/>
                <w:bCs w:val="0"/>
                <w:color w:val="auto"/>
                <w:sz w:val="21"/>
                <w:szCs w:val="21"/>
                <w:lang w:val="en-US" w:eastAsia="zh-CN"/>
              </w:rPr>
              <w:t>防渗面层</w:t>
            </w:r>
            <w:r>
              <w:rPr>
                <w:rFonts w:hint="default" w:ascii="Times New Roman" w:hAnsi="Times New Roman" w:eastAsia="宋体" w:cs="Times New Roman"/>
                <w:color w:val="auto"/>
                <w:sz w:val="21"/>
                <w:szCs w:val="21"/>
                <w:lang w:val="en-US" w:eastAsia="zh-CN"/>
              </w:rPr>
              <w:t>进行防渗，使其地面、围堰区达到渗透系数≤1×10</w:t>
            </w:r>
            <w:r>
              <w:rPr>
                <w:rFonts w:hint="default" w:ascii="Times New Roman" w:hAnsi="Times New Roman" w:eastAsia="宋体" w:cs="Times New Roman"/>
                <w:color w:val="auto"/>
                <w:sz w:val="21"/>
                <w:szCs w:val="21"/>
                <w:vertAlign w:val="superscript"/>
                <w:lang w:val="en-US" w:eastAsia="zh-CN"/>
              </w:rPr>
              <w:t>-10</w:t>
            </w:r>
            <w:r>
              <w:rPr>
                <w:rFonts w:hint="default" w:ascii="Times New Roman" w:hAnsi="Times New Roman" w:eastAsia="宋体" w:cs="Times New Roman"/>
                <w:color w:val="auto"/>
                <w:sz w:val="21"/>
                <w:szCs w:val="21"/>
                <w:lang w:val="en-US" w:eastAsia="zh-CN"/>
              </w:rPr>
              <w:t>cm/s的防渗性能；</w:t>
            </w:r>
            <w:r>
              <w:rPr>
                <w:rFonts w:hint="default" w:ascii="Times New Roman" w:hAnsi="Times New Roman" w:eastAsia="宋体" w:cs="Times New Roman"/>
                <w:b/>
                <w:bCs/>
                <w:color w:val="auto"/>
                <w:sz w:val="21"/>
                <w:szCs w:val="21"/>
                <w:lang w:val="en-US" w:eastAsia="zh-CN"/>
              </w:rPr>
              <w:t>一般防渗区：循环水池划为一般防渗区</w:t>
            </w:r>
            <w:r>
              <w:rPr>
                <w:rFonts w:hint="eastAsia"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bidi="ar"/>
              </w:rPr>
              <w:t>在现有</w:t>
            </w:r>
            <w:r>
              <w:rPr>
                <w:rFonts w:hint="eastAsia" w:ascii="Times New Roman" w:hAnsi="Times New Roman" w:eastAsia="宋体" w:cs="Times New Roman"/>
                <w:color w:val="auto"/>
                <w:kern w:val="0"/>
                <w:sz w:val="21"/>
                <w:szCs w:val="21"/>
                <w:lang w:val="en-US" w:eastAsia="zh-CN" w:bidi="ar"/>
              </w:rPr>
              <w:t>混凝土浇筑</w:t>
            </w:r>
            <w:r>
              <w:rPr>
                <w:rFonts w:hint="default" w:ascii="Times New Roman" w:hAnsi="Times New Roman" w:eastAsia="宋体" w:cs="Times New Roman"/>
                <w:color w:val="auto"/>
                <w:kern w:val="0"/>
                <w:sz w:val="21"/>
                <w:szCs w:val="21"/>
                <w:lang w:val="en-US" w:eastAsia="zh-CN" w:bidi="ar"/>
              </w:rPr>
              <w:t>、水泥硬化的基础上增加</w:t>
            </w:r>
            <w:r>
              <w:rPr>
                <w:rFonts w:hint="default" w:ascii="Times New Roman" w:hAnsi="Times New Roman" w:eastAsia="宋体" w:cs="Times New Roman"/>
                <w:b w:val="0"/>
                <w:bCs w:val="0"/>
                <w:color w:val="auto"/>
                <w:sz w:val="21"/>
                <w:szCs w:val="21"/>
                <w:lang w:val="en-US" w:eastAsia="zh-CN"/>
              </w:rPr>
              <w:t>2.0mmHDPE</w:t>
            </w:r>
            <w:r>
              <w:rPr>
                <w:rFonts w:hint="eastAsia" w:ascii="Times New Roman" w:hAnsi="Times New Roman" w:eastAsia="宋体" w:cs="Times New Roman"/>
                <w:b w:val="0"/>
                <w:bCs w:val="0"/>
                <w:color w:val="auto"/>
                <w:sz w:val="21"/>
                <w:szCs w:val="21"/>
                <w:lang w:val="en-US" w:eastAsia="zh-CN"/>
              </w:rPr>
              <w:t>防渗</w:t>
            </w:r>
            <w:r>
              <w:rPr>
                <w:rFonts w:hint="default" w:ascii="Times New Roman" w:hAnsi="Times New Roman" w:eastAsia="宋体" w:cs="Times New Roman"/>
                <w:b w:val="0"/>
                <w:bCs w:val="0"/>
                <w:color w:val="auto"/>
                <w:sz w:val="21"/>
                <w:szCs w:val="21"/>
                <w:lang w:val="en-US" w:eastAsia="zh-CN"/>
              </w:rPr>
              <w:t>膜+环氧树脂</w:t>
            </w:r>
            <w:r>
              <w:rPr>
                <w:rFonts w:hint="eastAsia" w:ascii="Times New Roman" w:hAnsi="Times New Roman" w:eastAsia="宋体" w:cs="Times New Roman"/>
                <w:b w:val="0"/>
                <w:bCs w:val="0"/>
                <w:color w:val="auto"/>
                <w:sz w:val="21"/>
                <w:szCs w:val="21"/>
                <w:lang w:val="en-US" w:eastAsia="zh-CN"/>
              </w:rPr>
              <w:t>防渗面层</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使其达到渗透系数</w:t>
            </w:r>
            <w:r>
              <w:rPr>
                <w:rFonts w:hint="default" w:ascii="Times New Roman" w:hAnsi="Times New Roman" w:eastAsia="宋体" w:cs="Times New Roman"/>
                <w:b w:val="0"/>
                <w:bCs w:val="0"/>
                <w:color w:val="auto"/>
                <w:sz w:val="21"/>
                <w:szCs w:val="21"/>
                <w:lang w:val="en-US" w:eastAsia="zh-CN"/>
              </w:rPr>
              <w:t>≤1.0×10</w:t>
            </w:r>
            <w:r>
              <w:rPr>
                <w:rFonts w:hint="default" w:ascii="Times New Roman" w:hAnsi="Times New Roman" w:eastAsia="宋体" w:cs="Times New Roman"/>
                <w:b w:val="0"/>
                <w:bCs w:val="0"/>
                <w:color w:val="auto"/>
                <w:sz w:val="21"/>
                <w:szCs w:val="21"/>
                <w:vertAlign w:val="superscript"/>
                <w:lang w:val="en-US" w:eastAsia="zh-CN"/>
              </w:rPr>
              <w:t>-7</w:t>
            </w:r>
            <w:r>
              <w:rPr>
                <w:rFonts w:hint="default" w:ascii="Times New Roman" w:hAnsi="Times New Roman" w:eastAsia="宋体" w:cs="Times New Roman"/>
                <w:b w:val="0"/>
                <w:bCs w:val="0"/>
                <w:color w:val="auto"/>
                <w:sz w:val="21"/>
                <w:szCs w:val="21"/>
                <w:lang w:val="en-US" w:eastAsia="zh-CN"/>
              </w:rPr>
              <w:t>cm/s</w:t>
            </w:r>
            <w:r>
              <w:rPr>
                <w:rFonts w:hint="default" w:ascii="Times New Roman" w:hAnsi="Times New Roman" w:eastAsia="宋体" w:cs="Times New Roman"/>
                <w:color w:val="auto"/>
                <w:kern w:val="0"/>
                <w:sz w:val="21"/>
                <w:szCs w:val="21"/>
                <w:lang w:val="en-US" w:eastAsia="zh-CN" w:bidi="ar"/>
              </w:rPr>
              <w:t>的防渗</w:t>
            </w:r>
            <w:r>
              <w:rPr>
                <w:rFonts w:hint="eastAsia" w:ascii="Times New Roman" w:cs="Times New Roman"/>
                <w:color w:val="auto"/>
                <w:kern w:val="0"/>
                <w:sz w:val="21"/>
                <w:szCs w:val="21"/>
                <w:lang w:val="en-US" w:eastAsia="zh-CN" w:bidi="ar"/>
              </w:rPr>
              <w:t>要求</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b/>
                <w:bCs/>
                <w:color w:val="auto"/>
                <w:sz w:val="21"/>
                <w:szCs w:val="21"/>
                <w:lang w:val="en-US" w:eastAsia="zh-CN"/>
              </w:rPr>
              <w:t>简单防渗区：生产厂房划为简单防渗区</w:t>
            </w:r>
            <w:r>
              <w:rPr>
                <w:rFonts w:hint="eastAsia" w:cs="Times New Roman"/>
                <w:b/>
                <w:bCs/>
                <w:color w:val="auto"/>
                <w:sz w:val="21"/>
                <w:szCs w:val="21"/>
                <w:lang w:val="en-US" w:eastAsia="zh-CN"/>
              </w:rPr>
              <w:t>，</w:t>
            </w:r>
            <w:r>
              <w:rPr>
                <w:rFonts w:hint="eastAsia" w:ascii="Times New Roman" w:cs="Times New Roman"/>
                <w:color w:val="auto"/>
                <w:sz w:val="21"/>
                <w:szCs w:val="21"/>
                <w:highlight w:val="none"/>
                <w:lang w:val="en-US" w:eastAsia="zh-CN"/>
              </w:rPr>
              <w:t>根据现场踏勘结果，厂区现状已进行混</w:t>
            </w:r>
            <w:r>
              <w:rPr>
                <w:rFonts w:hint="default" w:ascii="Times New Roman" w:hAnsi="Times New Roman" w:eastAsia="宋体" w:cs="Times New Roman"/>
                <w:color w:val="auto"/>
                <w:sz w:val="21"/>
                <w:szCs w:val="21"/>
                <w:highlight w:val="none"/>
                <w:lang w:val="en-US" w:eastAsia="zh-CN"/>
              </w:rPr>
              <w:t>凝土硬化，无明显破损、裂缝，可满足简单防渗要求</w:t>
            </w:r>
            <w:r>
              <w:rPr>
                <w:rFonts w:hint="default" w:ascii="Times New Roman" w:hAnsi="Times New Roman" w:eastAsia="宋体" w:cs="Times New Roman"/>
                <w:color w:val="auto"/>
                <w:sz w:val="21"/>
                <w:szCs w:val="21"/>
                <w:lang w:val="en-US" w:eastAsia="zh-CN"/>
              </w:rPr>
              <w:t>。</w:t>
            </w:r>
          </w:p>
        </w:tc>
      </w:tr>
      <w:tr w14:paraId="778F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70" w:type="dxa"/>
            <w:noWrap w:val="0"/>
            <w:vAlign w:val="center"/>
          </w:tcPr>
          <w:p w14:paraId="70D65D9B">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生态保护措施</w:t>
            </w:r>
          </w:p>
        </w:tc>
        <w:tc>
          <w:tcPr>
            <w:tcW w:w="7730" w:type="dxa"/>
            <w:gridSpan w:val="4"/>
            <w:noWrap w:val="0"/>
            <w:vAlign w:val="center"/>
          </w:tcPr>
          <w:p w14:paraId="4869035E">
            <w:pPr>
              <w:pStyle w:val="60"/>
              <w:keepNext w:val="0"/>
              <w:keepLines w:val="0"/>
              <w:suppressLineNumbers w:val="0"/>
              <w:spacing w:before="0" w:beforeAutospacing="0" w:after="0" w:afterAutospacing="0" w:line="240" w:lineRule="auto"/>
              <w:ind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4A7E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1070" w:type="dxa"/>
            <w:noWrap w:val="0"/>
            <w:vAlign w:val="center"/>
          </w:tcPr>
          <w:p w14:paraId="12DCD332">
            <w:pPr>
              <w:pStyle w:val="8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环境风险防范措施</w:t>
            </w:r>
          </w:p>
        </w:tc>
        <w:tc>
          <w:tcPr>
            <w:tcW w:w="7730" w:type="dxa"/>
            <w:gridSpan w:val="4"/>
            <w:noWrap w:val="0"/>
            <w:vAlign w:val="center"/>
          </w:tcPr>
          <w:p w14:paraId="3D93CB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①制定事故应急手册，建立严格的安全管理制度； </w:t>
            </w:r>
          </w:p>
          <w:p w14:paraId="721158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②</w:t>
            </w:r>
            <w:r>
              <w:rPr>
                <w:rFonts w:hint="eastAsia" w:ascii="Times New Roman" w:hAnsi="Times New Roman" w:eastAsia="宋体" w:cs="Times New Roman"/>
                <w:color w:val="auto"/>
                <w:kern w:val="0"/>
                <w:sz w:val="21"/>
                <w:szCs w:val="21"/>
                <w:lang w:val="en-US" w:eastAsia="zh-CN" w:bidi="ar"/>
              </w:rPr>
              <w:t>危</w:t>
            </w:r>
            <w:r>
              <w:rPr>
                <w:rFonts w:hint="default" w:ascii="Times New Roman" w:hAnsi="Times New Roman" w:eastAsia="宋体" w:cs="Times New Roman"/>
                <w:color w:val="auto"/>
                <w:sz w:val="21"/>
                <w:szCs w:val="21"/>
              </w:rPr>
              <w:t>险废物暂存间地面及裙角进行防渗，渗透系数≤1×10</w:t>
            </w:r>
            <w:r>
              <w:rPr>
                <w:rFonts w:hint="default" w:ascii="Times New Roman" w:hAnsi="Times New Roman" w:eastAsia="宋体" w:cs="Times New Roman"/>
                <w:color w:val="auto"/>
                <w:sz w:val="21"/>
                <w:szCs w:val="21"/>
                <w:vertAlign w:val="superscript"/>
              </w:rPr>
              <w:t>-10</w:t>
            </w:r>
            <w:r>
              <w:rPr>
                <w:rFonts w:hint="default" w:ascii="Times New Roman" w:hAnsi="Times New Roman" w:eastAsia="宋体" w:cs="Times New Roman"/>
                <w:color w:val="auto"/>
                <w:sz w:val="21"/>
                <w:szCs w:val="21"/>
              </w:rPr>
              <w:t>cm/s。危废间设置规范标识标牌</w:t>
            </w:r>
            <w:r>
              <w:rPr>
                <w:rFonts w:hint="default" w:ascii="Times New Roman" w:hAnsi="Times New Roman" w:eastAsia="宋体" w:cs="Times New Roman"/>
                <w:color w:val="auto"/>
                <w:kern w:val="0"/>
                <w:sz w:val="21"/>
                <w:szCs w:val="21"/>
                <w:lang w:val="en-US" w:eastAsia="zh-CN" w:bidi="ar"/>
              </w:rPr>
              <w:t xml:space="preserve">； </w:t>
            </w:r>
          </w:p>
          <w:p w14:paraId="2ACF9B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③</w:t>
            </w:r>
            <w:r>
              <w:rPr>
                <w:rFonts w:hint="default" w:ascii="Times New Roman" w:hAnsi="Times New Roman" w:eastAsia="宋体" w:cs="Times New Roman"/>
                <w:color w:val="auto"/>
                <w:sz w:val="21"/>
                <w:szCs w:val="21"/>
              </w:rPr>
              <w:t>废矿物油用密封容器进行装盛并存放在危险废物贮存间</w:t>
            </w:r>
            <w:r>
              <w:rPr>
                <w:rFonts w:hint="default" w:ascii="Times New Roman" w:hAnsi="Times New Roman" w:eastAsia="宋体" w:cs="Times New Roman"/>
                <w:color w:val="auto"/>
                <w:kern w:val="0"/>
                <w:sz w:val="21"/>
                <w:szCs w:val="21"/>
                <w:lang w:bidi="ar"/>
              </w:rPr>
              <w:t xml:space="preserve">； </w:t>
            </w:r>
          </w:p>
          <w:p w14:paraId="380949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④</w:t>
            </w:r>
            <w:r>
              <w:rPr>
                <w:rFonts w:hint="default" w:ascii="Times New Roman" w:hAnsi="Times New Roman" w:eastAsia="宋体" w:cs="Times New Roman"/>
                <w:color w:val="auto"/>
                <w:sz w:val="21"/>
                <w:szCs w:val="21"/>
              </w:rPr>
              <w:t>加强管理，设置专人定期对</w:t>
            </w:r>
            <w:r>
              <w:rPr>
                <w:rFonts w:hint="eastAsia" w:cs="Times New Roman"/>
                <w:color w:val="auto"/>
                <w:sz w:val="21"/>
                <w:szCs w:val="21"/>
                <w:lang w:eastAsia="zh-CN"/>
              </w:rPr>
              <w:t>危废贮存库</w:t>
            </w:r>
            <w:r>
              <w:rPr>
                <w:rFonts w:hint="default" w:ascii="Times New Roman" w:hAnsi="Times New Roman" w:eastAsia="宋体" w:cs="Times New Roman"/>
                <w:color w:val="auto"/>
                <w:sz w:val="21"/>
                <w:szCs w:val="21"/>
              </w:rPr>
              <w:t>及储存容器进行检查维护，防止危险废物发生</w:t>
            </w:r>
            <w:r>
              <w:rPr>
                <w:rFonts w:hint="default" w:ascii="Times New Roman" w:hAnsi="Times New Roman" w:eastAsia="宋体" w:cs="Times New Roman"/>
                <w:color w:val="auto"/>
                <w:sz w:val="21"/>
                <w:szCs w:val="21"/>
                <w:lang w:eastAsia="zh-CN"/>
              </w:rPr>
              <w:t>泄漏</w:t>
            </w:r>
            <w:r>
              <w:rPr>
                <w:rFonts w:hint="default" w:ascii="Times New Roman" w:hAnsi="Times New Roman" w:eastAsia="宋体" w:cs="Times New Roman"/>
                <w:color w:val="auto"/>
                <w:sz w:val="21"/>
                <w:szCs w:val="21"/>
              </w:rPr>
              <w:t>进入外环境</w:t>
            </w:r>
            <w:r>
              <w:rPr>
                <w:rFonts w:hint="default" w:ascii="Times New Roman" w:hAnsi="Times New Roman" w:eastAsia="宋体" w:cs="Times New Roman"/>
                <w:color w:val="auto"/>
                <w:kern w:val="0"/>
                <w:sz w:val="21"/>
                <w:szCs w:val="21"/>
                <w:lang w:bidi="ar"/>
              </w:rPr>
              <w:t xml:space="preserve">； </w:t>
            </w:r>
          </w:p>
          <w:p w14:paraId="6B140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④厂区、</w:t>
            </w:r>
            <w:r>
              <w:rPr>
                <w:rFonts w:hint="default" w:ascii="Times New Roman" w:hAnsi="Times New Roman" w:eastAsia="宋体" w:cs="Times New Roman"/>
                <w:color w:val="auto"/>
                <w:sz w:val="21"/>
                <w:szCs w:val="21"/>
              </w:rPr>
              <w:t>废机油储存区域禁止吸烟及明火，设置警示牌</w:t>
            </w:r>
            <w:r>
              <w:rPr>
                <w:rFonts w:hint="default" w:ascii="Times New Roman" w:hAnsi="Times New Roman" w:eastAsia="宋体" w:cs="Times New Roman"/>
                <w:color w:val="auto"/>
                <w:kern w:val="0"/>
                <w:sz w:val="21"/>
                <w:szCs w:val="21"/>
                <w:lang w:bidi="ar"/>
              </w:rPr>
              <w:t>；</w:t>
            </w:r>
            <w:r>
              <w:rPr>
                <w:rFonts w:hint="default" w:ascii="Times New Roman" w:hAnsi="Times New Roman" w:eastAsia="宋体" w:cs="Times New Roman"/>
                <w:color w:val="auto"/>
                <w:kern w:val="0"/>
                <w:sz w:val="21"/>
                <w:szCs w:val="21"/>
                <w:lang w:val="en-US" w:eastAsia="zh-CN" w:bidi="ar"/>
              </w:rPr>
              <w:t xml:space="preserve"> </w:t>
            </w:r>
          </w:p>
          <w:p w14:paraId="4F7D6D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⑤按照《建筑灭火器配置设计规范》（GB50140－2005），对项目区内可能发生火灾的各类场所、工艺装置区、主要建筑物等，根据其火灾危险性、区域大小等实际情况，分别配置一定数量不同类型、不同规格的移动式灭火器材，以便及时扑救初始零星火灾； </w:t>
            </w:r>
          </w:p>
          <w:p w14:paraId="0436E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⑥项目区内危险区域内的电气设备选型、安装、电力线路敷设等，应符合现行国家标准《爆炸和火灾危险环境电力装置设计规范》GB 50058 的规定； </w:t>
            </w:r>
          </w:p>
          <w:p w14:paraId="0D179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⑦加强废气治理设施的日常维护管理，确保废气治理系统处在良好的运转状态； </w:t>
            </w:r>
          </w:p>
          <w:p w14:paraId="5D5C499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⑧建立废气治理措施运行台账管理制度，杜绝废气事故排放</w:t>
            </w:r>
            <w:r>
              <w:rPr>
                <w:rFonts w:hint="default" w:ascii="Times New Roman" w:hAnsi="Times New Roman" w:eastAsia="宋体" w:cs="Times New Roman"/>
                <w:color w:val="auto"/>
                <w:sz w:val="21"/>
                <w:szCs w:val="21"/>
              </w:rPr>
              <w:t>；</w:t>
            </w:r>
          </w:p>
          <w:p w14:paraId="09A362E2">
            <w:pPr>
              <w:pStyle w:val="8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⑨编制突发环境事件应急预案。</w:t>
            </w:r>
          </w:p>
        </w:tc>
      </w:tr>
      <w:tr w14:paraId="2225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070" w:type="dxa"/>
            <w:noWrap w:val="0"/>
            <w:vAlign w:val="center"/>
          </w:tcPr>
          <w:p w14:paraId="19D0E7A2">
            <w:pPr>
              <w:pStyle w:val="8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其他环境管理要求</w:t>
            </w:r>
          </w:p>
        </w:tc>
        <w:tc>
          <w:tcPr>
            <w:tcW w:w="7730" w:type="dxa"/>
            <w:gridSpan w:val="4"/>
            <w:noWrap w:val="0"/>
            <w:vAlign w:val="center"/>
          </w:tcPr>
          <w:p w14:paraId="5A37353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sz w:val="21"/>
                <w:szCs w:val="21"/>
              </w:rPr>
            </w:pPr>
            <w:r>
              <w:rPr>
                <w:rFonts w:hint="default" w:ascii="Times New Roman" w:hAnsi="Times New Roman" w:eastAsia="宋体" w:cs="Times New Roman"/>
                <w:color w:val="000000"/>
                <w:kern w:val="0"/>
                <w:sz w:val="21"/>
                <w:szCs w:val="21"/>
                <w:lang w:val="en-US" w:eastAsia="zh-CN" w:bidi="ar"/>
              </w:rPr>
              <w:t>①在项目建设过程中执行环保“三同时”制度，严格落实环评文件及其批复文件中提出的污染防治措施和生态环境保护措施；</w:t>
            </w:r>
          </w:p>
          <w:p w14:paraId="65A31D9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②项目实施后在开展生产调试发生排污行为之前，按照《排污许可管理条例》的要求</w:t>
            </w:r>
            <w:r>
              <w:rPr>
                <w:rFonts w:hint="eastAsia" w:ascii="Times New Roman" w:hAnsi="Times New Roman" w:eastAsia="宋体" w:cs="Times New Roman"/>
                <w:color w:val="000000"/>
                <w:kern w:val="0"/>
                <w:sz w:val="21"/>
                <w:szCs w:val="21"/>
                <w:lang w:val="en-US" w:eastAsia="zh-CN" w:bidi="ar"/>
              </w:rPr>
              <w:t>在全国排污许可证管理信息平台填报进行排污登记管理申报</w:t>
            </w:r>
            <w:r>
              <w:rPr>
                <w:rFonts w:hint="default" w:ascii="Times New Roman" w:hAnsi="Times New Roman" w:eastAsia="宋体" w:cs="Times New Roman"/>
                <w:color w:val="000000"/>
                <w:kern w:val="0"/>
                <w:sz w:val="21"/>
                <w:szCs w:val="21"/>
                <w:lang w:val="en-US" w:eastAsia="zh-CN" w:bidi="ar"/>
              </w:rPr>
              <w:t>；</w:t>
            </w:r>
          </w:p>
          <w:p w14:paraId="7AFD49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000000"/>
                <w:kern w:val="0"/>
                <w:sz w:val="21"/>
                <w:szCs w:val="21"/>
                <w:lang w:val="en-US" w:eastAsia="zh-CN" w:bidi="ar"/>
              </w:rPr>
              <w:t>③项目竣工后在投入正式生产之前按照《建设项目竣工环境保护验收暂行办法》（国环规环评〔2017〕4 号）的要求办理项目竣工环保验收手续</w:t>
            </w:r>
            <w:r>
              <w:rPr>
                <w:rFonts w:hint="eastAsia" w:ascii="Times New Roman" w:hAnsi="Times New Roman" w:eastAsia="宋体" w:cs="Times New Roman"/>
                <w:color w:val="000000"/>
                <w:kern w:val="0"/>
                <w:sz w:val="21"/>
                <w:szCs w:val="21"/>
                <w:lang w:val="en-US" w:eastAsia="zh-CN" w:bidi="ar"/>
              </w:rPr>
              <w:t>。</w:t>
            </w:r>
          </w:p>
        </w:tc>
      </w:tr>
    </w:tbl>
    <w:p w14:paraId="76B0CAC2">
      <w:pPr>
        <w:pStyle w:val="32"/>
        <w:jc w:val="center"/>
        <w:outlineLvl w:val="0"/>
        <w:rPr>
          <w:rFonts w:hint="eastAsia" w:ascii="宋体" w:hAnsi="宋体" w:eastAsia="宋体" w:cs="宋体"/>
          <w:b/>
          <w:bCs/>
          <w:color w:val="auto"/>
          <w:kern w:val="44"/>
          <w:sz w:val="30"/>
          <w:szCs w:val="21"/>
        </w:rPr>
      </w:pPr>
      <w:r>
        <w:rPr>
          <w:rFonts w:ascii="Times New Roman" w:hAnsi="Times New Roman"/>
          <w:snapToGrid w:val="0"/>
          <w:color w:val="auto"/>
        </w:rPr>
        <w:br w:type="page"/>
      </w:r>
      <w:bookmarkStart w:id="16" w:name="_Toc2006"/>
      <w:r>
        <w:rPr>
          <w:rFonts w:hint="eastAsia" w:ascii="宋体" w:hAnsi="宋体" w:eastAsia="宋体" w:cs="宋体"/>
          <w:b/>
          <w:bCs/>
          <w:color w:val="auto"/>
          <w:kern w:val="44"/>
          <w:sz w:val="30"/>
          <w:szCs w:val="21"/>
        </w:rPr>
        <w:t>六、结论</w:t>
      </w:r>
      <w:bookmarkEnd w:id="16"/>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85F8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32D472D5">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项目选址位于</w:t>
            </w:r>
            <w:r>
              <w:rPr>
                <w:rFonts w:hint="default" w:ascii="Times New Roman" w:hAnsi="Times New Roman" w:eastAsia="宋体" w:cs="Times New Roman"/>
                <w:color w:val="auto"/>
                <w:kern w:val="0"/>
                <w:sz w:val="24"/>
                <w:highlight w:val="none"/>
              </w:rPr>
              <w:t>云南省昆明市寻甸</w:t>
            </w:r>
            <w:r>
              <w:rPr>
                <w:rFonts w:hint="eastAsia" w:cs="Times New Roman"/>
                <w:color w:val="auto"/>
                <w:kern w:val="0"/>
                <w:sz w:val="24"/>
                <w:highlight w:val="none"/>
                <w:lang w:val="en-US" w:eastAsia="zh-CN"/>
              </w:rPr>
              <w:t>县</w:t>
            </w:r>
            <w:r>
              <w:rPr>
                <w:rFonts w:hint="default" w:ascii="Times New Roman" w:hAnsi="Times New Roman" w:eastAsia="宋体" w:cs="Times New Roman"/>
                <w:color w:val="auto"/>
                <w:kern w:val="0"/>
                <w:sz w:val="24"/>
                <w:highlight w:val="none"/>
              </w:rPr>
              <w:t>金所街道办事处竹沟社区居委会魏所工业园区01号</w:t>
            </w:r>
            <w:r>
              <w:rPr>
                <w:rFonts w:hint="eastAsia" w:ascii="Times New Roman" w:hAnsi="Times New Roman" w:eastAsia="宋体" w:cs="Times New Roman"/>
                <w:color w:val="auto"/>
                <w:sz w:val="24"/>
              </w:rPr>
              <w:t>，租用</w:t>
            </w:r>
            <w:r>
              <w:rPr>
                <w:rFonts w:hint="eastAsia" w:ascii="Times New Roman" w:hAnsi="Times New Roman" w:eastAsia="宋体" w:cs="Times New Roman"/>
                <w:color w:val="auto"/>
                <w:sz w:val="24"/>
                <w:lang w:eastAsia="zh-CN"/>
              </w:rPr>
              <w:t>云南鹏达冠得有限公司</w:t>
            </w:r>
            <w:r>
              <w:rPr>
                <w:rFonts w:hint="eastAsia" w:ascii="Times New Roman" w:hAnsi="Times New Roman" w:eastAsia="宋体" w:cs="Times New Roman"/>
                <w:color w:val="auto"/>
                <w:sz w:val="24"/>
              </w:rPr>
              <w:t>已建闲置厂房</w:t>
            </w:r>
            <w:r>
              <w:rPr>
                <w:rFonts w:hint="eastAsia" w:ascii="Times New Roman" w:hAnsi="Times New Roman" w:eastAsia="宋体" w:cs="Times New Roman"/>
                <w:color w:val="auto"/>
                <w:sz w:val="24"/>
                <w:lang w:val="en-US" w:eastAsia="zh-CN"/>
              </w:rPr>
              <w:t>和办公区</w:t>
            </w:r>
            <w:r>
              <w:rPr>
                <w:rFonts w:hint="eastAsia" w:ascii="Times New Roman" w:hAnsi="Times New Roman" w:eastAsia="宋体" w:cs="Times New Roman"/>
                <w:color w:val="auto"/>
                <w:sz w:val="24"/>
              </w:rPr>
              <w:t>进行建设，用地性质为工业用地，项目选址不涉及</w:t>
            </w:r>
            <w:r>
              <w:rPr>
                <w:rFonts w:hint="eastAsia" w:cs="Times New Roman"/>
                <w:color w:val="auto"/>
                <w:sz w:val="24"/>
                <w:lang w:eastAsia="zh-CN"/>
              </w:rPr>
              <w:t>生态保护红线</w:t>
            </w:r>
            <w:r>
              <w:rPr>
                <w:rFonts w:hint="eastAsia" w:ascii="Times New Roman" w:hAnsi="Times New Roman" w:eastAsia="宋体" w:cs="Times New Roman"/>
                <w:color w:val="auto"/>
                <w:sz w:val="24"/>
              </w:rPr>
              <w:t>、自然保护区、风景名胜区、</w:t>
            </w:r>
            <w:r>
              <w:rPr>
                <w:rFonts w:hint="eastAsia" w:cs="Times New Roman"/>
                <w:color w:val="auto"/>
                <w:sz w:val="24"/>
                <w:lang w:eastAsia="zh-CN"/>
              </w:rPr>
              <w:t>饮用水水源保护区</w:t>
            </w:r>
            <w:r>
              <w:rPr>
                <w:rFonts w:hint="eastAsia" w:ascii="Times New Roman" w:hAnsi="Times New Roman" w:eastAsia="宋体" w:cs="Times New Roman"/>
                <w:color w:val="auto"/>
                <w:sz w:val="24"/>
              </w:rPr>
              <w:t>、世界地质遗产地等环境敏感区，不占用永久基本农田。项目建设符合所在地“三线一单”管控要求，符合国家产业政策。项目运营期产生的废气、噪声采取环评提出的污染防治措施后，均能达标排放</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项</w:t>
            </w:r>
            <w:r>
              <w:rPr>
                <w:rFonts w:hint="eastAsia" w:ascii="Times New Roman" w:hAnsi="Times New Roman" w:eastAsia="宋体" w:cs="Times New Roman"/>
                <w:color w:val="auto"/>
                <w:sz w:val="24"/>
                <w:szCs w:val="24"/>
              </w:rPr>
              <w:t>目</w:t>
            </w:r>
            <w:r>
              <w:rPr>
                <w:rFonts w:hint="eastAsia" w:cs="Times New Roman"/>
                <w:color w:val="auto"/>
                <w:kern w:val="0"/>
                <w:sz w:val="24"/>
                <w:szCs w:val="24"/>
                <w:highlight w:val="none"/>
                <w:lang w:val="en-US" w:eastAsia="zh-CN" w:bidi="ar"/>
              </w:rPr>
              <w:t>间接</w:t>
            </w:r>
            <w:r>
              <w:rPr>
                <w:rFonts w:hint="default" w:ascii="Times New Roman" w:hAnsi="Times New Roman" w:eastAsia="宋体" w:cs="Times New Roman"/>
                <w:color w:val="auto"/>
                <w:kern w:val="0"/>
                <w:sz w:val="24"/>
                <w:szCs w:val="24"/>
                <w:highlight w:val="none"/>
                <w:lang w:val="en-US" w:eastAsia="zh-CN" w:bidi="ar"/>
              </w:rPr>
              <w:t>冷却循环</w:t>
            </w:r>
            <w:r>
              <w:rPr>
                <w:rFonts w:hint="eastAsia" w:cs="Times New Roman"/>
                <w:color w:val="auto"/>
                <w:kern w:val="0"/>
                <w:sz w:val="24"/>
                <w:szCs w:val="24"/>
                <w:highlight w:val="none"/>
                <w:lang w:val="en-US" w:eastAsia="zh-CN" w:bidi="ar"/>
              </w:rPr>
              <w:t>废水经</w:t>
            </w:r>
            <w:r>
              <w:rPr>
                <w:rFonts w:hint="default" w:ascii="Times New Roman" w:hAnsi="Times New Roman" w:eastAsia="宋体" w:cs="Times New Roman"/>
                <w:color w:val="auto"/>
                <w:kern w:val="0"/>
                <w:sz w:val="24"/>
                <w:szCs w:val="24"/>
                <w:highlight w:val="none"/>
                <w:lang w:val="en-US" w:eastAsia="zh-CN" w:bidi="ar"/>
              </w:rPr>
              <w:t>一体化污水处理设施处理达到《城市污水再生利用 城市杂用水水质》（GB/T18920-2020）标准后</w:t>
            </w:r>
            <w:r>
              <w:rPr>
                <w:rFonts w:hint="default" w:ascii="Times New Roman" w:hAnsi="Times New Roman" w:eastAsia="宋体" w:cs="Times New Roman"/>
                <w:color w:val="auto"/>
                <w:sz w:val="24"/>
                <w:szCs w:val="24"/>
                <w:highlight w:val="none"/>
              </w:rPr>
              <w:t>用于</w:t>
            </w:r>
            <w:r>
              <w:rPr>
                <w:rFonts w:hint="default" w:ascii="Times New Roman" w:hAnsi="Times New Roman" w:eastAsia="宋体" w:cs="Times New Roman"/>
                <w:color w:val="auto"/>
                <w:kern w:val="0"/>
                <w:sz w:val="24"/>
                <w:szCs w:val="24"/>
                <w:highlight w:val="none"/>
                <w:lang w:val="en-US" w:eastAsia="zh-CN" w:bidi="ar"/>
              </w:rPr>
              <w:t>绿化浇灌及道路洒水</w:t>
            </w:r>
            <w:r>
              <w:rPr>
                <w:rFonts w:hint="eastAsia" w:cs="Times New Roman"/>
                <w:color w:val="auto"/>
                <w:kern w:val="0"/>
                <w:sz w:val="24"/>
                <w:szCs w:val="24"/>
                <w:highlight w:val="none"/>
                <w:lang w:val="en-US" w:eastAsia="zh-CN" w:bidi="ar"/>
              </w:rPr>
              <w:t>；</w:t>
            </w:r>
            <w:r>
              <w:rPr>
                <w:rFonts w:hint="eastAsia" w:ascii="Times New Roman" w:hAnsi="Times New Roman" w:eastAsia="宋体" w:cs="Times New Roman"/>
                <w:color w:val="auto"/>
                <w:sz w:val="24"/>
                <w:szCs w:val="24"/>
              </w:rPr>
              <w:t>生活污水</w:t>
            </w:r>
            <w:r>
              <w:rPr>
                <w:rFonts w:hint="eastAsia" w:ascii="Times New Roman" w:hAnsi="Times New Roman" w:eastAsia="宋体" w:cs="Times New Roman"/>
                <w:color w:val="auto"/>
                <w:sz w:val="24"/>
                <w:szCs w:val="24"/>
                <w:lang w:val="en-US" w:eastAsia="zh-CN"/>
              </w:rPr>
              <w:t>依托</w:t>
            </w:r>
            <w:r>
              <w:rPr>
                <w:rFonts w:hint="eastAsia" w:ascii="Times New Roman" w:hAnsi="Times New Roman" w:eastAsia="宋体" w:cs="Times New Roman"/>
                <w:caps w:val="0"/>
                <w:smallCaps w:val="0"/>
                <w:color w:val="auto"/>
                <w:kern w:val="2"/>
                <w:sz w:val="24"/>
                <w:szCs w:val="24"/>
                <w:lang w:val="en-US" w:eastAsia="zh-CN" w:bidi="ar-SA"/>
              </w:rPr>
              <w:t>云南鹏达冠得有限公司</w:t>
            </w:r>
            <w:r>
              <w:rPr>
                <w:rFonts w:hint="eastAsia" w:ascii="Times New Roman" w:hAnsi="Times New Roman" w:eastAsia="宋体" w:cs="Times New Roman"/>
                <w:color w:val="auto"/>
                <w:sz w:val="24"/>
                <w:szCs w:val="24"/>
                <w:lang w:val="en-US" w:eastAsia="zh-CN"/>
              </w:rPr>
              <w:t>已建污水处理系统（化粪池+</w:t>
            </w:r>
            <w:r>
              <w:rPr>
                <w:rFonts w:hint="eastAsia" w:ascii="宋体" w:hAnsi="宋体" w:eastAsia="宋体" w:cs="宋体"/>
                <w:color w:val="auto"/>
                <w:kern w:val="0"/>
                <w:sz w:val="24"/>
                <w:szCs w:val="24"/>
                <w:lang w:val="en-US" w:eastAsia="zh-CN" w:bidi="ar"/>
              </w:rPr>
              <w:t>一体化污水处理设施+蓄水池，食堂废水先经油水分离器处理后同其他生活污水一同进入化粪池</w:t>
            </w:r>
            <w:r>
              <w:rPr>
                <w:rFonts w:hint="eastAsia" w:ascii="Times New Roman" w:hAnsi="Times New Roman" w:eastAsia="宋体" w:cs="Times New Roman"/>
                <w:color w:val="auto"/>
                <w:sz w:val="24"/>
                <w:szCs w:val="24"/>
                <w:lang w:val="en-US" w:eastAsia="zh-CN"/>
              </w:rPr>
              <w:t>）</w:t>
            </w:r>
            <w:r>
              <w:rPr>
                <w:rFonts w:hint="eastAsia" w:ascii="宋体" w:hAnsi="宋体" w:eastAsia="宋体" w:cs="宋体"/>
                <w:color w:val="auto"/>
                <w:kern w:val="0"/>
                <w:sz w:val="24"/>
                <w:szCs w:val="24"/>
                <w:lang w:val="en-US" w:eastAsia="zh-CN" w:bidi="ar"/>
              </w:rPr>
              <w:t>处理达标后</w:t>
            </w:r>
            <w:r>
              <w:rPr>
                <w:rFonts w:hint="default" w:ascii="Times New Roman" w:hAnsi="Times New Roman" w:eastAsia="宋体" w:cs="Times New Roman"/>
                <w:color w:val="auto"/>
                <w:sz w:val="24"/>
                <w:szCs w:val="24"/>
              </w:rPr>
              <w:t>用于</w:t>
            </w:r>
            <w:r>
              <w:rPr>
                <w:rFonts w:hint="eastAsia" w:ascii="宋体" w:hAnsi="宋体" w:eastAsia="宋体" w:cs="宋体"/>
                <w:color w:val="auto"/>
                <w:kern w:val="0"/>
                <w:sz w:val="24"/>
                <w:szCs w:val="24"/>
                <w:lang w:val="en-US" w:eastAsia="zh-CN" w:bidi="ar"/>
              </w:rPr>
              <w:t>绿化浇灌及道路洒水</w:t>
            </w:r>
            <w:r>
              <w:rPr>
                <w:rFonts w:hint="eastAsia" w:ascii="Times New Roman" w:hAnsi="Times New Roman" w:eastAsia="宋体" w:cs="Times New Roman"/>
                <w:color w:val="auto"/>
                <w:sz w:val="24"/>
              </w:rPr>
              <w:t>，项目废水不外排。</w:t>
            </w:r>
            <w:r>
              <w:rPr>
                <w:rFonts w:hint="eastAsia" w:ascii="Times New Roman" w:hAnsi="Times New Roman" w:eastAsia="宋体" w:cs="Times New Roman"/>
                <w:color w:val="auto"/>
                <w:sz w:val="24"/>
                <w:lang w:val="en-US" w:eastAsia="zh-CN"/>
              </w:rPr>
              <w:t>项目</w:t>
            </w:r>
            <w:r>
              <w:rPr>
                <w:rFonts w:hint="eastAsia" w:ascii="Times New Roman" w:hAnsi="Times New Roman" w:eastAsia="宋体" w:cs="Times New Roman"/>
                <w:color w:val="auto"/>
                <w:sz w:val="24"/>
              </w:rPr>
              <w:t>固废均能得到妥善处置，</w:t>
            </w:r>
            <w:r>
              <w:rPr>
                <w:rFonts w:hint="eastAsia" w:ascii="Times New Roman" w:hAnsi="Times New Roman" w:eastAsia="宋体" w:cs="Times New Roman"/>
                <w:color w:val="auto"/>
                <w:sz w:val="24"/>
                <w:lang w:val="en-US" w:eastAsia="zh-CN"/>
              </w:rPr>
              <w:t>处置率为100%，</w:t>
            </w:r>
            <w:r>
              <w:rPr>
                <w:rFonts w:hint="eastAsia" w:ascii="Times New Roman" w:hAnsi="Times New Roman" w:eastAsia="宋体" w:cs="Times New Roman"/>
                <w:color w:val="auto"/>
                <w:sz w:val="24"/>
              </w:rPr>
              <w:t>项目建设对周边环境影响较小。因此，项目在落实本报告提出的各项环保措施要求，严格执行环保“三同时”制度规定的前提下，从环境影响的角度评价，项目建设可行。</w:t>
            </w:r>
          </w:p>
          <w:p w14:paraId="20E987E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本项目编制、评价工作符合《中华人民共和国生态环境法典》关于建设项目生态环境影响评价的相关规定表述。</w:t>
            </w:r>
          </w:p>
        </w:tc>
      </w:tr>
    </w:tbl>
    <w:p w14:paraId="167744F2">
      <w:pPr>
        <w:rPr>
          <w:color w:val="auto"/>
        </w:rPr>
      </w:pPr>
    </w:p>
    <w:p w14:paraId="5909C508">
      <w:pPr>
        <w:jc w:val="center"/>
        <w:rPr>
          <w:rFonts w:eastAsia="黑体"/>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EF25ED6">
      <w:pPr>
        <w:pStyle w:val="32"/>
        <w:adjustRightInd w:val="0"/>
        <w:snapToGrid w:val="0"/>
        <w:spacing w:beforeAutospacing="0" w:after="0" w:afterAutospacing="0"/>
        <w:rPr>
          <w:rFonts w:hint="eastAsia" w:ascii="宋体" w:hAnsi="宋体" w:eastAsia="宋体" w:cs="宋体"/>
          <w:snapToGrid w:val="0"/>
          <w:color w:val="auto"/>
          <w:sz w:val="32"/>
          <w:szCs w:val="32"/>
        </w:rPr>
      </w:pPr>
      <w:r>
        <w:rPr>
          <w:rFonts w:hint="eastAsia" w:ascii="宋体" w:hAnsi="宋体" w:eastAsia="宋体" w:cs="宋体"/>
          <w:snapToGrid w:val="0"/>
          <w:color w:val="auto"/>
          <w:sz w:val="32"/>
          <w:szCs w:val="32"/>
        </w:rPr>
        <w:t>附表</w:t>
      </w:r>
    </w:p>
    <w:p w14:paraId="53F05948">
      <w:pPr>
        <w:pStyle w:val="32"/>
        <w:adjustRightInd w:val="0"/>
        <w:snapToGrid w:val="0"/>
        <w:spacing w:beforeAutospacing="0" w:after="0" w:afterAutospacing="0"/>
        <w:jc w:val="center"/>
        <w:outlineLvl w:val="0"/>
        <w:rPr>
          <w:rFonts w:ascii="Times New Roman" w:hAnsi="Times New Roman" w:eastAsia="方正小标宋_GBK"/>
          <w:snapToGrid w:val="0"/>
          <w:color w:val="auto"/>
          <w:sz w:val="38"/>
          <w:szCs w:val="38"/>
        </w:rPr>
      </w:pPr>
      <w:bookmarkStart w:id="17" w:name="_Toc6444"/>
      <w:bookmarkStart w:id="18" w:name="_Toc6335"/>
      <w:r>
        <w:rPr>
          <w:rFonts w:ascii="Times New Roman" w:hAnsi="Times New Roman" w:eastAsia="方正小标宋_GBK"/>
          <w:snapToGrid w:val="0"/>
          <w:color w:val="auto"/>
          <w:sz w:val="38"/>
          <w:szCs w:val="38"/>
        </w:rPr>
        <w:t>建设项目污染物排放量汇总表   单位：t/a</w:t>
      </w:r>
      <w:bookmarkEnd w:id="17"/>
      <w:bookmarkEnd w:id="18"/>
    </w:p>
    <w:tbl>
      <w:tblPr>
        <w:tblStyle w:val="36"/>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45"/>
        <w:gridCol w:w="1573"/>
        <w:gridCol w:w="1276"/>
        <w:gridCol w:w="1701"/>
        <w:gridCol w:w="1559"/>
        <w:gridCol w:w="1541"/>
        <w:gridCol w:w="1530"/>
        <w:gridCol w:w="1475"/>
      </w:tblGrid>
      <w:tr w14:paraId="3BE79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68909C6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jc w:val="right"/>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项目</w:t>
            </w:r>
          </w:p>
          <w:p w14:paraId="3A39A4F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jc w:val="left"/>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分类</w:t>
            </w:r>
          </w:p>
        </w:tc>
        <w:tc>
          <w:tcPr>
            <w:tcW w:w="1545" w:type="dxa"/>
            <w:noWrap w:val="0"/>
            <w:tcMar>
              <w:left w:w="28" w:type="dxa"/>
              <w:right w:w="28" w:type="dxa"/>
            </w:tcMar>
            <w:vAlign w:val="center"/>
          </w:tcPr>
          <w:p w14:paraId="72DFD222">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污染物名称</w:t>
            </w:r>
          </w:p>
        </w:tc>
        <w:tc>
          <w:tcPr>
            <w:tcW w:w="1573" w:type="dxa"/>
            <w:noWrap w:val="0"/>
            <w:tcMar>
              <w:left w:w="28" w:type="dxa"/>
              <w:right w:w="28" w:type="dxa"/>
            </w:tcMar>
            <w:vAlign w:val="center"/>
          </w:tcPr>
          <w:p w14:paraId="1A6947D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现有工程</w:t>
            </w:r>
          </w:p>
          <w:p w14:paraId="6D793640">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排放量（固体废物产生量）</w:t>
            </w: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1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①</w:t>
            </w:r>
            <w:r>
              <w:rPr>
                <w:rFonts w:hint="default" w:ascii="Times New Roman" w:hAnsi="Times New Roman" w:eastAsia="宋体" w:cs="Times New Roman"/>
                <w:b/>
                <w:bCs/>
                <w:snapToGrid w:val="0"/>
                <w:color w:val="auto"/>
                <w:spacing w:val="-6"/>
                <w:kern w:val="21"/>
                <w:sz w:val="21"/>
                <w:szCs w:val="21"/>
              </w:rPr>
              <w:fldChar w:fldCharType="end"/>
            </w:r>
          </w:p>
        </w:tc>
        <w:tc>
          <w:tcPr>
            <w:tcW w:w="1276" w:type="dxa"/>
            <w:noWrap w:val="0"/>
            <w:tcMar>
              <w:left w:w="28" w:type="dxa"/>
              <w:right w:w="28" w:type="dxa"/>
            </w:tcMar>
            <w:vAlign w:val="center"/>
          </w:tcPr>
          <w:p w14:paraId="1659290C">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现有工程</w:t>
            </w:r>
          </w:p>
          <w:p w14:paraId="6A0424D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许可排放量</w:t>
            </w:r>
          </w:p>
          <w:p w14:paraId="06D50ADB">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2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snapToGrid w:val="0"/>
                <w:color w:val="auto"/>
                <w:spacing w:val="-6"/>
                <w:kern w:val="21"/>
                <w:sz w:val="21"/>
                <w:szCs w:val="21"/>
              </w:rPr>
              <w:t>②</w:t>
            </w:r>
            <w:r>
              <w:rPr>
                <w:rFonts w:hint="default" w:ascii="Times New Roman" w:hAnsi="Times New Roman" w:eastAsia="宋体" w:cs="Times New Roman"/>
                <w:b/>
                <w:bCs/>
                <w:snapToGrid w:val="0"/>
                <w:color w:val="auto"/>
                <w:spacing w:val="-6"/>
                <w:kern w:val="21"/>
                <w:sz w:val="21"/>
                <w:szCs w:val="21"/>
              </w:rPr>
              <w:fldChar w:fldCharType="end"/>
            </w:r>
          </w:p>
        </w:tc>
        <w:tc>
          <w:tcPr>
            <w:tcW w:w="1701" w:type="dxa"/>
            <w:noWrap w:val="0"/>
            <w:tcMar>
              <w:left w:w="28" w:type="dxa"/>
              <w:right w:w="28" w:type="dxa"/>
            </w:tcMar>
            <w:vAlign w:val="center"/>
          </w:tcPr>
          <w:p w14:paraId="7C1389E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在建工程</w:t>
            </w:r>
          </w:p>
          <w:p w14:paraId="151785FF">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排放量（固体废物产生量）</w:t>
            </w: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3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③</w:t>
            </w:r>
            <w:r>
              <w:rPr>
                <w:rFonts w:hint="default" w:ascii="Times New Roman" w:hAnsi="Times New Roman" w:eastAsia="宋体" w:cs="Times New Roman"/>
                <w:b/>
                <w:bCs/>
                <w:snapToGrid w:val="0"/>
                <w:color w:val="auto"/>
                <w:spacing w:val="-6"/>
                <w:kern w:val="21"/>
                <w:sz w:val="21"/>
                <w:szCs w:val="21"/>
              </w:rPr>
              <w:fldChar w:fldCharType="end"/>
            </w:r>
          </w:p>
        </w:tc>
        <w:tc>
          <w:tcPr>
            <w:tcW w:w="1559" w:type="dxa"/>
            <w:noWrap w:val="0"/>
            <w:tcMar>
              <w:left w:w="28" w:type="dxa"/>
              <w:right w:w="28" w:type="dxa"/>
            </w:tcMar>
            <w:vAlign w:val="center"/>
          </w:tcPr>
          <w:p w14:paraId="1B79ACE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本项目</w:t>
            </w:r>
          </w:p>
          <w:p w14:paraId="2FF288C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排放量（固体废物产生量）</w:t>
            </w: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4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④</w:t>
            </w:r>
            <w:r>
              <w:rPr>
                <w:rFonts w:hint="default" w:ascii="Times New Roman" w:hAnsi="Times New Roman" w:eastAsia="宋体" w:cs="Times New Roman"/>
                <w:b/>
                <w:bCs/>
                <w:snapToGrid w:val="0"/>
                <w:color w:val="auto"/>
                <w:spacing w:val="-6"/>
                <w:kern w:val="21"/>
                <w:sz w:val="21"/>
                <w:szCs w:val="21"/>
              </w:rPr>
              <w:fldChar w:fldCharType="end"/>
            </w:r>
          </w:p>
        </w:tc>
        <w:tc>
          <w:tcPr>
            <w:tcW w:w="1541" w:type="dxa"/>
            <w:noWrap w:val="0"/>
            <w:tcMar>
              <w:left w:w="28" w:type="dxa"/>
              <w:right w:w="28" w:type="dxa"/>
            </w:tcMar>
            <w:vAlign w:val="center"/>
          </w:tcPr>
          <w:p w14:paraId="14B0ABCF">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以新带老削减量</w:t>
            </w:r>
          </w:p>
          <w:p w14:paraId="10190E67">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（新建项目不填）</w:t>
            </w:r>
            <w:r>
              <w:rPr>
                <w:rFonts w:hint="default" w:ascii="Times New Roman" w:hAnsi="Times New Roman" w:eastAsia="宋体" w:cs="Times New Roman"/>
                <w:b/>
                <w:bCs/>
                <w:snapToGrid w:val="0"/>
                <w:color w:val="auto"/>
                <w:spacing w:val="-16"/>
                <w:kern w:val="21"/>
                <w:sz w:val="21"/>
                <w:szCs w:val="21"/>
              </w:rPr>
              <w:fldChar w:fldCharType="begin"/>
            </w:r>
            <w:r>
              <w:rPr>
                <w:rFonts w:hint="default" w:ascii="Times New Roman" w:hAnsi="Times New Roman" w:eastAsia="宋体" w:cs="Times New Roman"/>
                <w:b/>
                <w:bCs/>
                <w:snapToGrid w:val="0"/>
                <w:color w:val="auto"/>
                <w:spacing w:val="-16"/>
                <w:kern w:val="21"/>
                <w:sz w:val="21"/>
                <w:szCs w:val="21"/>
              </w:rPr>
              <w:instrText xml:space="preserve"> = 5 \* GB3 \* MERGEFORMAT </w:instrText>
            </w:r>
            <w:r>
              <w:rPr>
                <w:rFonts w:hint="default" w:ascii="Times New Roman" w:hAnsi="Times New Roman" w:eastAsia="宋体" w:cs="Times New Roman"/>
                <w:b/>
                <w:bCs/>
                <w:snapToGrid w:val="0"/>
                <w:color w:val="auto"/>
                <w:spacing w:val="-16"/>
                <w:kern w:val="21"/>
                <w:sz w:val="21"/>
                <w:szCs w:val="21"/>
              </w:rPr>
              <w:fldChar w:fldCharType="separate"/>
            </w:r>
            <w:r>
              <w:rPr>
                <w:rFonts w:hint="default" w:ascii="Times New Roman" w:hAnsi="Times New Roman" w:eastAsia="宋体" w:cs="Times New Roman"/>
                <w:b/>
                <w:bCs/>
                <w:color w:val="auto"/>
                <w:kern w:val="2"/>
                <w:sz w:val="21"/>
                <w:szCs w:val="21"/>
              </w:rPr>
              <w:t>⑤</w:t>
            </w:r>
            <w:r>
              <w:rPr>
                <w:rFonts w:hint="default" w:ascii="Times New Roman" w:hAnsi="Times New Roman" w:eastAsia="宋体" w:cs="Times New Roman"/>
                <w:b/>
                <w:bCs/>
                <w:snapToGrid w:val="0"/>
                <w:color w:val="auto"/>
                <w:spacing w:val="-16"/>
                <w:kern w:val="21"/>
                <w:sz w:val="21"/>
                <w:szCs w:val="21"/>
              </w:rPr>
              <w:fldChar w:fldCharType="end"/>
            </w:r>
          </w:p>
        </w:tc>
        <w:tc>
          <w:tcPr>
            <w:tcW w:w="1530" w:type="dxa"/>
            <w:noWrap w:val="0"/>
            <w:tcMar>
              <w:left w:w="28" w:type="dxa"/>
              <w:right w:w="28" w:type="dxa"/>
            </w:tcMar>
            <w:vAlign w:val="center"/>
          </w:tcPr>
          <w:p w14:paraId="5A28C3F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本项目建成后</w:t>
            </w:r>
          </w:p>
          <w:p w14:paraId="6F367CD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全厂排放量（固体废物产生量）</w:t>
            </w:r>
            <w:r>
              <w:rPr>
                <w:rFonts w:hint="default" w:ascii="Times New Roman" w:hAnsi="Times New Roman" w:eastAsia="宋体" w:cs="Times New Roman"/>
                <w:b/>
                <w:bCs/>
                <w:snapToGrid w:val="0"/>
                <w:color w:val="auto"/>
                <w:spacing w:val="-16"/>
                <w:kern w:val="21"/>
                <w:sz w:val="21"/>
                <w:szCs w:val="21"/>
              </w:rPr>
              <w:fldChar w:fldCharType="begin"/>
            </w:r>
            <w:r>
              <w:rPr>
                <w:rFonts w:hint="default" w:ascii="Times New Roman" w:hAnsi="Times New Roman" w:eastAsia="宋体" w:cs="Times New Roman"/>
                <w:b/>
                <w:bCs/>
                <w:snapToGrid w:val="0"/>
                <w:color w:val="auto"/>
                <w:spacing w:val="-16"/>
                <w:kern w:val="21"/>
                <w:sz w:val="21"/>
                <w:szCs w:val="21"/>
              </w:rPr>
              <w:instrText xml:space="preserve"> = 6 \* GB3 \* MERGEFORMAT </w:instrText>
            </w:r>
            <w:r>
              <w:rPr>
                <w:rFonts w:hint="default" w:ascii="Times New Roman" w:hAnsi="Times New Roman" w:eastAsia="宋体" w:cs="Times New Roman"/>
                <w:b/>
                <w:bCs/>
                <w:snapToGrid w:val="0"/>
                <w:color w:val="auto"/>
                <w:spacing w:val="-16"/>
                <w:kern w:val="21"/>
                <w:sz w:val="21"/>
                <w:szCs w:val="21"/>
              </w:rPr>
              <w:fldChar w:fldCharType="separate"/>
            </w:r>
            <w:r>
              <w:rPr>
                <w:rFonts w:hint="default" w:ascii="Times New Roman" w:hAnsi="Times New Roman" w:eastAsia="宋体" w:cs="Times New Roman"/>
                <w:b/>
                <w:bCs/>
                <w:color w:val="auto"/>
                <w:kern w:val="2"/>
                <w:sz w:val="21"/>
                <w:szCs w:val="21"/>
              </w:rPr>
              <w:t>⑥</w:t>
            </w:r>
            <w:r>
              <w:rPr>
                <w:rFonts w:hint="default" w:ascii="Times New Roman" w:hAnsi="Times New Roman" w:eastAsia="宋体" w:cs="Times New Roman"/>
                <w:b/>
                <w:bCs/>
                <w:snapToGrid w:val="0"/>
                <w:color w:val="auto"/>
                <w:spacing w:val="-16"/>
                <w:kern w:val="21"/>
                <w:sz w:val="21"/>
                <w:szCs w:val="21"/>
              </w:rPr>
              <w:fldChar w:fldCharType="end"/>
            </w:r>
          </w:p>
        </w:tc>
        <w:tc>
          <w:tcPr>
            <w:tcW w:w="1475" w:type="dxa"/>
            <w:noWrap w:val="0"/>
            <w:tcMar>
              <w:left w:w="28" w:type="dxa"/>
              <w:right w:w="28" w:type="dxa"/>
            </w:tcMar>
            <w:vAlign w:val="center"/>
          </w:tcPr>
          <w:p w14:paraId="7B40A81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变化量</w:t>
            </w:r>
          </w:p>
          <w:p w14:paraId="19F03141">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7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⑦</w:t>
            </w:r>
            <w:r>
              <w:rPr>
                <w:rFonts w:hint="default" w:ascii="Times New Roman" w:hAnsi="Times New Roman" w:eastAsia="宋体" w:cs="Times New Roman"/>
                <w:b/>
                <w:bCs/>
                <w:snapToGrid w:val="0"/>
                <w:color w:val="auto"/>
                <w:spacing w:val="-6"/>
                <w:kern w:val="21"/>
                <w:sz w:val="21"/>
                <w:szCs w:val="21"/>
              </w:rPr>
              <w:fldChar w:fldCharType="end"/>
            </w:r>
          </w:p>
        </w:tc>
      </w:tr>
      <w:tr w14:paraId="61661F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restart"/>
            <w:noWrap w:val="0"/>
            <w:vAlign w:val="center"/>
          </w:tcPr>
          <w:p w14:paraId="5892CDDA">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废气</w:t>
            </w:r>
          </w:p>
        </w:tc>
        <w:tc>
          <w:tcPr>
            <w:tcW w:w="1545" w:type="dxa"/>
            <w:noWrap w:val="0"/>
            <w:vAlign w:val="center"/>
          </w:tcPr>
          <w:p w14:paraId="05F3ADB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废气量</w:t>
            </w:r>
          </w:p>
        </w:tc>
        <w:tc>
          <w:tcPr>
            <w:tcW w:w="1573" w:type="dxa"/>
            <w:noWrap w:val="0"/>
            <w:vAlign w:val="center"/>
          </w:tcPr>
          <w:p w14:paraId="2627375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276" w:type="dxa"/>
            <w:noWrap w:val="0"/>
            <w:vAlign w:val="center"/>
          </w:tcPr>
          <w:p w14:paraId="3A84F0A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701" w:type="dxa"/>
            <w:noWrap w:val="0"/>
            <w:vAlign w:val="center"/>
          </w:tcPr>
          <w:p w14:paraId="0963D3E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559" w:type="dxa"/>
            <w:noWrap w:val="0"/>
            <w:vAlign w:val="center"/>
          </w:tcPr>
          <w:p w14:paraId="64161801">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17280</w:t>
            </w:r>
            <w:r>
              <w:rPr>
                <w:rFonts w:hint="default" w:ascii="Times New Roman" w:hAnsi="Times New Roman" w:eastAsia="宋体" w:cs="Times New Roman"/>
                <w:color w:val="auto"/>
                <w:sz w:val="21"/>
                <w:szCs w:val="21"/>
                <w:lang w:val="en-US" w:eastAsia="zh-CN"/>
              </w:rPr>
              <w:t>万m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/a</w:t>
            </w:r>
          </w:p>
        </w:tc>
        <w:tc>
          <w:tcPr>
            <w:tcW w:w="1541" w:type="dxa"/>
            <w:noWrap w:val="0"/>
            <w:vAlign w:val="center"/>
          </w:tcPr>
          <w:p w14:paraId="5B7D1F16">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564B39F4">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17280</w:t>
            </w:r>
            <w:r>
              <w:rPr>
                <w:rFonts w:hint="default" w:ascii="Times New Roman" w:hAnsi="Times New Roman" w:eastAsia="宋体" w:cs="Times New Roman"/>
                <w:color w:val="auto"/>
                <w:sz w:val="21"/>
                <w:szCs w:val="21"/>
                <w:lang w:val="en-US" w:eastAsia="zh-CN"/>
              </w:rPr>
              <w:t>万m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/a</w:t>
            </w:r>
          </w:p>
        </w:tc>
        <w:tc>
          <w:tcPr>
            <w:tcW w:w="1475" w:type="dxa"/>
            <w:noWrap w:val="0"/>
            <w:vAlign w:val="center"/>
          </w:tcPr>
          <w:p w14:paraId="6198B975">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17280</w:t>
            </w:r>
            <w:r>
              <w:rPr>
                <w:rFonts w:hint="default" w:ascii="Times New Roman" w:hAnsi="Times New Roman" w:eastAsia="宋体" w:cs="Times New Roman"/>
                <w:color w:val="auto"/>
                <w:sz w:val="21"/>
                <w:szCs w:val="21"/>
                <w:lang w:val="en-US" w:eastAsia="zh-CN"/>
              </w:rPr>
              <w:t>万m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/a</w:t>
            </w:r>
          </w:p>
        </w:tc>
      </w:tr>
      <w:tr w14:paraId="55101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42236BD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3E08FFA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非甲烷总烃</w:t>
            </w:r>
          </w:p>
        </w:tc>
        <w:tc>
          <w:tcPr>
            <w:tcW w:w="1573" w:type="dxa"/>
            <w:noWrap w:val="0"/>
            <w:vAlign w:val="center"/>
          </w:tcPr>
          <w:p w14:paraId="0058C8C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276" w:type="dxa"/>
            <w:noWrap w:val="0"/>
            <w:vAlign w:val="center"/>
          </w:tcPr>
          <w:p w14:paraId="7B4C652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701" w:type="dxa"/>
            <w:noWrap w:val="0"/>
            <w:vAlign w:val="center"/>
          </w:tcPr>
          <w:p w14:paraId="32AFD1A5">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noWrap w:val="0"/>
            <w:vAlign w:val="center"/>
          </w:tcPr>
          <w:p w14:paraId="0B4538E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lang w:val="en-US" w:eastAsia="zh-CN" w:bidi="ar"/>
              </w:rPr>
              <w:t>4.3449</w:t>
            </w:r>
          </w:p>
        </w:tc>
        <w:tc>
          <w:tcPr>
            <w:tcW w:w="1541" w:type="dxa"/>
            <w:noWrap w:val="0"/>
            <w:vAlign w:val="center"/>
          </w:tcPr>
          <w:p w14:paraId="096E01B1">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4DC2BD75">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lang w:val="en-US" w:eastAsia="zh-CN" w:bidi="ar"/>
              </w:rPr>
              <w:t>4.3449</w:t>
            </w:r>
          </w:p>
        </w:tc>
        <w:tc>
          <w:tcPr>
            <w:tcW w:w="1475" w:type="dxa"/>
            <w:noWrap w:val="0"/>
            <w:vAlign w:val="center"/>
          </w:tcPr>
          <w:p w14:paraId="3884564E">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r>
              <w:rPr>
                <w:rFonts w:hint="eastAsia" w:cs="Times New Roman"/>
                <w:color w:val="auto"/>
                <w:kern w:val="0"/>
                <w:sz w:val="21"/>
                <w:szCs w:val="21"/>
                <w:lang w:val="en-US" w:eastAsia="zh-CN" w:bidi="ar"/>
              </w:rPr>
              <w:t>4.3449</w:t>
            </w:r>
          </w:p>
        </w:tc>
      </w:tr>
      <w:tr w14:paraId="6411B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523BB77A">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2D97A906">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臭气浓度</w:t>
            </w:r>
          </w:p>
        </w:tc>
        <w:tc>
          <w:tcPr>
            <w:tcW w:w="1573" w:type="dxa"/>
            <w:noWrap w:val="0"/>
            <w:vAlign w:val="center"/>
          </w:tcPr>
          <w:p w14:paraId="4B79A06E">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276" w:type="dxa"/>
            <w:noWrap w:val="0"/>
            <w:vAlign w:val="center"/>
          </w:tcPr>
          <w:p w14:paraId="486C15A2">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701" w:type="dxa"/>
            <w:noWrap w:val="0"/>
            <w:vAlign w:val="center"/>
          </w:tcPr>
          <w:p w14:paraId="2F6135C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noWrap w:val="0"/>
            <w:vAlign w:val="center"/>
          </w:tcPr>
          <w:p w14:paraId="2BF5623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highlight w:val="none"/>
                <w:lang w:val="en-US" w:eastAsia="zh-CN" w:bidi="ar"/>
              </w:rPr>
              <w:t>933.1</w:t>
            </w:r>
            <w:r>
              <w:rPr>
                <w:rFonts w:hint="default" w:ascii="Times New Roman" w:hAnsi="Times New Roman" w:eastAsia="宋体" w:cs="Times New Roman"/>
                <w:color w:val="auto"/>
                <w:kern w:val="0"/>
                <w:sz w:val="21"/>
                <w:szCs w:val="21"/>
                <w:highlight w:val="none"/>
                <w:lang w:val="en-US" w:eastAsia="zh-CN" w:bidi="ar"/>
              </w:rPr>
              <w:t>（无量纲）</w:t>
            </w:r>
          </w:p>
        </w:tc>
        <w:tc>
          <w:tcPr>
            <w:tcW w:w="1541" w:type="dxa"/>
            <w:noWrap w:val="0"/>
            <w:vAlign w:val="center"/>
          </w:tcPr>
          <w:p w14:paraId="02D6FCCE">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11DC6C2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highlight w:val="none"/>
                <w:lang w:val="en-US" w:eastAsia="zh-CN" w:bidi="ar"/>
              </w:rPr>
              <w:t>933.1</w:t>
            </w:r>
            <w:r>
              <w:rPr>
                <w:rFonts w:hint="default" w:ascii="Times New Roman" w:hAnsi="Times New Roman" w:eastAsia="宋体" w:cs="Times New Roman"/>
                <w:color w:val="auto"/>
                <w:kern w:val="0"/>
                <w:sz w:val="21"/>
                <w:szCs w:val="21"/>
                <w:highlight w:val="none"/>
                <w:lang w:val="en-US" w:eastAsia="zh-CN" w:bidi="ar"/>
              </w:rPr>
              <w:t>（无量纲）</w:t>
            </w:r>
          </w:p>
        </w:tc>
        <w:tc>
          <w:tcPr>
            <w:tcW w:w="1475" w:type="dxa"/>
            <w:noWrap w:val="0"/>
            <w:vAlign w:val="center"/>
          </w:tcPr>
          <w:p w14:paraId="2BC2207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w:t>
            </w:r>
            <w:r>
              <w:rPr>
                <w:rFonts w:hint="eastAsia" w:cs="Times New Roman"/>
                <w:color w:val="auto"/>
                <w:kern w:val="0"/>
                <w:sz w:val="21"/>
                <w:szCs w:val="21"/>
                <w:highlight w:val="none"/>
                <w:lang w:val="en-US" w:eastAsia="zh-CN" w:bidi="ar"/>
              </w:rPr>
              <w:t>933.1</w:t>
            </w:r>
            <w:r>
              <w:rPr>
                <w:rFonts w:hint="default" w:ascii="Times New Roman" w:hAnsi="Times New Roman" w:eastAsia="宋体" w:cs="Times New Roman"/>
                <w:color w:val="auto"/>
                <w:kern w:val="0"/>
                <w:sz w:val="21"/>
                <w:szCs w:val="21"/>
                <w:highlight w:val="none"/>
                <w:lang w:val="en-US" w:eastAsia="zh-CN" w:bidi="ar"/>
              </w:rPr>
              <w:t>（无量纲）</w:t>
            </w:r>
          </w:p>
        </w:tc>
      </w:tr>
      <w:tr w14:paraId="722EE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121E0205">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6472D40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颗粒物</w:t>
            </w:r>
          </w:p>
        </w:tc>
        <w:tc>
          <w:tcPr>
            <w:tcW w:w="1573" w:type="dxa"/>
            <w:noWrap w:val="0"/>
            <w:vAlign w:val="center"/>
          </w:tcPr>
          <w:p w14:paraId="66383C23">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276" w:type="dxa"/>
            <w:noWrap w:val="0"/>
            <w:vAlign w:val="center"/>
          </w:tcPr>
          <w:p w14:paraId="03B3D2C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701" w:type="dxa"/>
            <w:noWrap w:val="0"/>
            <w:vAlign w:val="center"/>
          </w:tcPr>
          <w:p w14:paraId="51D2F5BF">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559" w:type="dxa"/>
            <w:noWrap w:val="0"/>
            <w:vAlign w:val="center"/>
          </w:tcPr>
          <w:p w14:paraId="2337D30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0.053096</w:t>
            </w:r>
          </w:p>
        </w:tc>
        <w:tc>
          <w:tcPr>
            <w:tcW w:w="1541" w:type="dxa"/>
            <w:noWrap w:val="0"/>
            <w:vAlign w:val="center"/>
          </w:tcPr>
          <w:p w14:paraId="781CA125">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530" w:type="dxa"/>
            <w:noWrap w:val="0"/>
            <w:vAlign w:val="center"/>
          </w:tcPr>
          <w:p w14:paraId="26DC8B4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0.053096</w:t>
            </w:r>
          </w:p>
        </w:tc>
        <w:tc>
          <w:tcPr>
            <w:tcW w:w="1475" w:type="dxa"/>
            <w:noWrap w:val="0"/>
            <w:vAlign w:val="center"/>
          </w:tcPr>
          <w:p w14:paraId="294D4659">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2"/>
                <w:sz w:val="21"/>
                <w:szCs w:val="21"/>
                <w:lang w:val="en-US" w:eastAsia="zh-CN" w:bidi="ar-SA"/>
              </w:rPr>
              <w:t>0.0</w:t>
            </w:r>
            <w:r>
              <w:rPr>
                <w:rFonts w:hint="eastAsia" w:cs="Times New Roman"/>
                <w:color w:val="auto"/>
                <w:kern w:val="2"/>
                <w:sz w:val="21"/>
                <w:szCs w:val="21"/>
                <w:lang w:val="en-US" w:eastAsia="zh-CN" w:bidi="ar-SA"/>
              </w:rPr>
              <w:t>53096</w:t>
            </w:r>
          </w:p>
        </w:tc>
      </w:tr>
      <w:tr w14:paraId="26BA8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6440394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28B0755C">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油烟</w:t>
            </w:r>
          </w:p>
        </w:tc>
        <w:tc>
          <w:tcPr>
            <w:tcW w:w="1573" w:type="dxa"/>
            <w:noWrap w:val="0"/>
            <w:vAlign w:val="center"/>
          </w:tcPr>
          <w:p w14:paraId="348E8BB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276" w:type="dxa"/>
            <w:noWrap w:val="0"/>
            <w:vAlign w:val="center"/>
          </w:tcPr>
          <w:p w14:paraId="3BDEA94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701" w:type="dxa"/>
            <w:noWrap w:val="0"/>
            <w:vAlign w:val="center"/>
          </w:tcPr>
          <w:p w14:paraId="1398C30E">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559" w:type="dxa"/>
            <w:noWrap w:val="0"/>
            <w:vAlign w:val="center"/>
          </w:tcPr>
          <w:p w14:paraId="2D4218A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1.0188</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1541" w:type="dxa"/>
            <w:noWrap w:val="0"/>
            <w:vAlign w:val="center"/>
          </w:tcPr>
          <w:p w14:paraId="594CD12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530" w:type="dxa"/>
            <w:noWrap w:val="0"/>
            <w:vAlign w:val="center"/>
          </w:tcPr>
          <w:p w14:paraId="1F7B1C2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1.0188</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c>
          <w:tcPr>
            <w:tcW w:w="1475" w:type="dxa"/>
            <w:noWrap w:val="0"/>
            <w:vAlign w:val="center"/>
          </w:tcPr>
          <w:p w14:paraId="0A8E8E5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0"/>
                <w:sz w:val="21"/>
                <w:szCs w:val="21"/>
                <w:lang w:val="en-US" w:eastAsia="zh-CN" w:bidi="ar"/>
              </w:rPr>
              <w:t>1.0188</w:t>
            </w:r>
            <w:r>
              <w:rPr>
                <w:rFonts w:hint="default" w:ascii="Times New Roman" w:hAnsi="Times New Roman" w:eastAsia="宋体" w:cs="Times New Roman"/>
                <w:bCs/>
                <w:color w:val="auto"/>
                <w:sz w:val="21"/>
                <w:szCs w:val="21"/>
              </w:rPr>
              <w:t>×10</w:t>
            </w:r>
            <w:r>
              <w:rPr>
                <w:rFonts w:hint="default" w:ascii="Times New Roman" w:hAnsi="Times New Roman" w:eastAsia="宋体" w:cs="Times New Roman"/>
                <w:bCs/>
                <w:color w:val="auto"/>
                <w:sz w:val="21"/>
                <w:szCs w:val="21"/>
                <w:vertAlign w:val="superscript"/>
              </w:rPr>
              <w:t>-3</w:t>
            </w:r>
          </w:p>
        </w:tc>
      </w:tr>
      <w:tr w14:paraId="02916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restart"/>
            <w:noWrap w:val="0"/>
            <w:vAlign w:val="center"/>
          </w:tcPr>
          <w:p w14:paraId="7728519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废水</w:t>
            </w:r>
          </w:p>
        </w:tc>
        <w:tc>
          <w:tcPr>
            <w:tcW w:w="1545" w:type="dxa"/>
            <w:noWrap w:val="0"/>
            <w:vAlign w:val="center"/>
          </w:tcPr>
          <w:p w14:paraId="7CC43F3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废水量</w:t>
            </w:r>
          </w:p>
        </w:tc>
        <w:tc>
          <w:tcPr>
            <w:tcW w:w="1573" w:type="dxa"/>
            <w:noWrap w:val="0"/>
            <w:vAlign w:val="center"/>
          </w:tcPr>
          <w:p w14:paraId="568CB90F">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276" w:type="dxa"/>
            <w:noWrap w:val="0"/>
            <w:vAlign w:val="center"/>
          </w:tcPr>
          <w:p w14:paraId="07E754E2">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371B81A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092C690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w:t>
            </w:r>
          </w:p>
        </w:tc>
        <w:tc>
          <w:tcPr>
            <w:tcW w:w="1541" w:type="dxa"/>
            <w:noWrap w:val="0"/>
            <w:vAlign w:val="center"/>
          </w:tcPr>
          <w:p w14:paraId="41B1CFD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348412FA">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475" w:type="dxa"/>
            <w:noWrap w:val="0"/>
            <w:vAlign w:val="center"/>
          </w:tcPr>
          <w:p w14:paraId="2703E343">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r>
      <w:tr w14:paraId="0D85E2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58D50AC9">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13D83507">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b w:val="0"/>
                <w:bCs w:val="0"/>
                <w:snapToGrid w:val="0"/>
                <w:color w:val="auto"/>
                <w:kern w:val="21"/>
                <w:sz w:val="21"/>
                <w:szCs w:val="21"/>
              </w:rPr>
            </w:pPr>
            <w:r>
              <w:rPr>
                <w:rFonts w:hint="default" w:ascii="Times New Roman" w:hAnsi="Times New Roman" w:eastAsia="宋体" w:cs="Times New Roman"/>
                <w:b w:val="0"/>
                <w:bCs w:val="0"/>
                <w:color w:val="auto"/>
                <w:kern w:val="0"/>
                <w:szCs w:val="21"/>
                <w:lang w:val="en-US" w:eastAsia="zh-CN" w:bidi="ar"/>
              </w:rPr>
              <w:t>COD</w:t>
            </w:r>
          </w:p>
        </w:tc>
        <w:tc>
          <w:tcPr>
            <w:tcW w:w="1573" w:type="dxa"/>
            <w:shd w:val="clear" w:color="auto" w:fill="auto"/>
            <w:noWrap w:val="0"/>
            <w:vAlign w:val="center"/>
          </w:tcPr>
          <w:p w14:paraId="41611DF4">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278E0C4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2F26C49F">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256ACE2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541" w:type="dxa"/>
            <w:shd w:val="clear" w:color="auto" w:fill="auto"/>
            <w:noWrap w:val="0"/>
            <w:vAlign w:val="center"/>
          </w:tcPr>
          <w:p w14:paraId="173757D3">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55F39DC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475" w:type="dxa"/>
            <w:shd w:val="clear" w:color="auto" w:fill="auto"/>
            <w:noWrap w:val="0"/>
            <w:vAlign w:val="center"/>
          </w:tcPr>
          <w:p w14:paraId="4DB3790C">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r>
      <w:tr w14:paraId="5EDA4A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23AE65BF">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103073F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b w:val="0"/>
                <w:bCs w:val="0"/>
                <w:snapToGrid w:val="0"/>
                <w:color w:val="auto"/>
                <w:kern w:val="21"/>
                <w:sz w:val="21"/>
                <w:szCs w:val="21"/>
              </w:rPr>
            </w:pPr>
            <w:r>
              <w:rPr>
                <w:rFonts w:hint="default" w:ascii="Times New Roman" w:hAnsi="Times New Roman" w:eastAsia="宋体" w:cs="Times New Roman"/>
                <w:b w:val="0"/>
                <w:bCs w:val="0"/>
                <w:color w:val="auto"/>
                <w:szCs w:val="21"/>
              </w:rPr>
              <w:t>BOD</w:t>
            </w:r>
            <w:r>
              <w:rPr>
                <w:rFonts w:hint="default" w:ascii="Times New Roman" w:hAnsi="Times New Roman" w:eastAsia="宋体" w:cs="Times New Roman"/>
                <w:b w:val="0"/>
                <w:bCs w:val="0"/>
                <w:color w:val="auto"/>
                <w:szCs w:val="21"/>
                <w:vertAlign w:val="subscript"/>
              </w:rPr>
              <w:t>5</w:t>
            </w:r>
          </w:p>
        </w:tc>
        <w:tc>
          <w:tcPr>
            <w:tcW w:w="1573" w:type="dxa"/>
            <w:shd w:val="clear" w:color="auto" w:fill="auto"/>
            <w:noWrap w:val="0"/>
            <w:vAlign w:val="center"/>
          </w:tcPr>
          <w:p w14:paraId="0009723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5210F5D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236D55D8">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6A6560C4">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541" w:type="dxa"/>
            <w:shd w:val="clear" w:color="auto" w:fill="auto"/>
            <w:noWrap w:val="0"/>
            <w:vAlign w:val="center"/>
          </w:tcPr>
          <w:p w14:paraId="07A5966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06683013">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475" w:type="dxa"/>
            <w:shd w:val="clear" w:color="auto" w:fill="auto"/>
            <w:noWrap w:val="0"/>
            <w:vAlign w:val="center"/>
          </w:tcPr>
          <w:p w14:paraId="3FA25DE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r>
      <w:tr w14:paraId="53880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588" w:type="dxa"/>
            <w:vMerge w:val="continue"/>
            <w:noWrap w:val="0"/>
            <w:vAlign w:val="center"/>
          </w:tcPr>
          <w:p w14:paraId="418FAC3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1EB23E4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b w:val="0"/>
                <w:bCs w:val="0"/>
                <w:snapToGrid w:val="0"/>
                <w:color w:val="auto"/>
                <w:kern w:val="21"/>
                <w:sz w:val="21"/>
                <w:szCs w:val="21"/>
              </w:rPr>
            </w:pPr>
            <w:r>
              <w:rPr>
                <w:rFonts w:hint="default" w:ascii="Times New Roman" w:hAnsi="Times New Roman" w:eastAsia="宋体" w:cs="Times New Roman"/>
                <w:b w:val="0"/>
                <w:bCs w:val="0"/>
                <w:color w:val="auto"/>
                <w:szCs w:val="21"/>
                <w:lang w:val="en-US" w:eastAsia="zh-CN"/>
              </w:rPr>
              <w:t>总磷</w:t>
            </w:r>
          </w:p>
        </w:tc>
        <w:tc>
          <w:tcPr>
            <w:tcW w:w="1573" w:type="dxa"/>
            <w:shd w:val="clear" w:color="auto" w:fill="auto"/>
            <w:noWrap w:val="0"/>
            <w:vAlign w:val="center"/>
          </w:tcPr>
          <w:p w14:paraId="0594001A">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7F2F8D4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7E9F94A4">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6A80292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541" w:type="dxa"/>
            <w:shd w:val="clear" w:color="auto" w:fill="auto"/>
            <w:noWrap w:val="0"/>
            <w:vAlign w:val="center"/>
          </w:tcPr>
          <w:p w14:paraId="043DFD4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64BA3E0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475" w:type="dxa"/>
            <w:shd w:val="clear" w:color="auto" w:fill="auto"/>
            <w:noWrap w:val="0"/>
            <w:vAlign w:val="center"/>
          </w:tcPr>
          <w:p w14:paraId="16D13D1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r>
      <w:tr w14:paraId="7016CA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7D221738">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shd w:val="clear" w:color="auto" w:fill="auto"/>
            <w:noWrap w:val="0"/>
            <w:vAlign w:val="center"/>
          </w:tcPr>
          <w:p w14:paraId="37BCF3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NH</w:t>
            </w:r>
            <w:r>
              <w:rPr>
                <w:rFonts w:hint="default" w:ascii="Times New Roman" w:hAnsi="Times New Roman" w:eastAsia="宋体" w:cs="Times New Roman"/>
                <w:b w:val="0"/>
                <w:bCs w:val="0"/>
                <w:color w:val="auto"/>
                <w:szCs w:val="21"/>
                <w:vertAlign w:val="subscript"/>
              </w:rPr>
              <w:t>3</w:t>
            </w:r>
            <w:r>
              <w:rPr>
                <w:rFonts w:hint="default" w:ascii="Times New Roman" w:hAnsi="Times New Roman" w:eastAsia="宋体" w:cs="Times New Roman"/>
                <w:b w:val="0"/>
                <w:bCs w:val="0"/>
                <w:color w:val="auto"/>
                <w:szCs w:val="21"/>
              </w:rPr>
              <w:t>-N</w:t>
            </w:r>
          </w:p>
        </w:tc>
        <w:tc>
          <w:tcPr>
            <w:tcW w:w="1573" w:type="dxa"/>
            <w:shd w:val="clear" w:color="auto" w:fill="auto"/>
            <w:noWrap w:val="0"/>
            <w:vAlign w:val="center"/>
          </w:tcPr>
          <w:p w14:paraId="33034D06">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727825C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174F1D2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3EF3C439">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541" w:type="dxa"/>
            <w:shd w:val="clear" w:color="auto" w:fill="auto"/>
            <w:noWrap w:val="0"/>
            <w:vAlign w:val="center"/>
          </w:tcPr>
          <w:p w14:paraId="28B6D0AE">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7202CBCA">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475" w:type="dxa"/>
            <w:shd w:val="clear" w:color="auto" w:fill="auto"/>
            <w:noWrap w:val="0"/>
            <w:vAlign w:val="center"/>
          </w:tcPr>
          <w:p w14:paraId="7025E7A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r>
      <w:tr w14:paraId="6C43E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04BF2CDB">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1A92889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b w:val="0"/>
                <w:bCs w:val="0"/>
                <w:snapToGrid w:val="0"/>
                <w:color w:val="auto"/>
                <w:kern w:val="21"/>
                <w:sz w:val="21"/>
                <w:szCs w:val="21"/>
              </w:rPr>
            </w:pPr>
            <w:r>
              <w:rPr>
                <w:rFonts w:hint="default" w:ascii="Times New Roman" w:hAnsi="Times New Roman" w:eastAsia="宋体" w:cs="Times New Roman"/>
                <w:b w:val="0"/>
                <w:bCs w:val="0"/>
                <w:color w:val="auto"/>
                <w:szCs w:val="21"/>
                <w:lang w:val="en-US" w:eastAsia="zh-CN"/>
              </w:rPr>
              <w:t>动植物油</w:t>
            </w:r>
          </w:p>
        </w:tc>
        <w:tc>
          <w:tcPr>
            <w:tcW w:w="1573" w:type="dxa"/>
            <w:shd w:val="clear" w:color="auto" w:fill="auto"/>
            <w:noWrap w:val="0"/>
            <w:vAlign w:val="center"/>
          </w:tcPr>
          <w:p w14:paraId="04B4187A">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3CFFD1E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67562F8C">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73AD124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541" w:type="dxa"/>
            <w:shd w:val="clear" w:color="auto" w:fill="auto"/>
            <w:noWrap w:val="0"/>
            <w:vAlign w:val="center"/>
          </w:tcPr>
          <w:p w14:paraId="68E2F45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58FB5CFB">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1475" w:type="dxa"/>
            <w:shd w:val="clear" w:color="auto" w:fill="auto"/>
            <w:noWrap w:val="0"/>
            <w:vAlign w:val="center"/>
          </w:tcPr>
          <w:p w14:paraId="76CDFF1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p>
        </w:tc>
      </w:tr>
      <w:tr w14:paraId="187C2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restart"/>
            <w:noWrap w:val="0"/>
            <w:vAlign w:val="center"/>
          </w:tcPr>
          <w:p w14:paraId="7E1F302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一般工业</w:t>
            </w:r>
          </w:p>
          <w:p w14:paraId="656A874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固体废物</w:t>
            </w:r>
          </w:p>
        </w:tc>
        <w:tc>
          <w:tcPr>
            <w:tcW w:w="1545" w:type="dxa"/>
            <w:noWrap w:val="0"/>
            <w:vAlign w:val="center"/>
          </w:tcPr>
          <w:p w14:paraId="742AC03F">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生活垃圾</w:t>
            </w:r>
          </w:p>
        </w:tc>
        <w:tc>
          <w:tcPr>
            <w:tcW w:w="1573" w:type="dxa"/>
            <w:noWrap w:val="0"/>
            <w:vAlign w:val="center"/>
          </w:tcPr>
          <w:p w14:paraId="22BD3F55">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276" w:type="dxa"/>
            <w:noWrap w:val="0"/>
            <w:vAlign w:val="center"/>
          </w:tcPr>
          <w:p w14:paraId="53115A7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07217749">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78148507">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36</w:t>
            </w:r>
          </w:p>
        </w:tc>
        <w:tc>
          <w:tcPr>
            <w:tcW w:w="1541" w:type="dxa"/>
            <w:noWrap w:val="0"/>
            <w:vAlign w:val="center"/>
          </w:tcPr>
          <w:p w14:paraId="38CFE2F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584BA9B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36</w:t>
            </w:r>
          </w:p>
        </w:tc>
        <w:tc>
          <w:tcPr>
            <w:tcW w:w="1475" w:type="dxa"/>
            <w:noWrap w:val="0"/>
            <w:vAlign w:val="center"/>
          </w:tcPr>
          <w:p w14:paraId="2007AD1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lang w:val="en-US" w:eastAsia="zh-CN"/>
              </w:rPr>
              <w:t>+</w:t>
            </w:r>
            <w:r>
              <w:rPr>
                <w:rFonts w:hint="default"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36</w:t>
            </w:r>
          </w:p>
        </w:tc>
      </w:tr>
      <w:tr w14:paraId="0BFF6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7DA7761D">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5D9CD1D5">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包装固废</w:t>
            </w:r>
          </w:p>
        </w:tc>
        <w:tc>
          <w:tcPr>
            <w:tcW w:w="1573" w:type="dxa"/>
            <w:noWrap w:val="0"/>
            <w:vAlign w:val="center"/>
          </w:tcPr>
          <w:p w14:paraId="19629991">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276" w:type="dxa"/>
            <w:noWrap w:val="0"/>
            <w:vAlign w:val="center"/>
          </w:tcPr>
          <w:p w14:paraId="4249079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33B360DA">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08D8A6D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c>
          <w:tcPr>
            <w:tcW w:w="1541" w:type="dxa"/>
            <w:noWrap w:val="0"/>
            <w:vAlign w:val="center"/>
          </w:tcPr>
          <w:p w14:paraId="5267822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1D51561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w:t>
            </w:r>
          </w:p>
        </w:tc>
        <w:tc>
          <w:tcPr>
            <w:tcW w:w="1475" w:type="dxa"/>
            <w:noWrap w:val="0"/>
            <w:vAlign w:val="center"/>
          </w:tcPr>
          <w:p w14:paraId="4C38CAE4">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lang w:val="en-US" w:eastAsia="zh-CN"/>
              </w:rPr>
              <w:t>+</w:t>
            </w:r>
            <w:r>
              <w:rPr>
                <w:rFonts w:hint="default" w:ascii="Times New Roman" w:hAnsi="Times New Roman" w:eastAsia="宋体" w:cs="Times New Roman"/>
                <w:color w:val="auto"/>
                <w:sz w:val="21"/>
                <w:szCs w:val="21"/>
                <w:lang w:val="en-US" w:eastAsia="zh-CN"/>
              </w:rPr>
              <w:t>2.0</w:t>
            </w:r>
          </w:p>
        </w:tc>
      </w:tr>
      <w:tr w14:paraId="1124D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36354F8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4BEBAE1D">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生产废料及</w:t>
            </w:r>
            <w:r>
              <w:rPr>
                <w:rFonts w:hint="default" w:ascii="Times New Roman" w:hAnsi="Times New Roman" w:eastAsia="宋体" w:cs="Times New Roman"/>
                <w:snapToGrid w:val="0"/>
                <w:color w:val="auto"/>
                <w:kern w:val="21"/>
                <w:sz w:val="21"/>
                <w:szCs w:val="21"/>
                <w:lang w:val="en-US" w:eastAsia="zh-CN"/>
              </w:rPr>
              <w:t>不合格品</w:t>
            </w:r>
          </w:p>
        </w:tc>
        <w:tc>
          <w:tcPr>
            <w:tcW w:w="1573" w:type="dxa"/>
            <w:noWrap w:val="0"/>
            <w:vAlign w:val="center"/>
          </w:tcPr>
          <w:p w14:paraId="70365039">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276" w:type="dxa"/>
            <w:noWrap w:val="0"/>
            <w:vAlign w:val="center"/>
          </w:tcPr>
          <w:p w14:paraId="75FEBB9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05262946">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7882F1C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cs="Times New Roman"/>
                <w:color w:val="auto"/>
                <w:kern w:val="0"/>
                <w:sz w:val="21"/>
                <w:szCs w:val="21"/>
                <w:lang w:val="en-US" w:eastAsia="zh-CN" w:bidi="ar-SA"/>
              </w:rPr>
              <w:t>6.515</w:t>
            </w:r>
          </w:p>
        </w:tc>
        <w:tc>
          <w:tcPr>
            <w:tcW w:w="1541" w:type="dxa"/>
            <w:noWrap w:val="0"/>
            <w:vAlign w:val="center"/>
          </w:tcPr>
          <w:p w14:paraId="2C4EC7E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14F3179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ascii="Times New Roman" w:cs="Times New Roman"/>
                <w:color w:val="auto"/>
                <w:kern w:val="0"/>
                <w:sz w:val="21"/>
                <w:szCs w:val="21"/>
                <w:lang w:val="en-US" w:eastAsia="zh-CN" w:bidi="ar-SA"/>
              </w:rPr>
              <w:t>6.515</w:t>
            </w:r>
          </w:p>
        </w:tc>
        <w:tc>
          <w:tcPr>
            <w:tcW w:w="1475" w:type="dxa"/>
            <w:noWrap w:val="0"/>
            <w:vAlign w:val="center"/>
          </w:tcPr>
          <w:p w14:paraId="4799514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lang w:val="en-US" w:eastAsia="zh-CN"/>
              </w:rPr>
              <w:t>+</w:t>
            </w:r>
            <w:r>
              <w:rPr>
                <w:rFonts w:hint="eastAsia" w:ascii="Times New Roman" w:cs="Times New Roman"/>
                <w:color w:val="auto"/>
                <w:kern w:val="0"/>
                <w:sz w:val="21"/>
                <w:szCs w:val="21"/>
                <w:lang w:val="en-US" w:eastAsia="zh-CN" w:bidi="ar-SA"/>
              </w:rPr>
              <w:t>6.515</w:t>
            </w:r>
          </w:p>
        </w:tc>
      </w:tr>
      <w:tr w14:paraId="41469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73DD3AAF">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0094C1C3">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eastAsia" w:cs="Times New Roman"/>
                <w:snapToGrid w:val="0"/>
                <w:color w:val="auto"/>
                <w:kern w:val="21"/>
                <w:sz w:val="21"/>
                <w:szCs w:val="21"/>
                <w:lang w:val="en-US" w:eastAsia="zh-CN"/>
              </w:rPr>
            </w:pPr>
            <w:r>
              <w:rPr>
                <w:rFonts w:hint="eastAsia" w:ascii="Times New Roman" w:cs="Times New Roman"/>
                <w:color w:val="auto"/>
                <w:sz w:val="21"/>
                <w:szCs w:val="21"/>
                <w:lang w:val="en-US" w:eastAsia="zh-CN"/>
              </w:rPr>
              <w:t>厂房沉降粉尘</w:t>
            </w:r>
          </w:p>
        </w:tc>
        <w:tc>
          <w:tcPr>
            <w:tcW w:w="1573" w:type="dxa"/>
            <w:noWrap w:val="0"/>
            <w:vAlign w:val="center"/>
          </w:tcPr>
          <w:p w14:paraId="7D5EF956">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1276" w:type="dxa"/>
            <w:noWrap w:val="0"/>
            <w:vAlign w:val="center"/>
          </w:tcPr>
          <w:p w14:paraId="2CBE4E0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282C61A7">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038D76CD">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eastAsia" w:ascii="Times New Roman" w:cs="Times New Roman"/>
                <w:color w:val="auto"/>
                <w:kern w:val="0"/>
                <w:sz w:val="21"/>
                <w:szCs w:val="21"/>
                <w:lang w:val="en-US" w:eastAsia="zh-CN" w:bidi="ar-SA"/>
              </w:rPr>
            </w:pPr>
            <w:r>
              <w:rPr>
                <w:rFonts w:hint="eastAsia" w:cs="宋体"/>
                <w:caps w:val="0"/>
                <w:smallCaps w:val="0"/>
                <w:color w:val="auto"/>
                <w:kern w:val="0"/>
                <w:sz w:val="21"/>
                <w:szCs w:val="21"/>
                <w:highlight w:val="none"/>
                <w:lang w:val="en-US" w:eastAsia="zh-CN" w:bidi="ar"/>
              </w:rPr>
              <w:t>0.07964</w:t>
            </w:r>
          </w:p>
        </w:tc>
        <w:tc>
          <w:tcPr>
            <w:tcW w:w="1541" w:type="dxa"/>
            <w:noWrap w:val="0"/>
            <w:vAlign w:val="center"/>
          </w:tcPr>
          <w:p w14:paraId="78A0186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6F2EC83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eastAsia" w:ascii="Times New Roman" w:cs="Times New Roman"/>
                <w:color w:val="auto"/>
                <w:kern w:val="0"/>
                <w:sz w:val="21"/>
                <w:szCs w:val="21"/>
                <w:lang w:val="en-US" w:eastAsia="zh-CN" w:bidi="ar-SA"/>
              </w:rPr>
            </w:pPr>
            <w:r>
              <w:rPr>
                <w:rFonts w:hint="eastAsia" w:cs="宋体"/>
                <w:caps w:val="0"/>
                <w:smallCaps w:val="0"/>
                <w:color w:val="auto"/>
                <w:kern w:val="0"/>
                <w:sz w:val="21"/>
                <w:szCs w:val="21"/>
                <w:highlight w:val="none"/>
                <w:lang w:val="en-US" w:eastAsia="zh-CN" w:bidi="ar"/>
              </w:rPr>
              <w:t>0.07964</w:t>
            </w:r>
          </w:p>
        </w:tc>
        <w:tc>
          <w:tcPr>
            <w:tcW w:w="1475" w:type="dxa"/>
            <w:noWrap w:val="0"/>
            <w:vAlign w:val="center"/>
          </w:tcPr>
          <w:p w14:paraId="4B03865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cs="Times New Roman"/>
                <w:color w:val="auto"/>
                <w:sz w:val="21"/>
                <w:szCs w:val="21"/>
                <w:lang w:val="en-US" w:eastAsia="zh-CN"/>
              </w:rPr>
              <w:t>+</w:t>
            </w:r>
            <w:r>
              <w:rPr>
                <w:rFonts w:hint="eastAsia" w:cs="宋体"/>
                <w:caps w:val="0"/>
                <w:smallCaps w:val="0"/>
                <w:color w:val="auto"/>
                <w:kern w:val="0"/>
                <w:sz w:val="21"/>
                <w:szCs w:val="21"/>
                <w:highlight w:val="none"/>
                <w:lang w:val="en-US" w:eastAsia="zh-CN" w:bidi="ar"/>
              </w:rPr>
              <w:t>0.07964</w:t>
            </w:r>
          </w:p>
        </w:tc>
      </w:tr>
      <w:tr w14:paraId="42B6F2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restart"/>
            <w:noWrap w:val="0"/>
            <w:vAlign w:val="center"/>
          </w:tcPr>
          <w:p w14:paraId="26AC296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危险废物</w:t>
            </w:r>
          </w:p>
        </w:tc>
        <w:tc>
          <w:tcPr>
            <w:tcW w:w="1545" w:type="dxa"/>
            <w:noWrap w:val="0"/>
            <w:vAlign w:val="center"/>
          </w:tcPr>
          <w:p w14:paraId="5FDE18AF">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废润滑油</w:t>
            </w:r>
          </w:p>
        </w:tc>
        <w:tc>
          <w:tcPr>
            <w:tcW w:w="1573" w:type="dxa"/>
            <w:noWrap w:val="0"/>
            <w:vAlign w:val="center"/>
          </w:tcPr>
          <w:p w14:paraId="02942E5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76" w:type="dxa"/>
            <w:noWrap w:val="0"/>
            <w:vAlign w:val="center"/>
          </w:tcPr>
          <w:p w14:paraId="4B45DBB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39707A2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53F3B619">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w:t>
            </w:r>
          </w:p>
        </w:tc>
        <w:tc>
          <w:tcPr>
            <w:tcW w:w="1541" w:type="dxa"/>
            <w:noWrap w:val="0"/>
            <w:vAlign w:val="center"/>
          </w:tcPr>
          <w:p w14:paraId="4EF9B7CD">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7142170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0.1</w:t>
            </w:r>
          </w:p>
        </w:tc>
        <w:tc>
          <w:tcPr>
            <w:tcW w:w="1475" w:type="dxa"/>
            <w:noWrap w:val="0"/>
            <w:vAlign w:val="center"/>
          </w:tcPr>
          <w:p w14:paraId="384384E4">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+0.1</w:t>
            </w:r>
          </w:p>
        </w:tc>
      </w:tr>
      <w:tr w14:paraId="1C7AE1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103A02CC">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6B3651A4">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eastAsia" w:ascii="Times New Roman" w:hAnsi="Times New Roman" w:eastAsia="Times New Roman" w:cs="宋体"/>
                <w:b w:val="0"/>
                <w:bCs w:val="0"/>
                <w:color w:val="auto"/>
                <w:sz w:val="21"/>
                <w:szCs w:val="21"/>
                <w:lang w:val="en-US" w:eastAsia="zh-CN" w:bidi="ar-SA"/>
              </w:rPr>
              <w:t>含油废手套抹布</w:t>
            </w:r>
          </w:p>
        </w:tc>
        <w:tc>
          <w:tcPr>
            <w:tcW w:w="1573" w:type="dxa"/>
            <w:noWrap w:val="0"/>
            <w:vAlign w:val="center"/>
          </w:tcPr>
          <w:p w14:paraId="3BBF163C">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276" w:type="dxa"/>
            <w:noWrap w:val="0"/>
            <w:vAlign w:val="center"/>
          </w:tcPr>
          <w:p w14:paraId="10558BA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701" w:type="dxa"/>
            <w:noWrap w:val="0"/>
            <w:vAlign w:val="center"/>
          </w:tcPr>
          <w:p w14:paraId="322D8E83">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559" w:type="dxa"/>
            <w:noWrap w:val="0"/>
            <w:vAlign w:val="center"/>
          </w:tcPr>
          <w:p w14:paraId="1A8A6C24">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c>
          <w:tcPr>
            <w:tcW w:w="1541" w:type="dxa"/>
            <w:noWrap w:val="0"/>
            <w:vAlign w:val="center"/>
          </w:tcPr>
          <w:p w14:paraId="6A6C09D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530" w:type="dxa"/>
            <w:noWrap w:val="0"/>
            <w:vAlign w:val="center"/>
          </w:tcPr>
          <w:p w14:paraId="4B339D5F">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0.01</w:t>
            </w:r>
          </w:p>
        </w:tc>
        <w:tc>
          <w:tcPr>
            <w:tcW w:w="1475" w:type="dxa"/>
            <w:noWrap w:val="0"/>
            <w:vAlign w:val="center"/>
          </w:tcPr>
          <w:p w14:paraId="01DDE7C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+0.01</w:t>
            </w:r>
          </w:p>
        </w:tc>
      </w:tr>
      <w:tr w14:paraId="72900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094691A4">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shd w:val="clear" w:color="auto" w:fill="auto"/>
            <w:noWrap w:val="0"/>
            <w:vAlign w:val="center"/>
          </w:tcPr>
          <w:p w14:paraId="1B4090EF">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废柴油桶</w:t>
            </w:r>
          </w:p>
        </w:tc>
        <w:tc>
          <w:tcPr>
            <w:tcW w:w="1573" w:type="dxa"/>
            <w:shd w:val="clear" w:color="auto" w:fill="auto"/>
            <w:noWrap w:val="0"/>
            <w:vAlign w:val="center"/>
          </w:tcPr>
          <w:p w14:paraId="7CD7609F">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1C10A53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7672941C">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137F3CCB">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0.5</w:t>
            </w:r>
          </w:p>
        </w:tc>
        <w:tc>
          <w:tcPr>
            <w:tcW w:w="1541" w:type="dxa"/>
            <w:shd w:val="clear" w:color="auto" w:fill="auto"/>
            <w:noWrap w:val="0"/>
            <w:vAlign w:val="center"/>
          </w:tcPr>
          <w:p w14:paraId="231E9801">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24B7F59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0.5</w:t>
            </w:r>
          </w:p>
        </w:tc>
        <w:tc>
          <w:tcPr>
            <w:tcW w:w="1475" w:type="dxa"/>
            <w:shd w:val="clear" w:color="auto" w:fill="auto"/>
            <w:noWrap w:val="0"/>
            <w:vAlign w:val="center"/>
          </w:tcPr>
          <w:p w14:paraId="186570CF">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+0.5</w:t>
            </w:r>
          </w:p>
        </w:tc>
      </w:tr>
      <w:tr w14:paraId="397904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3F65F336">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shd w:val="clear" w:color="auto" w:fill="auto"/>
            <w:noWrap w:val="0"/>
            <w:vAlign w:val="center"/>
          </w:tcPr>
          <w:p w14:paraId="7D7D2F4B">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废脱模剂瓶</w:t>
            </w:r>
          </w:p>
        </w:tc>
        <w:tc>
          <w:tcPr>
            <w:tcW w:w="1573" w:type="dxa"/>
            <w:shd w:val="clear" w:color="auto" w:fill="auto"/>
            <w:noWrap w:val="0"/>
            <w:vAlign w:val="center"/>
          </w:tcPr>
          <w:p w14:paraId="40EFE0B5">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276" w:type="dxa"/>
            <w:shd w:val="clear" w:color="auto" w:fill="auto"/>
            <w:noWrap w:val="0"/>
            <w:vAlign w:val="center"/>
          </w:tcPr>
          <w:p w14:paraId="3D53134E">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701" w:type="dxa"/>
            <w:shd w:val="clear" w:color="auto" w:fill="auto"/>
            <w:noWrap w:val="0"/>
            <w:vAlign w:val="center"/>
          </w:tcPr>
          <w:p w14:paraId="61E5A4C2">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59" w:type="dxa"/>
            <w:shd w:val="clear" w:color="auto" w:fill="auto"/>
            <w:noWrap w:val="0"/>
            <w:vAlign w:val="center"/>
          </w:tcPr>
          <w:p w14:paraId="59259DB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0.03</w:t>
            </w:r>
          </w:p>
        </w:tc>
        <w:tc>
          <w:tcPr>
            <w:tcW w:w="1541" w:type="dxa"/>
            <w:shd w:val="clear" w:color="auto" w:fill="auto"/>
            <w:noWrap w:val="0"/>
            <w:vAlign w:val="center"/>
          </w:tcPr>
          <w:p w14:paraId="6AEEFFE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1530" w:type="dxa"/>
            <w:shd w:val="clear" w:color="auto" w:fill="auto"/>
            <w:noWrap w:val="0"/>
            <w:vAlign w:val="center"/>
          </w:tcPr>
          <w:p w14:paraId="00D298DB">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0.03</w:t>
            </w:r>
          </w:p>
        </w:tc>
        <w:tc>
          <w:tcPr>
            <w:tcW w:w="1475" w:type="dxa"/>
            <w:shd w:val="clear" w:color="auto" w:fill="auto"/>
            <w:noWrap w:val="0"/>
            <w:vAlign w:val="center"/>
          </w:tcPr>
          <w:p w14:paraId="4E2A1787">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+0.03</w:t>
            </w:r>
          </w:p>
        </w:tc>
      </w:tr>
      <w:tr w14:paraId="5AE20D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8" w:type="dxa"/>
            <w:vMerge w:val="continue"/>
            <w:noWrap w:val="0"/>
            <w:vAlign w:val="center"/>
          </w:tcPr>
          <w:p w14:paraId="16FDDA9C">
            <w:pPr>
              <w:pStyle w:val="81"/>
              <w:keepNext w:val="0"/>
              <w:keepLines w:val="0"/>
              <w:pageBreakBefore w:val="0"/>
              <w:suppressLineNumbers w:val="0"/>
              <w:kinsoku/>
              <w:wordWrap/>
              <w:overflowPunct/>
              <w:topLinePunct w:val="0"/>
              <w:autoSpaceDE/>
              <w:autoSpaceDN/>
              <w:bidi w:val="0"/>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rPr>
            </w:pPr>
          </w:p>
        </w:tc>
        <w:tc>
          <w:tcPr>
            <w:tcW w:w="1545" w:type="dxa"/>
            <w:noWrap w:val="0"/>
            <w:vAlign w:val="center"/>
          </w:tcPr>
          <w:p w14:paraId="20D0C832">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废活性炭</w:t>
            </w:r>
          </w:p>
        </w:tc>
        <w:tc>
          <w:tcPr>
            <w:tcW w:w="1573" w:type="dxa"/>
            <w:noWrap w:val="0"/>
            <w:vAlign w:val="center"/>
          </w:tcPr>
          <w:p w14:paraId="41441AD4">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76" w:type="dxa"/>
            <w:noWrap w:val="0"/>
            <w:vAlign w:val="center"/>
          </w:tcPr>
          <w:p w14:paraId="07F859A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701" w:type="dxa"/>
            <w:noWrap w:val="0"/>
            <w:vAlign w:val="center"/>
          </w:tcPr>
          <w:p w14:paraId="5A389DF0">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59" w:type="dxa"/>
            <w:noWrap w:val="0"/>
            <w:vAlign w:val="center"/>
          </w:tcPr>
          <w:p w14:paraId="5758D865">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rPr>
            </w:pPr>
            <w:r>
              <w:rPr>
                <w:rFonts w:hint="eastAsia" w:ascii="Times New Roman" w:cs="Times New Roman"/>
                <w:color w:val="auto"/>
                <w:sz w:val="21"/>
                <w:szCs w:val="21"/>
                <w:lang w:val="en-US" w:eastAsia="zh-CN"/>
              </w:rPr>
              <w:t>12.92</w:t>
            </w:r>
          </w:p>
        </w:tc>
        <w:tc>
          <w:tcPr>
            <w:tcW w:w="1541" w:type="dxa"/>
            <w:noWrap w:val="0"/>
            <w:vAlign w:val="center"/>
          </w:tcPr>
          <w:p w14:paraId="2CBA79E4">
            <w:pPr>
              <w:pStyle w:val="85"/>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530" w:type="dxa"/>
            <w:noWrap w:val="0"/>
            <w:vAlign w:val="center"/>
          </w:tcPr>
          <w:p w14:paraId="788B82F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cs="Times New Roman"/>
                <w:color w:val="auto"/>
                <w:sz w:val="21"/>
                <w:szCs w:val="21"/>
                <w:lang w:val="en-US" w:eastAsia="zh-CN"/>
              </w:rPr>
              <w:t>12.92</w:t>
            </w:r>
          </w:p>
        </w:tc>
        <w:tc>
          <w:tcPr>
            <w:tcW w:w="1475" w:type="dxa"/>
            <w:noWrap w:val="0"/>
            <w:vAlign w:val="center"/>
          </w:tcPr>
          <w:p w14:paraId="525077E1">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lang w:val="en-US" w:eastAsia="zh-CN"/>
              </w:rPr>
              <w:t>+</w:t>
            </w:r>
            <w:r>
              <w:rPr>
                <w:rFonts w:hint="eastAsia" w:ascii="Times New Roman" w:cs="Times New Roman"/>
                <w:color w:val="auto"/>
                <w:sz w:val="21"/>
                <w:szCs w:val="21"/>
                <w:lang w:val="en-US" w:eastAsia="zh-CN"/>
              </w:rPr>
              <w:t>12.92</w:t>
            </w:r>
          </w:p>
        </w:tc>
      </w:tr>
    </w:tbl>
    <w:p w14:paraId="744829B8">
      <w:pPr>
        <w:rPr>
          <w:color w:val="auto"/>
        </w:rPr>
      </w:pPr>
      <w:r>
        <w:rPr>
          <w:snapToGrid w:val="0"/>
          <w:color w:val="auto"/>
          <w:kern w:val="21"/>
          <w:szCs w:val="21"/>
        </w:rPr>
        <w:t>注：</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color w:val="auto"/>
          <w:szCs w:val="21"/>
        </w:rPr>
        <w:t>①</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3 \* GB3 \* MERGEFORMAT </w:instrText>
      </w:r>
      <w:r>
        <w:rPr>
          <w:snapToGrid w:val="0"/>
          <w:color w:val="auto"/>
          <w:spacing w:val="-6"/>
          <w:kern w:val="21"/>
          <w:szCs w:val="21"/>
        </w:rPr>
        <w:fldChar w:fldCharType="separate"/>
      </w:r>
      <w:r>
        <w:rPr>
          <w:color w:val="auto"/>
          <w:szCs w:val="21"/>
        </w:rPr>
        <w:t>③</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4 \* GB3 \* MERGEFORMAT </w:instrText>
      </w:r>
      <w:r>
        <w:rPr>
          <w:snapToGrid w:val="0"/>
          <w:color w:val="auto"/>
          <w:spacing w:val="-6"/>
          <w:kern w:val="21"/>
          <w:szCs w:val="21"/>
        </w:rPr>
        <w:fldChar w:fldCharType="separate"/>
      </w:r>
      <w:r>
        <w:rPr>
          <w:color w:val="auto"/>
          <w:szCs w:val="21"/>
        </w:rPr>
        <w:t>④</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5 \* GB3 \* MERGEFORMAT </w:instrText>
      </w:r>
      <w:r>
        <w:rPr>
          <w:snapToGrid w:val="0"/>
          <w:color w:val="auto"/>
          <w:spacing w:val="-16"/>
          <w:kern w:val="21"/>
          <w:szCs w:val="21"/>
        </w:rPr>
        <w:fldChar w:fldCharType="separate"/>
      </w:r>
      <w:r>
        <w:rPr>
          <w:color w:val="auto"/>
          <w:szCs w:val="21"/>
        </w:rPr>
        <w:t>⑤</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7 \* GB3 \* MERGEFORMAT </w:instrText>
      </w:r>
      <w:r>
        <w:rPr>
          <w:snapToGrid w:val="0"/>
          <w:color w:val="auto"/>
          <w:spacing w:val="-6"/>
          <w:kern w:val="21"/>
          <w:szCs w:val="21"/>
        </w:rPr>
        <w:fldChar w:fldCharType="separate"/>
      </w:r>
      <w:r>
        <w:rPr>
          <w:color w:val="auto"/>
          <w:szCs w:val="21"/>
        </w:rPr>
        <w:t>⑦</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color w:val="auto"/>
          <w:szCs w:val="21"/>
        </w:rPr>
        <w:t>①</w:t>
      </w:r>
      <w:r>
        <w:rPr>
          <w:snapToGrid w:val="0"/>
          <w:color w:val="auto"/>
          <w:spacing w:val="-6"/>
          <w:kern w:val="21"/>
          <w:szCs w:val="21"/>
        </w:rPr>
        <w:fldChar w:fldCharType="end"/>
      </w:r>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1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EF4FA0-0B88-49DB-8C5C-B38A61EB521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2" w:fontKey="{FCDE282D-4489-4470-8537-A54ACEA93B8E}"/>
  </w:font>
  <w:font w:name="MS Mincho">
    <w:panose1 w:val="02020609040205080304"/>
    <w:charset w:val="80"/>
    <w:family w:val="modern"/>
    <w:pitch w:val="default"/>
    <w:sig w:usb0="E00002FF" w:usb1="6AC7FDFB" w:usb2="00000012" w:usb3="00000000" w:csb0="4002009F" w:csb1="DFD70000"/>
  </w:font>
  <w:font w:name="Arial Unicode MS">
    <w:altName w:val="宋体"/>
    <w:panose1 w:val="020B0604020202020204"/>
    <w:charset w:val="86"/>
    <w:family w:val="auto"/>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embedRegular r:id="rId3" w:fontKey="{B4151187-3EF3-4DD3-8126-63E5E16F2304}"/>
  </w:font>
  <w:font w:name="仿宋_GB2312">
    <w:panose1 w:val="02010609030101010101"/>
    <w:charset w:val="86"/>
    <w:family w:val="modern"/>
    <w:pitch w:val="default"/>
    <w:sig w:usb0="00000001" w:usb1="080E0000" w:usb2="00000000" w:usb3="00000000" w:csb0="00040000" w:csb1="00000000"/>
    <w:embedRegular r:id="rId4" w:fontKey="{D2CBF2CD-CB52-4ED5-810C-CAB74884E598}"/>
  </w:font>
  <w:font w:name="微软雅黑">
    <w:panose1 w:val="020B0503020204020204"/>
    <w:charset w:val="86"/>
    <w:family w:val="auto"/>
    <w:pitch w:val="default"/>
    <w:sig w:usb0="80000287" w:usb1="280F3C52" w:usb2="00000016" w:usb3="00000000" w:csb0="0004001F" w:csb1="00000000"/>
    <w:embedRegular r:id="rId5" w:fontKey="{AFC3F563-90F1-4071-AA0F-B682B007BEAD}"/>
  </w:font>
  <w:font w:name="方正小标宋_GBK">
    <w:panose1 w:val="03000509000000000000"/>
    <w:charset w:val="86"/>
    <w:family w:val="script"/>
    <w:pitch w:val="default"/>
    <w:sig w:usb0="00000001" w:usb1="080E0000" w:usb2="00000000" w:usb3="00000000" w:csb0="00040000" w:csb1="00000000"/>
    <w:embedRegular r:id="rId6" w:fontKey="{7AC63EDC-4EA1-4546-98E5-FF0218D8C892}"/>
  </w:font>
  <w:font w:name="仿宋">
    <w:panose1 w:val="02010609060101010101"/>
    <w:charset w:val="86"/>
    <w:family w:val="modern"/>
    <w:pitch w:val="default"/>
    <w:sig w:usb0="800002BF" w:usb1="38CF7CFA" w:usb2="00000016" w:usb3="00000000" w:csb0="00040001" w:csb1="00000000"/>
    <w:embedRegular r:id="rId7" w:fontKey="{6ACCDF88-D91A-4562-AC63-992C83F343C0}"/>
  </w:font>
  <w:font w:name="Wingdings 2">
    <w:panose1 w:val="05020102010507070707"/>
    <w:charset w:val="02"/>
    <w:family w:val="auto"/>
    <w:pitch w:val="default"/>
    <w:sig w:usb0="00000000" w:usb1="00000000" w:usb2="00000000" w:usb3="00000000" w:csb0="80000000" w:csb1="00000000"/>
    <w:embedRegular r:id="rId8" w:fontKey="{DDA518DF-7E18-49B6-B2DB-CC60F32426A9}"/>
  </w:font>
  <w:font w:name="瀹嬩綋">
    <w:altName w:val="Segoe Print"/>
    <w:panose1 w:val="00000000000000000000"/>
    <w:charset w:val="00"/>
    <w:family w:val="auto"/>
    <w:pitch w:val="default"/>
    <w:sig w:usb0="00000000" w:usb1="00000000" w:usb2="00000000" w:usb3="00000000" w:csb0="00000000" w:csb1="00000000"/>
    <w:embedRegular r:id="rId9" w:fontKey="{1C88A125-5286-4571-AE34-CE081BECBB01}"/>
  </w:font>
  <w:font w:name="AMGDT">
    <w:altName w:val="仓耳舒圆体 W03"/>
    <w:panose1 w:val="02000400000000000000"/>
    <w:charset w:val="00"/>
    <w:family w:val="auto"/>
    <w:pitch w:val="default"/>
    <w:sig w:usb0="00000000"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embedRegular r:id="rId10" w:fontKey="{F0BFA62C-5498-47FC-BF11-F5D6FED4D527}"/>
  </w:font>
  <w:font w:name="WPSEMBED1">
    <w:panose1 w:val="03000509000000000000"/>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仓耳舒圆体 W03">
    <w:panose1 w:val="02020400000000000000"/>
    <w:charset w:val="80"/>
    <w:family w:val="auto"/>
    <w:pitch w:val="default"/>
    <w:sig w:usb0="80000023" w:usb1="08C1045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9ABEB">
    <w:pPr>
      <w:pStyle w:val="2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832B">
    <w:pPr>
      <w:pStyle w:val="26"/>
      <w:framePr w:wrap="around" w:vAnchor="text" w:hAnchor="margin" w:xAlign="center" w:y="1"/>
      <w:rPr>
        <w:rStyle w:val="40"/>
      </w:rPr>
    </w:pPr>
    <w:r>
      <w:fldChar w:fldCharType="begin"/>
    </w:r>
    <w:r>
      <w:rPr>
        <w:rStyle w:val="40"/>
      </w:rPr>
      <w:instrText xml:space="preserve">PAGE  </w:instrText>
    </w:r>
    <w:r>
      <w:fldChar w:fldCharType="end"/>
    </w:r>
  </w:p>
  <w:p w14:paraId="5164FA0E">
    <w:pPr>
      <w:pStyle w:val="2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C9F79">
    <w:pPr>
      <w:pStyle w:val="26"/>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671A407">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AEiy1LXAQAAsgMAAA4AAAAAAAAAAQAgAAAA&#10;HgEAAGRycy9lMm9Eb2MueG1sUEsFBgAAAAAGAAYAWQEAAGcFAAAAAA==&#10;">
              <v:fill on="f" focussize="0,0"/>
              <v:stroke on="f"/>
              <v:imagedata o:title=""/>
              <o:lock v:ext="edit" aspectratio="f"/>
              <v:textbox inset="0mm,0mm,0mm,0mm" style="mso-fit-shape-to-text:t;">
                <w:txbxContent>
                  <w:p w14:paraId="0671A407">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45</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7312">
    <w:pPr>
      <w:pStyle w:val="26"/>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81CDF01">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86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Bq1Xfq2AEAALIDAAAOAAAAAAAAAAEAIAAA&#10;AB4BAABkcnMvZTJvRG9jLnhtbFBLBQYAAAAABgAGAFkBAABoBQAAAAA=&#10;">
              <v:fill on="f" focussize="0,0"/>
              <v:stroke on="f"/>
              <v:imagedata o:title=""/>
              <o:lock v:ext="edit" aspectratio="f"/>
              <v:textbox inset="0mm,0mm,0mm,0mm" style="mso-fit-shape-to-text:t;">
                <w:txbxContent>
                  <w:p w14:paraId="481CDF01">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86</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E85CD"/>
    <w:multiLevelType w:val="singleLevel"/>
    <w:tmpl w:val="905E85CD"/>
    <w:lvl w:ilvl="0" w:tentative="0">
      <w:start w:val="1"/>
      <w:numFmt w:val="decimal"/>
      <w:suff w:val="nothing"/>
      <w:lvlText w:val="%1、"/>
      <w:lvlJc w:val="left"/>
    </w:lvl>
  </w:abstractNum>
  <w:abstractNum w:abstractNumId="1">
    <w:nsid w:val="E34FAF4C"/>
    <w:multiLevelType w:val="singleLevel"/>
    <w:tmpl w:val="E34FAF4C"/>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4C0A6026"/>
    <w:multiLevelType w:val="singleLevel"/>
    <w:tmpl w:val="4C0A6026"/>
    <w:lvl w:ilvl="0" w:tentative="0">
      <w:start w:val="1"/>
      <w:numFmt w:val="chineseCounting"/>
      <w:suff w:val="nothing"/>
      <w:lvlText w:val="（%1）"/>
      <w:lvlJc w:val="left"/>
      <w:rPr>
        <w:rFonts w:hint="eastAsia"/>
      </w:rPr>
    </w:lvl>
  </w:abstractNum>
  <w:abstractNum w:abstractNumId="3">
    <w:nsid w:val="670799FE"/>
    <w:multiLevelType w:val="singleLevel"/>
    <w:tmpl w:val="670799FE"/>
    <w:lvl w:ilvl="0" w:tentative="0">
      <w:start w:val="2"/>
      <w:numFmt w:val="decimal"/>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DE1NjcxZDk1MmUzYTcyZDA5ZTMzODE5YmVhZjMifQ=="/>
  </w:docVars>
  <w:rsids>
    <w:rsidRoot w:val="00172A27"/>
    <w:rsid w:val="00032DCB"/>
    <w:rsid w:val="0005001B"/>
    <w:rsid w:val="000E632C"/>
    <w:rsid w:val="000F14F6"/>
    <w:rsid w:val="00160FDD"/>
    <w:rsid w:val="0018099E"/>
    <w:rsid w:val="0018741A"/>
    <w:rsid w:val="001F3752"/>
    <w:rsid w:val="002E34E6"/>
    <w:rsid w:val="002F4331"/>
    <w:rsid w:val="002F5FDC"/>
    <w:rsid w:val="00320022"/>
    <w:rsid w:val="00331611"/>
    <w:rsid w:val="00331AB6"/>
    <w:rsid w:val="003476EB"/>
    <w:rsid w:val="00381040"/>
    <w:rsid w:val="00397B71"/>
    <w:rsid w:val="003A35F9"/>
    <w:rsid w:val="003B1FF1"/>
    <w:rsid w:val="003C3198"/>
    <w:rsid w:val="003F2788"/>
    <w:rsid w:val="00411CA3"/>
    <w:rsid w:val="00513BE6"/>
    <w:rsid w:val="00524A31"/>
    <w:rsid w:val="00563B5A"/>
    <w:rsid w:val="005938B6"/>
    <w:rsid w:val="00650343"/>
    <w:rsid w:val="00657C63"/>
    <w:rsid w:val="006D6049"/>
    <w:rsid w:val="0070678F"/>
    <w:rsid w:val="00743D3C"/>
    <w:rsid w:val="00766EF6"/>
    <w:rsid w:val="007812AC"/>
    <w:rsid w:val="0078788D"/>
    <w:rsid w:val="007F0866"/>
    <w:rsid w:val="00824691"/>
    <w:rsid w:val="008558BC"/>
    <w:rsid w:val="00870F06"/>
    <w:rsid w:val="008A4E38"/>
    <w:rsid w:val="008B7EA8"/>
    <w:rsid w:val="008D13EC"/>
    <w:rsid w:val="008E46D5"/>
    <w:rsid w:val="00900E4C"/>
    <w:rsid w:val="00914D80"/>
    <w:rsid w:val="0092320D"/>
    <w:rsid w:val="009359F0"/>
    <w:rsid w:val="009706CD"/>
    <w:rsid w:val="00995BDC"/>
    <w:rsid w:val="009A3B96"/>
    <w:rsid w:val="009E5A79"/>
    <w:rsid w:val="009F4F23"/>
    <w:rsid w:val="009F7760"/>
    <w:rsid w:val="00AB244E"/>
    <w:rsid w:val="00AD10E6"/>
    <w:rsid w:val="00B018AF"/>
    <w:rsid w:val="00BA5BA0"/>
    <w:rsid w:val="00BC2A1D"/>
    <w:rsid w:val="00BE2806"/>
    <w:rsid w:val="00BF1C11"/>
    <w:rsid w:val="00BF715C"/>
    <w:rsid w:val="00C0658F"/>
    <w:rsid w:val="00C307E7"/>
    <w:rsid w:val="00C41E14"/>
    <w:rsid w:val="00C433C8"/>
    <w:rsid w:val="00C87077"/>
    <w:rsid w:val="00CA0150"/>
    <w:rsid w:val="00CA6CD1"/>
    <w:rsid w:val="00CD0B70"/>
    <w:rsid w:val="00CD63C4"/>
    <w:rsid w:val="00D35D4D"/>
    <w:rsid w:val="00D5749F"/>
    <w:rsid w:val="00DC58D4"/>
    <w:rsid w:val="00E440C2"/>
    <w:rsid w:val="00E7456E"/>
    <w:rsid w:val="00ED2B53"/>
    <w:rsid w:val="00F0400B"/>
    <w:rsid w:val="00F53A56"/>
    <w:rsid w:val="00F65398"/>
    <w:rsid w:val="00F66E4E"/>
    <w:rsid w:val="00F826AD"/>
    <w:rsid w:val="00FF1B00"/>
    <w:rsid w:val="00FF3137"/>
    <w:rsid w:val="011E1FE4"/>
    <w:rsid w:val="01304373"/>
    <w:rsid w:val="01396E96"/>
    <w:rsid w:val="0163790F"/>
    <w:rsid w:val="01687703"/>
    <w:rsid w:val="017013BC"/>
    <w:rsid w:val="01AE0C50"/>
    <w:rsid w:val="01C84669"/>
    <w:rsid w:val="01E92660"/>
    <w:rsid w:val="0224582E"/>
    <w:rsid w:val="025D6B3C"/>
    <w:rsid w:val="026B1259"/>
    <w:rsid w:val="028B5457"/>
    <w:rsid w:val="029E05C8"/>
    <w:rsid w:val="02F254D6"/>
    <w:rsid w:val="032274FF"/>
    <w:rsid w:val="0397158C"/>
    <w:rsid w:val="03A5560A"/>
    <w:rsid w:val="03B01C83"/>
    <w:rsid w:val="03B926DB"/>
    <w:rsid w:val="03C57B02"/>
    <w:rsid w:val="03E47515"/>
    <w:rsid w:val="03E6732C"/>
    <w:rsid w:val="03EA6AE6"/>
    <w:rsid w:val="040A119A"/>
    <w:rsid w:val="041D47D5"/>
    <w:rsid w:val="04B31309"/>
    <w:rsid w:val="04EF43C3"/>
    <w:rsid w:val="05235E1B"/>
    <w:rsid w:val="05557FE7"/>
    <w:rsid w:val="05726DA2"/>
    <w:rsid w:val="059F0ED5"/>
    <w:rsid w:val="05A559AB"/>
    <w:rsid w:val="05AB1830"/>
    <w:rsid w:val="05C23886"/>
    <w:rsid w:val="05FA15AD"/>
    <w:rsid w:val="05FC5178"/>
    <w:rsid w:val="0608782F"/>
    <w:rsid w:val="06095CB0"/>
    <w:rsid w:val="061E4834"/>
    <w:rsid w:val="06222438"/>
    <w:rsid w:val="06495FAC"/>
    <w:rsid w:val="065D710A"/>
    <w:rsid w:val="067C6778"/>
    <w:rsid w:val="06850C3E"/>
    <w:rsid w:val="06905732"/>
    <w:rsid w:val="069C2347"/>
    <w:rsid w:val="06AC377E"/>
    <w:rsid w:val="073360BD"/>
    <w:rsid w:val="074D3623"/>
    <w:rsid w:val="07557ECB"/>
    <w:rsid w:val="07584D24"/>
    <w:rsid w:val="077B7CB9"/>
    <w:rsid w:val="07823EA0"/>
    <w:rsid w:val="0790598C"/>
    <w:rsid w:val="07E04497"/>
    <w:rsid w:val="07E31891"/>
    <w:rsid w:val="07F77CFA"/>
    <w:rsid w:val="081206B4"/>
    <w:rsid w:val="081764CA"/>
    <w:rsid w:val="083B59A1"/>
    <w:rsid w:val="084367D4"/>
    <w:rsid w:val="0869623A"/>
    <w:rsid w:val="086A3D60"/>
    <w:rsid w:val="08803584"/>
    <w:rsid w:val="08814CEF"/>
    <w:rsid w:val="08B66DE7"/>
    <w:rsid w:val="08D502F6"/>
    <w:rsid w:val="08DC7196"/>
    <w:rsid w:val="0915098A"/>
    <w:rsid w:val="09385753"/>
    <w:rsid w:val="09491BC8"/>
    <w:rsid w:val="095E5BC6"/>
    <w:rsid w:val="096E2869"/>
    <w:rsid w:val="097A0E99"/>
    <w:rsid w:val="09866A81"/>
    <w:rsid w:val="099F7A3A"/>
    <w:rsid w:val="09F06AB0"/>
    <w:rsid w:val="09F86844"/>
    <w:rsid w:val="0A1B2F20"/>
    <w:rsid w:val="0A6A63EC"/>
    <w:rsid w:val="0A8F3F52"/>
    <w:rsid w:val="0A9A1836"/>
    <w:rsid w:val="0AF52408"/>
    <w:rsid w:val="0B017491"/>
    <w:rsid w:val="0B096F40"/>
    <w:rsid w:val="0B135089"/>
    <w:rsid w:val="0B1C6E81"/>
    <w:rsid w:val="0B280BE4"/>
    <w:rsid w:val="0B4F7789"/>
    <w:rsid w:val="0B560BE4"/>
    <w:rsid w:val="0B640F3B"/>
    <w:rsid w:val="0B692396"/>
    <w:rsid w:val="0B725406"/>
    <w:rsid w:val="0B9B06A8"/>
    <w:rsid w:val="0BF6647C"/>
    <w:rsid w:val="0C063DA0"/>
    <w:rsid w:val="0C0826FF"/>
    <w:rsid w:val="0C1464BD"/>
    <w:rsid w:val="0C191D25"/>
    <w:rsid w:val="0C1C39A2"/>
    <w:rsid w:val="0C345014"/>
    <w:rsid w:val="0C434284"/>
    <w:rsid w:val="0C5257B6"/>
    <w:rsid w:val="0C677A1A"/>
    <w:rsid w:val="0C892457"/>
    <w:rsid w:val="0C8D46FC"/>
    <w:rsid w:val="0CA43CE5"/>
    <w:rsid w:val="0CF462EF"/>
    <w:rsid w:val="0D1D61F7"/>
    <w:rsid w:val="0D215EE3"/>
    <w:rsid w:val="0D5A3E6F"/>
    <w:rsid w:val="0D5D773C"/>
    <w:rsid w:val="0D674D12"/>
    <w:rsid w:val="0D8366AA"/>
    <w:rsid w:val="0D8E68E6"/>
    <w:rsid w:val="0DE545B5"/>
    <w:rsid w:val="0E0061BA"/>
    <w:rsid w:val="0E0B7D94"/>
    <w:rsid w:val="0E4F5ED2"/>
    <w:rsid w:val="0E745939"/>
    <w:rsid w:val="0E876CD8"/>
    <w:rsid w:val="0E9A6439"/>
    <w:rsid w:val="0EA55464"/>
    <w:rsid w:val="0EAC1011"/>
    <w:rsid w:val="0ECD6DF7"/>
    <w:rsid w:val="0EE667E8"/>
    <w:rsid w:val="0EFB4882"/>
    <w:rsid w:val="0F2E3D3A"/>
    <w:rsid w:val="0F3B6457"/>
    <w:rsid w:val="0F3C4FB6"/>
    <w:rsid w:val="0F5A68DD"/>
    <w:rsid w:val="0F9B2BA1"/>
    <w:rsid w:val="0FC1070A"/>
    <w:rsid w:val="0FCA0CB0"/>
    <w:rsid w:val="0FE96EB2"/>
    <w:rsid w:val="0FFF1C2D"/>
    <w:rsid w:val="10080B64"/>
    <w:rsid w:val="101271B8"/>
    <w:rsid w:val="10374E70"/>
    <w:rsid w:val="103869FF"/>
    <w:rsid w:val="103A670E"/>
    <w:rsid w:val="104F3F68"/>
    <w:rsid w:val="10550F97"/>
    <w:rsid w:val="105A290D"/>
    <w:rsid w:val="105B133E"/>
    <w:rsid w:val="10A804CB"/>
    <w:rsid w:val="10B000A3"/>
    <w:rsid w:val="10C358FD"/>
    <w:rsid w:val="10D14AD3"/>
    <w:rsid w:val="10EA5F4D"/>
    <w:rsid w:val="10FD1C16"/>
    <w:rsid w:val="11250072"/>
    <w:rsid w:val="11545F73"/>
    <w:rsid w:val="11851C0B"/>
    <w:rsid w:val="11863099"/>
    <w:rsid w:val="1194142B"/>
    <w:rsid w:val="11F476A2"/>
    <w:rsid w:val="1222745A"/>
    <w:rsid w:val="12324BC0"/>
    <w:rsid w:val="123C14F7"/>
    <w:rsid w:val="1250718C"/>
    <w:rsid w:val="12626021"/>
    <w:rsid w:val="12677BC1"/>
    <w:rsid w:val="128915C1"/>
    <w:rsid w:val="12CC5D44"/>
    <w:rsid w:val="12EA61CA"/>
    <w:rsid w:val="130F79DE"/>
    <w:rsid w:val="13144400"/>
    <w:rsid w:val="133F5ED2"/>
    <w:rsid w:val="134F3B10"/>
    <w:rsid w:val="137B5074"/>
    <w:rsid w:val="137D703E"/>
    <w:rsid w:val="13904FC3"/>
    <w:rsid w:val="13A20852"/>
    <w:rsid w:val="13A35869"/>
    <w:rsid w:val="13C0049B"/>
    <w:rsid w:val="140D3CA6"/>
    <w:rsid w:val="14634FD8"/>
    <w:rsid w:val="14F70CF9"/>
    <w:rsid w:val="14FD5728"/>
    <w:rsid w:val="15724409"/>
    <w:rsid w:val="1598015F"/>
    <w:rsid w:val="15B64A89"/>
    <w:rsid w:val="15DE1F57"/>
    <w:rsid w:val="16032A13"/>
    <w:rsid w:val="16041BFD"/>
    <w:rsid w:val="160E21CF"/>
    <w:rsid w:val="1616313D"/>
    <w:rsid w:val="16262060"/>
    <w:rsid w:val="164B4F5B"/>
    <w:rsid w:val="164D0F49"/>
    <w:rsid w:val="166950CE"/>
    <w:rsid w:val="168405D5"/>
    <w:rsid w:val="172C5003"/>
    <w:rsid w:val="178766DD"/>
    <w:rsid w:val="178A1D29"/>
    <w:rsid w:val="17A77BBE"/>
    <w:rsid w:val="17BE7C25"/>
    <w:rsid w:val="17C23271"/>
    <w:rsid w:val="17C27FCC"/>
    <w:rsid w:val="17C87E8E"/>
    <w:rsid w:val="17CF5B39"/>
    <w:rsid w:val="181A12FF"/>
    <w:rsid w:val="18347D6A"/>
    <w:rsid w:val="185540E5"/>
    <w:rsid w:val="185A48B2"/>
    <w:rsid w:val="185D11EC"/>
    <w:rsid w:val="1862752C"/>
    <w:rsid w:val="18814EDA"/>
    <w:rsid w:val="18873DB6"/>
    <w:rsid w:val="18941866"/>
    <w:rsid w:val="18D16C21"/>
    <w:rsid w:val="18DF7E53"/>
    <w:rsid w:val="19061883"/>
    <w:rsid w:val="19297320"/>
    <w:rsid w:val="193807BA"/>
    <w:rsid w:val="19466124"/>
    <w:rsid w:val="194F322A"/>
    <w:rsid w:val="196E06BA"/>
    <w:rsid w:val="19B443D8"/>
    <w:rsid w:val="19ED11B9"/>
    <w:rsid w:val="1A2101FA"/>
    <w:rsid w:val="1A361CF4"/>
    <w:rsid w:val="1A3F187A"/>
    <w:rsid w:val="1AB65963"/>
    <w:rsid w:val="1ABD2C5B"/>
    <w:rsid w:val="1AC46DBE"/>
    <w:rsid w:val="1AD27C6F"/>
    <w:rsid w:val="1B000392"/>
    <w:rsid w:val="1B064D63"/>
    <w:rsid w:val="1B0E505C"/>
    <w:rsid w:val="1B1262BE"/>
    <w:rsid w:val="1B1C6E3C"/>
    <w:rsid w:val="1B216501"/>
    <w:rsid w:val="1B3D4CDC"/>
    <w:rsid w:val="1B78234D"/>
    <w:rsid w:val="1B886580"/>
    <w:rsid w:val="1BA65BC5"/>
    <w:rsid w:val="1BAA3824"/>
    <w:rsid w:val="1BB13D28"/>
    <w:rsid w:val="1BCB0D58"/>
    <w:rsid w:val="1BFE288C"/>
    <w:rsid w:val="1C41356F"/>
    <w:rsid w:val="1C4C3A51"/>
    <w:rsid w:val="1C796E82"/>
    <w:rsid w:val="1C8B6F31"/>
    <w:rsid w:val="1D077978"/>
    <w:rsid w:val="1D130284"/>
    <w:rsid w:val="1D631052"/>
    <w:rsid w:val="1D654AB8"/>
    <w:rsid w:val="1D910FAF"/>
    <w:rsid w:val="1DA31BFF"/>
    <w:rsid w:val="1DAF4E84"/>
    <w:rsid w:val="1DBD36BD"/>
    <w:rsid w:val="1DBE44DB"/>
    <w:rsid w:val="1DC1422F"/>
    <w:rsid w:val="1DC62CC2"/>
    <w:rsid w:val="1DCB6BF8"/>
    <w:rsid w:val="1DEE799C"/>
    <w:rsid w:val="1E222234"/>
    <w:rsid w:val="1E2527AC"/>
    <w:rsid w:val="1E2C1F03"/>
    <w:rsid w:val="1E3F4AA5"/>
    <w:rsid w:val="1EA90CE7"/>
    <w:rsid w:val="1EB51D82"/>
    <w:rsid w:val="1ED13556"/>
    <w:rsid w:val="1EDF7FF9"/>
    <w:rsid w:val="1EF46270"/>
    <w:rsid w:val="1F52757A"/>
    <w:rsid w:val="1F686657"/>
    <w:rsid w:val="1F78690B"/>
    <w:rsid w:val="1F856829"/>
    <w:rsid w:val="1FAA11BB"/>
    <w:rsid w:val="1FB05A36"/>
    <w:rsid w:val="1FBE36BB"/>
    <w:rsid w:val="2001472C"/>
    <w:rsid w:val="2012571E"/>
    <w:rsid w:val="203C3DDD"/>
    <w:rsid w:val="204333BD"/>
    <w:rsid w:val="20840C8F"/>
    <w:rsid w:val="20A51982"/>
    <w:rsid w:val="20A774A8"/>
    <w:rsid w:val="20A8080C"/>
    <w:rsid w:val="20AD277F"/>
    <w:rsid w:val="20B47E17"/>
    <w:rsid w:val="20B84BAD"/>
    <w:rsid w:val="20C60D1F"/>
    <w:rsid w:val="20E3054D"/>
    <w:rsid w:val="21260D15"/>
    <w:rsid w:val="21521B0A"/>
    <w:rsid w:val="21701F90"/>
    <w:rsid w:val="217952E8"/>
    <w:rsid w:val="21E75FAA"/>
    <w:rsid w:val="21FF173F"/>
    <w:rsid w:val="22043D3D"/>
    <w:rsid w:val="220628F4"/>
    <w:rsid w:val="220D77DF"/>
    <w:rsid w:val="221E6BC0"/>
    <w:rsid w:val="2260297F"/>
    <w:rsid w:val="22605A98"/>
    <w:rsid w:val="22907A14"/>
    <w:rsid w:val="22BE6D2B"/>
    <w:rsid w:val="22F17505"/>
    <w:rsid w:val="2397509A"/>
    <w:rsid w:val="23A4299F"/>
    <w:rsid w:val="23C06A12"/>
    <w:rsid w:val="23F90EA7"/>
    <w:rsid w:val="242800F3"/>
    <w:rsid w:val="24527EAD"/>
    <w:rsid w:val="24831FDA"/>
    <w:rsid w:val="24CD14A7"/>
    <w:rsid w:val="24E12F8C"/>
    <w:rsid w:val="250613CB"/>
    <w:rsid w:val="251A61B3"/>
    <w:rsid w:val="25311A36"/>
    <w:rsid w:val="25895AA5"/>
    <w:rsid w:val="258E2C32"/>
    <w:rsid w:val="259037CE"/>
    <w:rsid w:val="25F807A6"/>
    <w:rsid w:val="263B3D17"/>
    <w:rsid w:val="264D28A0"/>
    <w:rsid w:val="266A20A9"/>
    <w:rsid w:val="2679295B"/>
    <w:rsid w:val="26793695"/>
    <w:rsid w:val="268F341D"/>
    <w:rsid w:val="26F2187E"/>
    <w:rsid w:val="272A1388"/>
    <w:rsid w:val="27327110"/>
    <w:rsid w:val="2755096A"/>
    <w:rsid w:val="277A2859"/>
    <w:rsid w:val="277D6373"/>
    <w:rsid w:val="28033501"/>
    <w:rsid w:val="283F41E2"/>
    <w:rsid w:val="285F2D5E"/>
    <w:rsid w:val="28650C3C"/>
    <w:rsid w:val="286A3FAD"/>
    <w:rsid w:val="288D78CB"/>
    <w:rsid w:val="28940C5A"/>
    <w:rsid w:val="28A06C8B"/>
    <w:rsid w:val="28BE1D17"/>
    <w:rsid w:val="28CF57EE"/>
    <w:rsid w:val="29450A13"/>
    <w:rsid w:val="29591453"/>
    <w:rsid w:val="2964121E"/>
    <w:rsid w:val="297F2E96"/>
    <w:rsid w:val="2984482A"/>
    <w:rsid w:val="29AC1B10"/>
    <w:rsid w:val="29B47BEE"/>
    <w:rsid w:val="29CC7F7F"/>
    <w:rsid w:val="29EB7305"/>
    <w:rsid w:val="2A657131"/>
    <w:rsid w:val="2AB90504"/>
    <w:rsid w:val="2AC9335F"/>
    <w:rsid w:val="2AED163D"/>
    <w:rsid w:val="2B0A6FB1"/>
    <w:rsid w:val="2B25512D"/>
    <w:rsid w:val="2B2838DB"/>
    <w:rsid w:val="2B313D28"/>
    <w:rsid w:val="2B3E30FF"/>
    <w:rsid w:val="2B5F7D27"/>
    <w:rsid w:val="2B8A6344"/>
    <w:rsid w:val="2B8B4EB8"/>
    <w:rsid w:val="2B986184"/>
    <w:rsid w:val="2BA845FE"/>
    <w:rsid w:val="2BAF3E05"/>
    <w:rsid w:val="2BCE3CD5"/>
    <w:rsid w:val="2C0D3484"/>
    <w:rsid w:val="2C4832CC"/>
    <w:rsid w:val="2C60688C"/>
    <w:rsid w:val="2C611517"/>
    <w:rsid w:val="2C8777D9"/>
    <w:rsid w:val="2C9013D5"/>
    <w:rsid w:val="2CAC0939"/>
    <w:rsid w:val="2CE330E9"/>
    <w:rsid w:val="2D1005D6"/>
    <w:rsid w:val="2D2A55B7"/>
    <w:rsid w:val="2D3C71CA"/>
    <w:rsid w:val="2D4C4C78"/>
    <w:rsid w:val="2D6B04EE"/>
    <w:rsid w:val="2D955EE2"/>
    <w:rsid w:val="2DAB7EBB"/>
    <w:rsid w:val="2DB66F7C"/>
    <w:rsid w:val="2DC754FE"/>
    <w:rsid w:val="2DD24CA5"/>
    <w:rsid w:val="2DE57862"/>
    <w:rsid w:val="2DFC5EC1"/>
    <w:rsid w:val="2E110657"/>
    <w:rsid w:val="2E580034"/>
    <w:rsid w:val="2E5C7666"/>
    <w:rsid w:val="2E866B53"/>
    <w:rsid w:val="2EBC0127"/>
    <w:rsid w:val="2ED0006B"/>
    <w:rsid w:val="2ED302B8"/>
    <w:rsid w:val="2EEE5AFE"/>
    <w:rsid w:val="2EEF406C"/>
    <w:rsid w:val="2EFF789D"/>
    <w:rsid w:val="2F4649E1"/>
    <w:rsid w:val="2F49021B"/>
    <w:rsid w:val="2F5A72EA"/>
    <w:rsid w:val="2F6A6270"/>
    <w:rsid w:val="2F8E4E79"/>
    <w:rsid w:val="2F9453C8"/>
    <w:rsid w:val="2F9E5F1A"/>
    <w:rsid w:val="2FD2161B"/>
    <w:rsid w:val="2FDE79A9"/>
    <w:rsid w:val="2FE204FD"/>
    <w:rsid w:val="2FE35C6D"/>
    <w:rsid w:val="300564E3"/>
    <w:rsid w:val="30077F63"/>
    <w:rsid w:val="30183F1E"/>
    <w:rsid w:val="30185CCC"/>
    <w:rsid w:val="30204B81"/>
    <w:rsid w:val="304472C0"/>
    <w:rsid w:val="30BF1745"/>
    <w:rsid w:val="30D77EC6"/>
    <w:rsid w:val="30DA5678"/>
    <w:rsid w:val="30EC232F"/>
    <w:rsid w:val="30EE042A"/>
    <w:rsid w:val="3100018D"/>
    <w:rsid w:val="3103599E"/>
    <w:rsid w:val="31266769"/>
    <w:rsid w:val="315A7CC3"/>
    <w:rsid w:val="31921A36"/>
    <w:rsid w:val="31A35A6A"/>
    <w:rsid w:val="31A8346E"/>
    <w:rsid w:val="31AF440F"/>
    <w:rsid w:val="31C65AF1"/>
    <w:rsid w:val="31C71224"/>
    <w:rsid w:val="31F91D8D"/>
    <w:rsid w:val="31FD0446"/>
    <w:rsid w:val="3251196A"/>
    <w:rsid w:val="32544FB6"/>
    <w:rsid w:val="3336275C"/>
    <w:rsid w:val="334F6141"/>
    <w:rsid w:val="3361798A"/>
    <w:rsid w:val="337A29ED"/>
    <w:rsid w:val="33D33450"/>
    <w:rsid w:val="33EA7980"/>
    <w:rsid w:val="341F11F1"/>
    <w:rsid w:val="34577797"/>
    <w:rsid w:val="34784F8C"/>
    <w:rsid w:val="34810E85"/>
    <w:rsid w:val="348C1627"/>
    <w:rsid w:val="34B95587"/>
    <w:rsid w:val="34C148D6"/>
    <w:rsid w:val="34C91C8B"/>
    <w:rsid w:val="34E666DC"/>
    <w:rsid w:val="34E87A58"/>
    <w:rsid w:val="351F18AB"/>
    <w:rsid w:val="35234CD5"/>
    <w:rsid w:val="35472BB0"/>
    <w:rsid w:val="355F614C"/>
    <w:rsid w:val="357339A5"/>
    <w:rsid w:val="35B85D6B"/>
    <w:rsid w:val="35BA6087"/>
    <w:rsid w:val="35E06B57"/>
    <w:rsid w:val="35F76384"/>
    <w:rsid w:val="36116DAA"/>
    <w:rsid w:val="364542F2"/>
    <w:rsid w:val="36524617"/>
    <w:rsid w:val="365F67E4"/>
    <w:rsid w:val="36742961"/>
    <w:rsid w:val="36963DEF"/>
    <w:rsid w:val="3699743B"/>
    <w:rsid w:val="36A51412"/>
    <w:rsid w:val="36AC716F"/>
    <w:rsid w:val="373B6744"/>
    <w:rsid w:val="374618DC"/>
    <w:rsid w:val="37465815"/>
    <w:rsid w:val="374F05F7"/>
    <w:rsid w:val="375D2FCB"/>
    <w:rsid w:val="37826121"/>
    <w:rsid w:val="37873738"/>
    <w:rsid w:val="378D51F2"/>
    <w:rsid w:val="378E0F6A"/>
    <w:rsid w:val="37966DEB"/>
    <w:rsid w:val="37DD15AA"/>
    <w:rsid w:val="382A26A4"/>
    <w:rsid w:val="38392C84"/>
    <w:rsid w:val="384D5991"/>
    <w:rsid w:val="389117E5"/>
    <w:rsid w:val="38961E84"/>
    <w:rsid w:val="38C22A05"/>
    <w:rsid w:val="38CD30BB"/>
    <w:rsid w:val="38D04B3F"/>
    <w:rsid w:val="38D84808"/>
    <w:rsid w:val="38DC17A0"/>
    <w:rsid w:val="39146FEF"/>
    <w:rsid w:val="396B23DB"/>
    <w:rsid w:val="397421AB"/>
    <w:rsid w:val="39903780"/>
    <w:rsid w:val="39BE292C"/>
    <w:rsid w:val="39F7538F"/>
    <w:rsid w:val="39FB16B3"/>
    <w:rsid w:val="3A4F35A4"/>
    <w:rsid w:val="3A5B451C"/>
    <w:rsid w:val="3A5C534F"/>
    <w:rsid w:val="3A615C25"/>
    <w:rsid w:val="3A726921"/>
    <w:rsid w:val="3A7600F6"/>
    <w:rsid w:val="3AB26D1E"/>
    <w:rsid w:val="3AB50F77"/>
    <w:rsid w:val="3ABF6FFE"/>
    <w:rsid w:val="3AEE3F58"/>
    <w:rsid w:val="3AEF063D"/>
    <w:rsid w:val="3AF13CEA"/>
    <w:rsid w:val="3B1A3241"/>
    <w:rsid w:val="3B1C529B"/>
    <w:rsid w:val="3B2514BB"/>
    <w:rsid w:val="3B25439A"/>
    <w:rsid w:val="3B3C642E"/>
    <w:rsid w:val="3B3C6542"/>
    <w:rsid w:val="3B5923D3"/>
    <w:rsid w:val="3B666687"/>
    <w:rsid w:val="3BD31F34"/>
    <w:rsid w:val="3C0D7A53"/>
    <w:rsid w:val="3C244F71"/>
    <w:rsid w:val="3C414F3D"/>
    <w:rsid w:val="3C530D13"/>
    <w:rsid w:val="3C5556A7"/>
    <w:rsid w:val="3C995737"/>
    <w:rsid w:val="3CEC022F"/>
    <w:rsid w:val="3CF71038"/>
    <w:rsid w:val="3D251A29"/>
    <w:rsid w:val="3D4971B9"/>
    <w:rsid w:val="3D606F05"/>
    <w:rsid w:val="3D8F6F6D"/>
    <w:rsid w:val="3D9B2776"/>
    <w:rsid w:val="3DEB0EC4"/>
    <w:rsid w:val="3DEB4B9A"/>
    <w:rsid w:val="3E295549"/>
    <w:rsid w:val="3E391C30"/>
    <w:rsid w:val="3E5E3444"/>
    <w:rsid w:val="3E704F26"/>
    <w:rsid w:val="3EBB34F5"/>
    <w:rsid w:val="3EBC6464"/>
    <w:rsid w:val="3ED951C1"/>
    <w:rsid w:val="3EE32BEF"/>
    <w:rsid w:val="3EEF1B80"/>
    <w:rsid w:val="3F1955BD"/>
    <w:rsid w:val="3F1A408C"/>
    <w:rsid w:val="3F3849E7"/>
    <w:rsid w:val="3F3A560A"/>
    <w:rsid w:val="3F5A5233"/>
    <w:rsid w:val="3F692A15"/>
    <w:rsid w:val="3F95733A"/>
    <w:rsid w:val="3FEA2FEA"/>
    <w:rsid w:val="403F72A5"/>
    <w:rsid w:val="404623E2"/>
    <w:rsid w:val="409A272E"/>
    <w:rsid w:val="409B49FA"/>
    <w:rsid w:val="40A959CC"/>
    <w:rsid w:val="40BF2194"/>
    <w:rsid w:val="413361A0"/>
    <w:rsid w:val="414508EB"/>
    <w:rsid w:val="417E0CA7"/>
    <w:rsid w:val="419B1862"/>
    <w:rsid w:val="41B94E35"/>
    <w:rsid w:val="41C71300"/>
    <w:rsid w:val="41C858BE"/>
    <w:rsid w:val="41D35EF7"/>
    <w:rsid w:val="420A1C62"/>
    <w:rsid w:val="42213106"/>
    <w:rsid w:val="423B0B3A"/>
    <w:rsid w:val="425012F6"/>
    <w:rsid w:val="426635B2"/>
    <w:rsid w:val="42A33B1C"/>
    <w:rsid w:val="42B41406"/>
    <w:rsid w:val="42B850ED"/>
    <w:rsid w:val="42D06A94"/>
    <w:rsid w:val="42ED50D6"/>
    <w:rsid w:val="42EF65A1"/>
    <w:rsid w:val="42F70B2B"/>
    <w:rsid w:val="430F11B1"/>
    <w:rsid w:val="431B35FD"/>
    <w:rsid w:val="4359063D"/>
    <w:rsid w:val="43FB7987"/>
    <w:rsid w:val="43FC00BC"/>
    <w:rsid w:val="44034F5E"/>
    <w:rsid w:val="44057880"/>
    <w:rsid w:val="443D591F"/>
    <w:rsid w:val="44596C85"/>
    <w:rsid w:val="446B0669"/>
    <w:rsid w:val="446B68BB"/>
    <w:rsid w:val="4486705B"/>
    <w:rsid w:val="44931718"/>
    <w:rsid w:val="44933678"/>
    <w:rsid w:val="449D0A3E"/>
    <w:rsid w:val="44BB0333"/>
    <w:rsid w:val="44C00D1C"/>
    <w:rsid w:val="44C839F7"/>
    <w:rsid w:val="44E26451"/>
    <w:rsid w:val="44E52184"/>
    <w:rsid w:val="44F023AA"/>
    <w:rsid w:val="4506785B"/>
    <w:rsid w:val="453742BD"/>
    <w:rsid w:val="454410D4"/>
    <w:rsid w:val="45826ED7"/>
    <w:rsid w:val="45A2455E"/>
    <w:rsid w:val="45B147A1"/>
    <w:rsid w:val="461531CA"/>
    <w:rsid w:val="4634135A"/>
    <w:rsid w:val="466136C1"/>
    <w:rsid w:val="4662458D"/>
    <w:rsid w:val="468A47D5"/>
    <w:rsid w:val="46CC73B9"/>
    <w:rsid w:val="46D80115"/>
    <w:rsid w:val="47226FD9"/>
    <w:rsid w:val="47270E54"/>
    <w:rsid w:val="47290367"/>
    <w:rsid w:val="472D03F9"/>
    <w:rsid w:val="474B6530"/>
    <w:rsid w:val="474E4433"/>
    <w:rsid w:val="47505828"/>
    <w:rsid w:val="47640019"/>
    <w:rsid w:val="477D0E0B"/>
    <w:rsid w:val="47B14419"/>
    <w:rsid w:val="47B252E6"/>
    <w:rsid w:val="47CC10AE"/>
    <w:rsid w:val="48217291"/>
    <w:rsid w:val="48502258"/>
    <w:rsid w:val="488F0E1B"/>
    <w:rsid w:val="48AB6D5F"/>
    <w:rsid w:val="48F350D1"/>
    <w:rsid w:val="48FD1AAC"/>
    <w:rsid w:val="492C64D0"/>
    <w:rsid w:val="493A5DAF"/>
    <w:rsid w:val="498470FB"/>
    <w:rsid w:val="498C63C6"/>
    <w:rsid w:val="49AD1105"/>
    <w:rsid w:val="49B2121A"/>
    <w:rsid w:val="49C64593"/>
    <w:rsid w:val="49CF2EAB"/>
    <w:rsid w:val="49F27137"/>
    <w:rsid w:val="49F41101"/>
    <w:rsid w:val="4A094846"/>
    <w:rsid w:val="4A6D6848"/>
    <w:rsid w:val="4A7057AA"/>
    <w:rsid w:val="4A9621B8"/>
    <w:rsid w:val="4A985F30"/>
    <w:rsid w:val="4AAF59B9"/>
    <w:rsid w:val="4ABA28A7"/>
    <w:rsid w:val="4AC675FE"/>
    <w:rsid w:val="4AC7411F"/>
    <w:rsid w:val="4AD07FBA"/>
    <w:rsid w:val="4ADD7DE7"/>
    <w:rsid w:val="4B0424FE"/>
    <w:rsid w:val="4B065585"/>
    <w:rsid w:val="4B075E6A"/>
    <w:rsid w:val="4B7F0E9E"/>
    <w:rsid w:val="4B863275"/>
    <w:rsid w:val="4BA17066"/>
    <w:rsid w:val="4BA97CC9"/>
    <w:rsid w:val="4BAD1567"/>
    <w:rsid w:val="4BB0591C"/>
    <w:rsid w:val="4BDA13AE"/>
    <w:rsid w:val="4BDC1E4C"/>
    <w:rsid w:val="4C272AFC"/>
    <w:rsid w:val="4C396876"/>
    <w:rsid w:val="4C3E1267"/>
    <w:rsid w:val="4C3E1BEA"/>
    <w:rsid w:val="4C43052C"/>
    <w:rsid w:val="4C611E59"/>
    <w:rsid w:val="4C6134BC"/>
    <w:rsid w:val="4C6870EB"/>
    <w:rsid w:val="4C6A7458"/>
    <w:rsid w:val="4C6D06B3"/>
    <w:rsid w:val="4C7B3698"/>
    <w:rsid w:val="4C885B30"/>
    <w:rsid w:val="4CA25E28"/>
    <w:rsid w:val="4CA83629"/>
    <w:rsid w:val="4CAE3BCB"/>
    <w:rsid w:val="4CB15486"/>
    <w:rsid w:val="4CD34FFD"/>
    <w:rsid w:val="4CD908C0"/>
    <w:rsid w:val="4D051389"/>
    <w:rsid w:val="4D0631A3"/>
    <w:rsid w:val="4D084C06"/>
    <w:rsid w:val="4D5366D7"/>
    <w:rsid w:val="4DC112FA"/>
    <w:rsid w:val="4DF9206E"/>
    <w:rsid w:val="4E1773BF"/>
    <w:rsid w:val="4E1D22F9"/>
    <w:rsid w:val="4E2A50F1"/>
    <w:rsid w:val="4E49427D"/>
    <w:rsid w:val="4E554A16"/>
    <w:rsid w:val="4E9B712D"/>
    <w:rsid w:val="4EA330F5"/>
    <w:rsid w:val="4EBA448D"/>
    <w:rsid w:val="4F0C47F7"/>
    <w:rsid w:val="4F104499"/>
    <w:rsid w:val="4F3124AF"/>
    <w:rsid w:val="4F3464A8"/>
    <w:rsid w:val="4F391364"/>
    <w:rsid w:val="4F3B1A22"/>
    <w:rsid w:val="4F5460DB"/>
    <w:rsid w:val="4F876573"/>
    <w:rsid w:val="4FAD422B"/>
    <w:rsid w:val="4FCB69EA"/>
    <w:rsid w:val="4FD35314"/>
    <w:rsid w:val="4FEB0F2B"/>
    <w:rsid w:val="50377F99"/>
    <w:rsid w:val="504C4E65"/>
    <w:rsid w:val="504C5275"/>
    <w:rsid w:val="505B3A63"/>
    <w:rsid w:val="5085115E"/>
    <w:rsid w:val="508A5129"/>
    <w:rsid w:val="509E1DC6"/>
    <w:rsid w:val="50A849F3"/>
    <w:rsid w:val="50B5796A"/>
    <w:rsid w:val="50EA1F2C"/>
    <w:rsid w:val="50F101C3"/>
    <w:rsid w:val="5120651E"/>
    <w:rsid w:val="51210EFC"/>
    <w:rsid w:val="51475472"/>
    <w:rsid w:val="51864D34"/>
    <w:rsid w:val="518E7DF8"/>
    <w:rsid w:val="51905BB3"/>
    <w:rsid w:val="51A57360"/>
    <w:rsid w:val="51BC04E0"/>
    <w:rsid w:val="51E02883"/>
    <w:rsid w:val="52614E59"/>
    <w:rsid w:val="528B637A"/>
    <w:rsid w:val="529A65BD"/>
    <w:rsid w:val="52A94A79"/>
    <w:rsid w:val="52AA100F"/>
    <w:rsid w:val="52B91474"/>
    <w:rsid w:val="52BA3764"/>
    <w:rsid w:val="52C709E3"/>
    <w:rsid w:val="534614DC"/>
    <w:rsid w:val="538B23CE"/>
    <w:rsid w:val="53BE1B66"/>
    <w:rsid w:val="540C119A"/>
    <w:rsid w:val="541A5C08"/>
    <w:rsid w:val="542E6C64"/>
    <w:rsid w:val="54505304"/>
    <w:rsid w:val="54C51334"/>
    <w:rsid w:val="54D15DE0"/>
    <w:rsid w:val="54D82796"/>
    <w:rsid w:val="550667B3"/>
    <w:rsid w:val="55197C6D"/>
    <w:rsid w:val="551E21A9"/>
    <w:rsid w:val="55442971"/>
    <w:rsid w:val="554C1B85"/>
    <w:rsid w:val="55844810"/>
    <w:rsid w:val="55996BC5"/>
    <w:rsid w:val="55A41882"/>
    <w:rsid w:val="55AC3087"/>
    <w:rsid w:val="55DA06B5"/>
    <w:rsid w:val="55E86B35"/>
    <w:rsid w:val="55EE5876"/>
    <w:rsid w:val="55F935FB"/>
    <w:rsid w:val="561F7878"/>
    <w:rsid w:val="562B7F9D"/>
    <w:rsid w:val="563A44F9"/>
    <w:rsid w:val="563A7E9B"/>
    <w:rsid w:val="56490E71"/>
    <w:rsid w:val="567B2EE7"/>
    <w:rsid w:val="568F5D63"/>
    <w:rsid w:val="56AD43C9"/>
    <w:rsid w:val="572B1EDA"/>
    <w:rsid w:val="573B1629"/>
    <w:rsid w:val="57574A7D"/>
    <w:rsid w:val="578C19E6"/>
    <w:rsid w:val="57B27F05"/>
    <w:rsid w:val="57C2283E"/>
    <w:rsid w:val="57D03636"/>
    <w:rsid w:val="57D12A81"/>
    <w:rsid w:val="57D955D6"/>
    <w:rsid w:val="57E006F8"/>
    <w:rsid w:val="57FB7AFE"/>
    <w:rsid w:val="5818245E"/>
    <w:rsid w:val="5827444F"/>
    <w:rsid w:val="58770E54"/>
    <w:rsid w:val="58782A1F"/>
    <w:rsid w:val="587C29ED"/>
    <w:rsid w:val="589870FB"/>
    <w:rsid w:val="58C54444"/>
    <w:rsid w:val="58EE2A2E"/>
    <w:rsid w:val="58F520F4"/>
    <w:rsid w:val="590649AC"/>
    <w:rsid w:val="59170968"/>
    <w:rsid w:val="594027F3"/>
    <w:rsid w:val="59636318"/>
    <w:rsid w:val="59682F71"/>
    <w:rsid w:val="597942FE"/>
    <w:rsid w:val="59875AED"/>
    <w:rsid w:val="5999618E"/>
    <w:rsid w:val="599C1160"/>
    <w:rsid w:val="59A02FB7"/>
    <w:rsid w:val="59E64BB7"/>
    <w:rsid w:val="59E967D6"/>
    <w:rsid w:val="59EC76FE"/>
    <w:rsid w:val="5A307F33"/>
    <w:rsid w:val="5A8913F1"/>
    <w:rsid w:val="5AF32160"/>
    <w:rsid w:val="5AF9704F"/>
    <w:rsid w:val="5B104A3F"/>
    <w:rsid w:val="5B4812AC"/>
    <w:rsid w:val="5B4D0671"/>
    <w:rsid w:val="5B731F1A"/>
    <w:rsid w:val="5B7E082A"/>
    <w:rsid w:val="5B8145E1"/>
    <w:rsid w:val="5B833F50"/>
    <w:rsid w:val="5BA87B4A"/>
    <w:rsid w:val="5BC621D1"/>
    <w:rsid w:val="5BD62C38"/>
    <w:rsid w:val="5BF24580"/>
    <w:rsid w:val="5C421CD7"/>
    <w:rsid w:val="5C4A0C25"/>
    <w:rsid w:val="5C846314"/>
    <w:rsid w:val="5CB309A7"/>
    <w:rsid w:val="5CBF1423"/>
    <w:rsid w:val="5D1C2EE8"/>
    <w:rsid w:val="5D656145"/>
    <w:rsid w:val="5D6F0D72"/>
    <w:rsid w:val="5D811328"/>
    <w:rsid w:val="5D942587"/>
    <w:rsid w:val="5DAD53F7"/>
    <w:rsid w:val="5DE52DE2"/>
    <w:rsid w:val="5E134136"/>
    <w:rsid w:val="5E2F22B0"/>
    <w:rsid w:val="5E3B2A02"/>
    <w:rsid w:val="5E9465B6"/>
    <w:rsid w:val="5EA7645E"/>
    <w:rsid w:val="5EE4309A"/>
    <w:rsid w:val="5F0C1279"/>
    <w:rsid w:val="5F8D0504"/>
    <w:rsid w:val="5F9268AD"/>
    <w:rsid w:val="5FB13CAE"/>
    <w:rsid w:val="5FD06110"/>
    <w:rsid w:val="60714E01"/>
    <w:rsid w:val="6082281E"/>
    <w:rsid w:val="60C74F22"/>
    <w:rsid w:val="60DC7200"/>
    <w:rsid w:val="60E94998"/>
    <w:rsid w:val="613100ED"/>
    <w:rsid w:val="6192502F"/>
    <w:rsid w:val="620C1ED2"/>
    <w:rsid w:val="621E03BC"/>
    <w:rsid w:val="626003B8"/>
    <w:rsid w:val="626A534D"/>
    <w:rsid w:val="626F10C2"/>
    <w:rsid w:val="6284108F"/>
    <w:rsid w:val="628674E7"/>
    <w:rsid w:val="62AA7404"/>
    <w:rsid w:val="62B9483E"/>
    <w:rsid w:val="62C12AEF"/>
    <w:rsid w:val="62E418BB"/>
    <w:rsid w:val="62FE04A2"/>
    <w:rsid w:val="63177285"/>
    <w:rsid w:val="636563C7"/>
    <w:rsid w:val="639E7005"/>
    <w:rsid w:val="63A454EE"/>
    <w:rsid w:val="63CA038A"/>
    <w:rsid w:val="64034CC1"/>
    <w:rsid w:val="640418FD"/>
    <w:rsid w:val="64055F8C"/>
    <w:rsid w:val="64386209"/>
    <w:rsid w:val="64B03231"/>
    <w:rsid w:val="64FD3107"/>
    <w:rsid w:val="6508225B"/>
    <w:rsid w:val="650E70C3"/>
    <w:rsid w:val="65377379"/>
    <w:rsid w:val="654E74BF"/>
    <w:rsid w:val="65B0313E"/>
    <w:rsid w:val="65C02339"/>
    <w:rsid w:val="65C21C5B"/>
    <w:rsid w:val="66046702"/>
    <w:rsid w:val="66083B12"/>
    <w:rsid w:val="663A7A43"/>
    <w:rsid w:val="663C7C5F"/>
    <w:rsid w:val="66552FCC"/>
    <w:rsid w:val="66600DB0"/>
    <w:rsid w:val="66805D9E"/>
    <w:rsid w:val="66C0619B"/>
    <w:rsid w:val="67177D85"/>
    <w:rsid w:val="671B1623"/>
    <w:rsid w:val="672D3B48"/>
    <w:rsid w:val="675A65EF"/>
    <w:rsid w:val="676F7BC1"/>
    <w:rsid w:val="67B41D77"/>
    <w:rsid w:val="67BB4355"/>
    <w:rsid w:val="67BD1389"/>
    <w:rsid w:val="67BE0FC1"/>
    <w:rsid w:val="67C8540F"/>
    <w:rsid w:val="67CC0B6F"/>
    <w:rsid w:val="67DD47AF"/>
    <w:rsid w:val="67F05810"/>
    <w:rsid w:val="67F474B5"/>
    <w:rsid w:val="67F73E64"/>
    <w:rsid w:val="680E1440"/>
    <w:rsid w:val="684B5661"/>
    <w:rsid w:val="68922C4A"/>
    <w:rsid w:val="68AF64C7"/>
    <w:rsid w:val="68DE5F32"/>
    <w:rsid w:val="68E45EB2"/>
    <w:rsid w:val="69293A97"/>
    <w:rsid w:val="69463FEE"/>
    <w:rsid w:val="696E47D7"/>
    <w:rsid w:val="69734D29"/>
    <w:rsid w:val="6985191D"/>
    <w:rsid w:val="698E432E"/>
    <w:rsid w:val="699102C2"/>
    <w:rsid w:val="69D172C4"/>
    <w:rsid w:val="6A116BB9"/>
    <w:rsid w:val="6A184540"/>
    <w:rsid w:val="6A1A02B8"/>
    <w:rsid w:val="6A334C4D"/>
    <w:rsid w:val="6A86594D"/>
    <w:rsid w:val="6A932BE1"/>
    <w:rsid w:val="6A955B90"/>
    <w:rsid w:val="6AB7423C"/>
    <w:rsid w:val="6ABA55C0"/>
    <w:rsid w:val="6AC21B76"/>
    <w:rsid w:val="6AEA44E8"/>
    <w:rsid w:val="6B04207F"/>
    <w:rsid w:val="6B18318F"/>
    <w:rsid w:val="6B213824"/>
    <w:rsid w:val="6B486048"/>
    <w:rsid w:val="6B8322BD"/>
    <w:rsid w:val="6BD87719"/>
    <w:rsid w:val="6BE060AD"/>
    <w:rsid w:val="6C0703C8"/>
    <w:rsid w:val="6C2C6080"/>
    <w:rsid w:val="6C3513D9"/>
    <w:rsid w:val="6C4C227F"/>
    <w:rsid w:val="6C6B6BA9"/>
    <w:rsid w:val="6CBF7EA8"/>
    <w:rsid w:val="6D262AD0"/>
    <w:rsid w:val="6D3B47CD"/>
    <w:rsid w:val="6D503338"/>
    <w:rsid w:val="6D5533B5"/>
    <w:rsid w:val="6D8E2AD7"/>
    <w:rsid w:val="6DB61132"/>
    <w:rsid w:val="6DD07D3D"/>
    <w:rsid w:val="6DFE6552"/>
    <w:rsid w:val="6E0F5663"/>
    <w:rsid w:val="6E1F5A5B"/>
    <w:rsid w:val="6E4C2A0A"/>
    <w:rsid w:val="6E5B5536"/>
    <w:rsid w:val="6E712470"/>
    <w:rsid w:val="6E852BE2"/>
    <w:rsid w:val="6E8E6B7E"/>
    <w:rsid w:val="6EA445F4"/>
    <w:rsid w:val="6EA869EE"/>
    <w:rsid w:val="6EB6414C"/>
    <w:rsid w:val="6EE87442"/>
    <w:rsid w:val="6EF2535F"/>
    <w:rsid w:val="6EFA06B8"/>
    <w:rsid w:val="6EFF5CCE"/>
    <w:rsid w:val="6F1277AF"/>
    <w:rsid w:val="6F1928EC"/>
    <w:rsid w:val="6F7C731F"/>
    <w:rsid w:val="6F7E3097"/>
    <w:rsid w:val="6F9E2802"/>
    <w:rsid w:val="6FAE09F0"/>
    <w:rsid w:val="6FD23A4F"/>
    <w:rsid w:val="6FF66C84"/>
    <w:rsid w:val="7004526A"/>
    <w:rsid w:val="70180DF5"/>
    <w:rsid w:val="70464490"/>
    <w:rsid w:val="707C21FD"/>
    <w:rsid w:val="709B2B27"/>
    <w:rsid w:val="70AB0875"/>
    <w:rsid w:val="70AE0A30"/>
    <w:rsid w:val="70BC5C25"/>
    <w:rsid w:val="70EB360D"/>
    <w:rsid w:val="70F729E3"/>
    <w:rsid w:val="71064E52"/>
    <w:rsid w:val="715834BD"/>
    <w:rsid w:val="715E41A8"/>
    <w:rsid w:val="71797903"/>
    <w:rsid w:val="718B37D7"/>
    <w:rsid w:val="71C34D91"/>
    <w:rsid w:val="7248608A"/>
    <w:rsid w:val="72492390"/>
    <w:rsid w:val="724D76A5"/>
    <w:rsid w:val="72516841"/>
    <w:rsid w:val="729E727F"/>
    <w:rsid w:val="729F57FE"/>
    <w:rsid w:val="73017F44"/>
    <w:rsid w:val="731800A5"/>
    <w:rsid w:val="734C2EB7"/>
    <w:rsid w:val="736E6F7E"/>
    <w:rsid w:val="73861D97"/>
    <w:rsid w:val="738C0AA2"/>
    <w:rsid w:val="73974727"/>
    <w:rsid w:val="739C0C8C"/>
    <w:rsid w:val="73B9608D"/>
    <w:rsid w:val="73D06D55"/>
    <w:rsid w:val="73D922C1"/>
    <w:rsid w:val="73E060CE"/>
    <w:rsid w:val="73FB231B"/>
    <w:rsid w:val="740658E6"/>
    <w:rsid w:val="741B0EB4"/>
    <w:rsid w:val="7431692A"/>
    <w:rsid w:val="743505C6"/>
    <w:rsid w:val="74561EEC"/>
    <w:rsid w:val="74BB5574"/>
    <w:rsid w:val="74E92D60"/>
    <w:rsid w:val="74F83ED7"/>
    <w:rsid w:val="754C0091"/>
    <w:rsid w:val="75640639"/>
    <w:rsid w:val="756920F3"/>
    <w:rsid w:val="7571317C"/>
    <w:rsid w:val="757B6A74"/>
    <w:rsid w:val="758B5965"/>
    <w:rsid w:val="75CD210C"/>
    <w:rsid w:val="760A512D"/>
    <w:rsid w:val="763F4690"/>
    <w:rsid w:val="76464ABA"/>
    <w:rsid w:val="76672D7A"/>
    <w:rsid w:val="76680E74"/>
    <w:rsid w:val="766905FD"/>
    <w:rsid w:val="76AA4771"/>
    <w:rsid w:val="76CC617C"/>
    <w:rsid w:val="76D907A8"/>
    <w:rsid w:val="77144348"/>
    <w:rsid w:val="7738004F"/>
    <w:rsid w:val="775766A7"/>
    <w:rsid w:val="77727152"/>
    <w:rsid w:val="77B36BB3"/>
    <w:rsid w:val="77BB7F53"/>
    <w:rsid w:val="77BF191B"/>
    <w:rsid w:val="77C80D66"/>
    <w:rsid w:val="78202F3D"/>
    <w:rsid w:val="782B3690"/>
    <w:rsid w:val="786E7700"/>
    <w:rsid w:val="787E648C"/>
    <w:rsid w:val="789B34ED"/>
    <w:rsid w:val="78B9139F"/>
    <w:rsid w:val="78CC09CF"/>
    <w:rsid w:val="78E8332F"/>
    <w:rsid w:val="793D02F4"/>
    <w:rsid w:val="793D7B1F"/>
    <w:rsid w:val="79487C54"/>
    <w:rsid w:val="796247A8"/>
    <w:rsid w:val="79703000"/>
    <w:rsid w:val="799E28F8"/>
    <w:rsid w:val="79A75C38"/>
    <w:rsid w:val="79B51F4F"/>
    <w:rsid w:val="79C11A45"/>
    <w:rsid w:val="79F309DD"/>
    <w:rsid w:val="7A0C5384"/>
    <w:rsid w:val="7A1E525A"/>
    <w:rsid w:val="7A4962F3"/>
    <w:rsid w:val="7A4D1FE3"/>
    <w:rsid w:val="7A57076C"/>
    <w:rsid w:val="7AAB0A3C"/>
    <w:rsid w:val="7AB26F5C"/>
    <w:rsid w:val="7AED01E3"/>
    <w:rsid w:val="7B0C59FB"/>
    <w:rsid w:val="7B2C2464"/>
    <w:rsid w:val="7B523ADF"/>
    <w:rsid w:val="7B767318"/>
    <w:rsid w:val="7B7C2156"/>
    <w:rsid w:val="7BA85583"/>
    <w:rsid w:val="7BB03E9D"/>
    <w:rsid w:val="7BC9523C"/>
    <w:rsid w:val="7BD209F2"/>
    <w:rsid w:val="7BDC53CD"/>
    <w:rsid w:val="7BEA3628"/>
    <w:rsid w:val="7BFD3595"/>
    <w:rsid w:val="7C02295A"/>
    <w:rsid w:val="7C0C3D89"/>
    <w:rsid w:val="7C404E55"/>
    <w:rsid w:val="7C4C2301"/>
    <w:rsid w:val="7C7E46D6"/>
    <w:rsid w:val="7C9712F4"/>
    <w:rsid w:val="7CCE4C63"/>
    <w:rsid w:val="7CD23964"/>
    <w:rsid w:val="7D0F3580"/>
    <w:rsid w:val="7D1D3A70"/>
    <w:rsid w:val="7D5D078F"/>
    <w:rsid w:val="7D761851"/>
    <w:rsid w:val="7D804CE8"/>
    <w:rsid w:val="7DC97EE3"/>
    <w:rsid w:val="7DFB5E59"/>
    <w:rsid w:val="7E3C2153"/>
    <w:rsid w:val="7E54639C"/>
    <w:rsid w:val="7E8C2A28"/>
    <w:rsid w:val="7E9A50CB"/>
    <w:rsid w:val="7EAD12A3"/>
    <w:rsid w:val="7EB66055"/>
    <w:rsid w:val="7EC62364"/>
    <w:rsid w:val="7EC93128"/>
    <w:rsid w:val="7ECA6297"/>
    <w:rsid w:val="7EE66563"/>
    <w:rsid w:val="7EFC27D4"/>
    <w:rsid w:val="7F3157BC"/>
    <w:rsid w:val="7F652B7A"/>
    <w:rsid w:val="7FCA0AE5"/>
    <w:rsid w:val="7FD00EB6"/>
    <w:rsid w:val="7FDD763A"/>
    <w:rsid w:val="7FE9695C"/>
    <w:rsid w:val="7FF847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99"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99"/>
    <w:pPr>
      <w:keepNext/>
      <w:overflowPunct w:val="0"/>
      <w:snapToGrid w:val="0"/>
      <w:spacing w:before="120" w:after="160" w:line="260" w:lineRule="auto"/>
      <w:ind w:left="431" w:hanging="431"/>
      <w:jc w:val="center"/>
      <w:outlineLvl w:val="0"/>
    </w:pPr>
    <w:rPr>
      <w:rFonts w:eastAsia="黑体"/>
      <w:b/>
      <w:bCs/>
      <w:color w:val="000000"/>
      <w:kern w:val="44"/>
      <w:sz w:val="30"/>
      <w:szCs w:val="30"/>
    </w:rPr>
  </w:style>
  <w:style w:type="paragraph" w:styleId="3">
    <w:name w:val="heading 2"/>
    <w:basedOn w:val="1"/>
    <w:next w:val="1"/>
    <w:link w:val="46"/>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keepNext/>
      <w:keepLines/>
      <w:tabs>
        <w:tab w:val="left" w:pos="1008"/>
      </w:tabs>
      <w:spacing w:line="360" w:lineRule="auto"/>
      <w:outlineLvl w:val="2"/>
    </w:pPr>
    <w:rPr>
      <w:rFonts w:ascii="Times New Roman" w:hAnsi="Times New Roman" w:eastAsia="黑体"/>
      <w:sz w:val="30"/>
    </w:rPr>
  </w:style>
  <w:style w:type="paragraph" w:styleId="5">
    <w:name w:val="heading 4"/>
    <w:basedOn w:val="1"/>
    <w:next w:val="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38">
    <w:name w:val="Default Paragraph Font"/>
    <w:semiHidden/>
    <w:qFormat/>
    <w:uiPriority w:val="0"/>
    <w:rPr>
      <w:rFonts w:ascii="Times New Roman" w:hAnsi="Times New Roman"/>
      <w:szCs w:val="24"/>
    </w:rPr>
  </w:style>
  <w:style w:type="table" w:default="1" w:styleId="36">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6">
    <w:name w:val="E-mail Signature"/>
    <w:basedOn w:val="1"/>
    <w:next w:val="7"/>
    <w:qFormat/>
    <w:uiPriority w:val="99"/>
    <w:pPr>
      <w:spacing w:line="460" w:lineRule="exact"/>
      <w:ind w:firstLine="200"/>
    </w:pPr>
    <w:rPr>
      <w:rFonts w:ascii="Times New Roman" w:hAnsi="Times New Roman" w:cs="Times New Roman"/>
    </w:rPr>
  </w:style>
  <w:style w:type="paragraph" w:customStyle="1" w:styleId="7">
    <w:name w:val="文章"/>
    <w:basedOn w:val="8"/>
    <w:next w:val="9"/>
    <w:qFormat/>
    <w:uiPriority w:val="0"/>
    <w:pPr>
      <w:ind w:firstLine="480"/>
      <w:jc w:val="center"/>
    </w:pPr>
    <w:rPr>
      <w:rFonts w:ascii="Times New Roman" w:hAnsi="Times New Roman" w:eastAsia="宋体" w:cs="Times New Roman"/>
      <w:kern w:val="2"/>
      <w:sz w:val="26"/>
      <w:szCs w:val="22"/>
      <w:lang w:val="en-US" w:eastAsia="zh-CN" w:bidi="ar-SA"/>
    </w:rPr>
  </w:style>
  <w:style w:type="paragraph" w:styleId="8">
    <w:name w:val="Body Text Indent"/>
    <w:basedOn w:val="1"/>
    <w:qFormat/>
    <w:uiPriority w:val="0"/>
    <w:pPr>
      <w:spacing w:after="120"/>
      <w:ind w:left="420" w:leftChars="200"/>
    </w:pPr>
    <w:rPr>
      <w:kern w:val="0"/>
      <w:sz w:val="24"/>
      <w:szCs w:val="20"/>
    </w:rPr>
  </w:style>
  <w:style w:type="paragraph" w:styleId="9">
    <w:name w:val="List"/>
    <w:basedOn w:val="1"/>
    <w:next w:val="10"/>
    <w:qFormat/>
    <w:uiPriority w:val="0"/>
    <w:pPr>
      <w:ind w:left="200" w:hanging="200" w:hangingChars="200"/>
    </w:pPr>
  </w:style>
  <w:style w:type="paragraph" w:styleId="10">
    <w:name w:val="List Bullet 2"/>
    <w:basedOn w:val="1"/>
    <w:next w:val="11"/>
    <w:qFormat/>
    <w:uiPriority w:val="0"/>
    <w:pPr>
      <w:numPr>
        <w:ilvl w:val="0"/>
        <w:numId w:val="1"/>
      </w:numPr>
    </w:pPr>
  </w:style>
  <w:style w:type="paragraph" w:customStyle="1" w:styleId="11">
    <w:name w:val="xl70"/>
    <w:basedOn w:val="1"/>
    <w:next w:val="12"/>
    <w:qFormat/>
    <w:uiPriority w:val="0"/>
    <w:pPr>
      <w:widowControl/>
      <w:spacing w:before="280" w:after="280" w:line="240" w:lineRule="auto"/>
      <w:ind w:firstLine="0"/>
    </w:pPr>
    <w:rPr>
      <w:rFonts w:ascii="宋体"/>
    </w:rPr>
  </w:style>
  <w:style w:type="paragraph" w:customStyle="1" w:styleId="12">
    <w:name w:val="正文缩进1"/>
    <w:basedOn w:val="1"/>
    <w:next w:val="13"/>
    <w:qFormat/>
    <w:uiPriority w:val="0"/>
    <w:pPr>
      <w:ind w:firstLine="420"/>
    </w:pPr>
    <w:rPr>
      <w:rFonts w:ascii="Calibri" w:hAnsi="Calibri" w:cs="黑体"/>
      <w:sz w:val="24"/>
      <w:szCs w:val="22"/>
    </w:rPr>
  </w:style>
  <w:style w:type="paragraph" w:customStyle="1" w:styleId="13">
    <w:name w:val="td1"/>
    <w:basedOn w:val="1"/>
    <w:next w:val="1"/>
    <w:qFormat/>
    <w:uiPriority w:val="0"/>
    <w:pPr>
      <w:widowControl/>
      <w:spacing w:before="280" w:after="280" w:line="300" w:lineRule="atLeast"/>
      <w:ind w:firstLine="200"/>
    </w:pPr>
    <w:rPr>
      <w:color w:val="000000"/>
      <w:sz w:val="18"/>
    </w:rPr>
  </w:style>
  <w:style w:type="paragraph" w:styleId="14">
    <w:name w:val="Normal Indent"/>
    <w:basedOn w:val="1"/>
    <w:next w:val="1"/>
    <w:qFormat/>
    <w:uiPriority w:val="0"/>
    <w:pPr>
      <w:ind w:firstLine="420"/>
    </w:pPr>
    <w:rPr>
      <w:rFonts w:ascii="Times New Roman" w:hAnsi="Times New Roman"/>
      <w:sz w:val="24"/>
      <w:szCs w:val="20"/>
    </w:rPr>
  </w:style>
  <w:style w:type="paragraph" w:styleId="15">
    <w:name w:val="caption"/>
    <w:basedOn w:val="1"/>
    <w:next w:val="1"/>
    <w:qFormat/>
    <w:uiPriority w:val="0"/>
    <w:pPr>
      <w:ind w:firstLine="0" w:firstLineChars="0"/>
      <w:jc w:val="center"/>
    </w:pPr>
    <w:rPr>
      <w:rFonts w:ascii="Times New Roman" w:hAnsi="Times New Roman" w:eastAsia="黑体"/>
      <w:sz w:val="21"/>
    </w:rPr>
  </w:style>
  <w:style w:type="paragraph" w:styleId="16">
    <w:name w:val="Document Map"/>
    <w:basedOn w:val="1"/>
    <w:next w:val="17"/>
    <w:link w:val="47"/>
    <w:qFormat/>
    <w:uiPriority w:val="0"/>
    <w:rPr>
      <w:rFonts w:ascii="宋体"/>
      <w:sz w:val="18"/>
      <w:szCs w:val="18"/>
    </w:rPr>
  </w:style>
  <w:style w:type="paragraph" w:customStyle="1" w:styleId="17">
    <w:name w:val="表格文字2"/>
    <w:basedOn w:val="18"/>
    <w:next w:val="19"/>
    <w:qFormat/>
    <w:uiPriority w:val="99"/>
    <w:pPr>
      <w:tabs>
        <w:tab w:val="left" w:pos="540"/>
        <w:tab w:val="left" w:pos="851"/>
        <w:tab w:val="left" w:pos="994"/>
        <w:tab w:val="left" w:pos="1260"/>
        <w:tab w:val="left" w:pos="3108"/>
        <w:tab w:val="left" w:pos="3150"/>
      </w:tabs>
      <w:spacing w:before="60"/>
      <w:jc w:val="center"/>
      <w:textAlignment w:val="baseline"/>
    </w:pPr>
    <w:rPr>
      <w:rFonts w:hAnsi="Times New Roman"/>
      <w:kern w:val="0"/>
    </w:rPr>
  </w:style>
  <w:style w:type="paragraph" w:customStyle="1" w:styleId="18">
    <w:name w:val="表格文字"/>
    <w:basedOn w:val="1"/>
    <w:qFormat/>
    <w:uiPriority w:val="0"/>
    <w:pPr>
      <w:adjustRightInd w:val="0"/>
      <w:spacing w:line="400" w:lineRule="atLeast"/>
      <w:jc w:val="center"/>
    </w:pPr>
    <w:rPr>
      <w:kern w:val="24"/>
      <w:sz w:val="24"/>
      <w:szCs w:val="20"/>
    </w:rPr>
  </w:style>
  <w:style w:type="paragraph" w:styleId="19">
    <w:name w:val="Body Text"/>
    <w:basedOn w:val="1"/>
    <w:next w:val="20"/>
    <w:qFormat/>
    <w:uiPriority w:val="0"/>
    <w:rPr>
      <w:rFonts w:ascii="Times New Roman" w:hAnsi="Times New Roman"/>
      <w:kern w:val="24"/>
      <w:sz w:val="21"/>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21">
    <w:name w:val="toa heading"/>
    <w:basedOn w:val="1"/>
    <w:next w:val="1"/>
    <w:unhideWhenUsed/>
    <w:qFormat/>
    <w:uiPriority w:val="99"/>
    <w:pPr>
      <w:spacing w:before="120"/>
    </w:pPr>
    <w:rPr>
      <w:rFonts w:ascii="Arial" w:hAnsi="Arial" w:cs="Arial"/>
      <w:sz w:val="24"/>
    </w:rPr>
  </w:style>
  <w:style w:type="paragraph" w:styleId="22">
    <w:name w:val="annotation text"/>
    <w:basedOn w:val="1"/>
    <w:link w:val="48"/>
    <w:qFormat/>
    <w:uiPriority w:val="0"/>
    <w:pPr>
      <w:jc w:val="left"/>
    </w:pPr>
  </w:style>
  <w:style w:type="paragraph" w:styleId="23">
    <w:name w:val="Block Text"/>
    <w:basedOn w:val="1"/>
    <w:qFormat/>
    <w:uiPriority w:val="0"/>
    <w:pPr>
      <w:spacing w:after="120"/>
      <w:ind w:left="1440" w:leftChars="700" w:right="1440" w:rightChars="700"/>
    </w:pPr>
  </w:style>
  <w:style w:type="paragraph" w:styleId="24">
    <w:name w:val="Plain Text"/>
    <w:basedOn w:val="1"/>
    <w:next w:val="1"/>
    <w:qFormat/>
    <w:uiPriority w:val="0"/>
    <w:pPr>
      <w:spacing w:line="240" w:lineRule="atLeast"/>
    </w:pPr>
    <w:rPr>
      <w:rFonts w:ascii="宋体" w:hAnsi="Courier New"/>
      <w:sz w:val="28"/>
      <w:szCs w:val="20"/>
    </w:rPr>
  </w:style>
  <w:style w:type="paragraph" w:styleId="25">
    <w:name w:val="Balloon Text"/>
    <w:basedOn w:val="1"/>
    <w:qFormat/>
    <w:uiPriority w:val="0"/>
    <w:rPr>
      <w:sz w:val="18"/>
      <w:szCs w:val="18"/>
    </w:rPr>
  </w:style>
  <w:style w:type="paragraph" w:styleId="26">
    <w:name w:val="footer"/>
    <w:basedOn w:val="1"/>
    <w:qFormat/>
    <w:uiPriority w:val="99"/>
    <w:pPr>
      <w:tabs>
        <w:tab w:val="center" w:pos="4153"/>
        <w:tab w:val="right" w:pos="8306"/>
      </w:tabs>
      <w:snapToGrid w:val="0"/>
      <w:jc w:val="left"/>
    </w:pPr>
    <w:rPr>
      <w:kern w:val="0"/>
      <w:sz w:val="18"/>
      <w:szCs w:val="20"/>
    </w:rPr>
  </w:style>
  <w:style w:type="paragraph" w:styleId="27">
    <w:name w:val="header"/>
    <w:basedOn w:val="1"/>
    <w:next w:val="15"/>
    <w:link w:val="49"/>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index heading"/>
    <w:basedOn w:val="1"/>
    <w:next w:val="30"/>
    <w:qFormat/>
    <w:uiPriority w:val="0"/>
    <w:rPr>
      <w:rFonts w:ascii="宋体"/>
      <w:bCs/>
      <w:sz w:val="24"/>
    </w:rPr>
  </w:style>
  <w:style w:type="paragraph" w:styleId="30">
    <w:name w:val="index 1"/>
    <w:basedOn w:val="1"/>
    <w:next w:val="1"/>
    <w:qFormat/>
    <w:uiPriority w:val="0"/>
    <w:rPr>
      <w:szCs w:val="20"/>
    </w:rPr>
  </w:style>
  <w:style w:type="paragraph" w:styleId="31">
    <w:name w:val="toc 2"/>
    <w:basedOn w:val="1"/>
    <w:next w:val="6"/>
    <w:qFormat/>
    <w:uiPriority w:val="0"/>
    <w:pPr>
      <w:ind w:left="420" w:leftChars="200"/>
    </w:pPr>
  </w:style>
  <w:style w:type="paragraph" w:styleId="32">
    <w:name w:val="Normal (Web)"/>
    <w:basedOn w:val="1"/>
    <w:qFormat/>
    <w:uiPriority w:val="0"/>
    <w:pPr>
      <w:keepNext/>
      <w:widowControl w:val="0"/>
      <w:spacing w:beforeAutospacing="1" w:after="100" w:afterAutospacing="1"/>
      <w:jc w:val="left"/>
    </w:pPr>
    <w:rPr>
      <w:rFonts w:ascii="宋体" w:hAnsi="宋体" w:eastAsia="宋体"/>
      <w:kern w:val="0"/>
      <w:sz w:val="24"/>
      <w:szCs w:val="20"/>
    </w:rPr>
  </w:style>
  <w:style w:type="paragraph" w:styleId="33">
    <w:name w:val="annotation subject"/>
    <w:basedOn w:val="22"/>
    <w:next w:val="22"/>
    <w:link w:val="50"/>
    <w:qFormat/>
    <w:uiPriority w:val="0"/>
    <w:rPr>
      <w:b/>
      <w:bCs/>
    </w:rPr>
  </w:style>
  <w:style w:type="paragraph" w:styleId="34">
    <w:name w:val="Body Text First Indent"/>
    <w:basedOn w:val="19"/>
    <w:next w:val="1"/>
    <w:unhideWhenUsed/>
    <w:qFormat/>
    <w:uiPriority w:val="99"/>
    <w:pPr>
      <w:ind w:firstLine="420" w:firstLineChars="100"/>
    </w:pPr>
  </w:style>
  <w:style w:type="paragraph" w:styleId="35">
    <w:name w:val="Body Text First Indent 2"/>
    <w:basedOn w:val="8"/>
    <w:next w:val="34"/>
    <w:qFormat/>
    <w:uiPriority w:val="0"/>
    <w:pPr>
      <w:ind w:firstLine="420" w:firstLineChars="200"/>
    </w:pPr>
  </w:style>
  <w:style w:type="table" w:styleId="37">
    <w:name w:val="Table Grid"/>
    <w:basedOn w:val="3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b/>
    </w:rPr>
  </w:style>
  <w:style w:type="character" w:styleId="40">
    <w:name w:val="page number"/>
    <w:qFormat/>
    <w:uiPriority w:val="0"/>
  </w:style>
  <w:style w:type="character" w:styleId="41">
    <w:name w:val="FollowedHyperlink"/>
    <w:qFormat/>
    <w:uiPriority w:val="0"/>
    <w:rPr>
      <w:color w:val="800080"/>
      <w:u w:val="single"/>
    </w:rPr>
  </w:style>
  <w:style w:type="character" w:styleId="42">
    <w:name w:val="Emphasis"/>
    <w:qFormat/>
    <w:uiPriority w:val="0"/>
    <w:rPr>
      <w:i/>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Char"/>
    <w:link w:val="2"/>
    <w:qFormat/>
    <w:uiPriority w:val="99"/>
    <w:rPr>
      <w:rFonts w:ascii="Times New Roman" w:hAnsi="Times New Roman" w:eastAsia="黑体"/>
      <w:b/>
      <w:bCs/>
      <w:color w:val="000000"/>
      <w:kern w:val="44"/>
      <w:sz w:val="30"/>
      <w:szCs w:val="30"/>
    </w:rPr>
  </w:style>
  <w:style w:type="character" w:customStyle="1" w:styleId="46">
    <w:name w:val="标题 2 Char"/>
    <w:link w:val="3"/>
    <w:qFormat/>
    <w:uiPriority w:val="0"/>
    <w:rPr>
      <w:rFonts w:ascii="Cambria" w:hAnsi="Cambria" w:eastAsia="宋体" w:cs="Times New Roman"/>
      <w:b/>
      <w:bCs/>
      <w:sz w:val="32"/>
      <w:szCs w:val="32"/>
    </w:rPr>
  </w:style>
  <w:style w:type="character" w:customStyle="1" w:styleId="47">
    <w:name w:val="文档结构图 Char"/>
    <w:link w:val="16"/>
    <w:qFormat/>
    <w:uiPriority w:val="0"/>
    <w:rPr>
      <w:rFonts w:ascii="宋体"/>
      <w:kern w:val="2"/>
      <w:sz w:val="18"/>
      <w:szCs w:val="18"/>
    </w:rPr>
  </w:style>
  <w:style w:type="character" w:customStyle="1" w:styleId="48">
    <w:name w:val="批注文字 Char"/>
    <w:link w:val="22"/>
    <w:qFormat/>
    <w:uiPriority w:val="0"/>
    <w:rPr>
      <w:kern w:val="2"/>
      <w:sz w:val="21"/>
    </w:rPr>
  </w:style>
  <w:style w:type="character" w:customStyle="1" w:styleId="49">
    <w:name w:val="页眉 Char"/>
    <w:link w:val="27"/>
    <w:qFormat/>
    <w:uiPriority w:val="0"/>
    <w:rPr>
      <w:rFonts w:ascii="Times New Roman" w:hAnsi="Times New Roman"/>
      <w:kern w:val="2"/>
      <w:sz w:val="18"/>
      <w:szCs w:val="18"/>
    </w:rPr>
  </w:style>
  <w:style w:type="character" w:customStyle="1" w:styleId="50">
    <w:name w:val="批注主题 Char"/>
    <w:link w:val="33"/>
    <w:qFormat/>
    <w:uiPriority w:val="0"/>
  </w:style>
  <w:style w:type="paragraph" w:customStyle="1" w:styleId="51">
    <w:name w:val="Default"/>
    <w:basedOn w:val="52"/>
    <w:next w:val="53"/>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52">
    <w:name w:val="纯文本1"/>
    <w:basedOn w:val="1"/>
    <w:qFormat/>
    <w:uiPriority w:val="0"/>
    <w:pPr>
      <w:adjustRightInd w:val="0"/>
    </w:pPr>
    <w:rPr>
      <w:rFonts w:ascii="宋体" w:hAnsi="Courier New"/>
      <w:szCs w:val="20"/>
    </w:rPr>
  </w:style>
  <w:style w:type="paragraph" w:customStyle="1" w:styleId="53">
    <w:name w:val="样式35"/>
    <w:basedOn w:val="54"/>
    <w:next w:val="58"/>
    <w:qFormat/>
    <w:uiPriority w:val="0"/>
    <w:pPr>
      <w:widowControl w:val="0"/>
      <w:tabs>
        <w:tab w:val="left" w:pos="0"/>
        <w:tab w:val="left" w:pos="360"/>
        <w:tab w:val="left" w:pos="540"/>
        <w:tab w:val="left" w:pos="567"/>
      </w:tabs>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54">
    <w:name w:val="样式26"/>
    <w:basedOn w:val="55"/>
    <w:qFormat/>
    <w:uiPriority w:val="0"/>
    <w:pPr>
      <w:tabs>
        <w:tab w:val="left" w:pos="0"/>
        <w:tab w:val="left" w:pos="360"/>
        <w:tab w:val="left" w:pos="540"/>
        <w:tab w:val="left" w:pos="567"/>
      </w:tabs>
    </w:pPr>
  </w:style>
  <w:style w:type="paragraph" w:customStyle="1" w:styleId="55">
    <w:name w:val="样式21"/>
    <w:basedOn w:val="56"/>
    <w:qFormat/>
    <w:uiPriority w:val="0"/>
    <w:pPr>
      <w:tabs>
        <w:tab w:val="left" w:pos="360"/>
        <w:tab w:val="left" w:pos="567"/>
      </w:tabs>
      <w:spacing w:before="120" w:beforeLines="0" w:after="120" w:afterLines="0"/>
      <w:ind w:hanging="992"/>
    </w:pPr>
  </w:style>
  <w:style w:type="paragraph" w:customStyle="1" w:styleId="56">
    <w:name w:val="样式5"/>
    <w:basedOn w:val="57"/>
    <w:qFormat/>
    <w:uiPriority w:val="0"/>
    <w:pPr>
      <w:tabs>
        <w:tab w:val="left" w:pos="360"/>
        <w:tab w:val="left" w:pos="567"/>
      </w:tabs>
    </w:pPr>
  </w:style>
  <w:style w:type="paragraph" w:customStyle="1" w:styleId="57">
    <w:name w:val="样式12"/>
    <w:basedOn w:val="1"/>
    <w:qFormat/>
    <w:uiPriority w:val="0"/>
    <w:pPr>
      <w:keepNext/>
      <w:keepLines/>
      <w:tabs>
        <w:tab w:val="left" w:pos="360"/>
      </w:tabs>
      <w:spacing w:before="156" w:beforeLines="50" w:after="156" w:afterLines="50"/>
      <w:ind w:left="567" w:hanging="567"/>
      <w:outlineLvl w:val="1"/>
    </w:pPr>
    <w:rPr>
      <w:rFonts w:eastAsia="MS Mincho"/>
      <w:kern w:val="0"/>
      <w:sz w:val="28"/>
      <w:szCs w:val="28"/>
    </w:rPr>
  </w:style>
  <w:style w:type="paragraph" w:customStyle="1" w:styleId="58">
    <w:name w:val="font6"/>
    <w:basedOn w:val="1"/>
    <w:next w:val="31"/>
    <w:qFormat/>
    <w:uiPriority w:val="0"/>
    <w:pPr>
      <w:widowControl/>
      <w:spacing w:before="100" w:beforeLines="0" w:beforeAutospacing="1" w:after="100" w:afterLines="0" w:afterAutospacing="1"/>
      <w:jc w:val="left"/>
    </w:pPr>
    <w:rPr>
      <w:rFonts w:eastAsia="Arial Unicode MS"/>
      <w:kern w:val="0"/>
      <w:sz w:val="24"/>
    </w:rPr>
  </w:style>
  <w:style w:type="paragraph" w:customStyle="1" w:styleId="59">
    <w:name w:val="样式 标题 1 + 四号 段前: 0 磅 段后: 0 磅 行距: 1.5 倍行距"/>
    <w:basedOn w:val="60"/>
    <w:next w:val="61"/>
    <w:qFormat/>
    <w:uiPriority w:val="0"/>
    <w:pPr>
      <w:spacing w:line="360" w:lineRule="auto"/>
      <w:jc w:val="center"/>
    </w:pPr>
    <w:rPr>
      <w:rFonts w:hAnsi="黑体" w:eastAsia="宋体"/>
      <w:sz w:val="21"/>
    </w:rPr>
  </w:style>
  <w:style w:type="paragraph" w:customStyle="1" w:styleId="60">
    <w:name w:val="报告表正文"/>
    <w:basedOn w:val="1"/>
    <w:link w:val="62"/>
    <w:qFormat/>
    <w:uiPriority w:val="0"/>
    <w:pPr>
      <w:wordWrap w:val="0"/>
      <w:topLinePunct/>
      <w:adjustRightInd w:val="0"/>
      <w:spacing w:line="360" w:lineRule="auto"/>
      <w:ind w:left="0" w:right="0" w:firstLine="488"/>
      <w:jc w:val="left"/>
      <w:textAlignment w:val="baseline"/>
    </w:pPr>
    <w:rPr>
      <w:rFonts w:ascii="Times New Roman" w:hAnsi="Times New Roman" w:eastAsia="Times New Roman" w:cs="宋体"/>
      <w:szCs w:val="20"/>
    </w:rPr>
  </w:style>
  <w:style w:type="paragraph" w:customStyle="1" w:styleId="61">
    <w:name w:val="文本正文"/>
    <w:basedOn w:val="1"/>
    <w:qFormat/>
    <w:uiPriority w:val="0"/>
    <w:pPr>
      <w:snapToGrid w:val="0"/>
      <w:spacing w:line="360" w:lineRule="auto"/>
      <w:ind w:firstLine="510"/>
      <w:jc w:val="left"/>
    </w:pPr>
    <w:rPr>
      <w:spacing w:val="4"/>
      <w:kern w:val="24"/>
      <w:szCs w:val="24"/>
      <w:lang w:val="zh-CN"/>
    </w:rPr>
  </w:style>
  <w:style w:type="character" w:customStyle="1" w:styleId="62">
    <w:name w:val="报告表正文 Char1"/>
    <w:link w:val="60"/>
    <w:qFormat/>
    <w:uiPriority w:val="0"/>
    <w:rPr>
      <w:rFonts w:ascii="Times New Roman" w:hAnsi="Times New Roman" w:eastAsia="Times New Roman" w:cs="宋体"/>
      <w:szCs w:val="20"/>
    </w:rPr>
  </w:style>
  <w:style w:type="paragraph" w:customStyle="1" w:styleId="63">
    <w:name w:val="样式 标题 1 + 首行缩进:  0 字符"/>
    <w:basedOn w:val="2"/>
    <w:next w:val="64"/>
    <w:qFormat/>
    <w:uiPriority w:val="99"/>
    <w:pPr>
      <w:autoSpaceDE/>
      <w:adjustRightInd/>
      <w:spacing w:before="0" w:beforeLines="0" w:after="0" w:afterLines="0" w:line="520" w:lineRule="exact"/>
      <w:ind w:firstLine="0" w:firstLineChars="0"/>
      <w:jc w:val="both"/>
    </w:pPr>
    <w:rPr>
      <w:rFonts w:ascii="Arial" w:hAnsi="Arial" w:eastAsia="黑体" w:cs="宋体"/>
      <w:color w:val="auto"/>
      <w:sz w:val="30"/>
      <w:szCs w:val="20"/>
    </w:rPr>
  </w:style>
  <w:style w:type="paragraph" w:customStyle="1" w:styleId="64">
    <w:name w:val="xl57"/>
    <w:basedOn w:val="1"/>
    <w:qFormat/>
    <w:uiPriority w:val="0"/>
    <w:pPr>
      <w:widowControl/>
      <w:pBdr>
        <w:top w:val="single" w:color="auto" w:sz="4" w:space="0"/>
        <w:left w:val="single" w:color="auto" w:sz="4" w:space="0"/>
        <w:bottom w:val="single" w:color="auto" w:sz="4" w:space="0"/>
      </w:pBdr>
      <w:autoSpaceDE/>
      <w:adjustRightInd/>
      <w:spacing w:before="100" w:beforeLines="0" w:beforeAutospacing="1" w:after="100" w:afterLines="0" w:afterAutospacing="1" w:line="240" w:lineRule="auto"/>
      <w:ind w:firstLine="0" w:firstLineChars="0"/>
      <w:textAlignment w:val="center"/>
    </w:pPr>
    <w:rPr>
      <w:rFonts w:ascii="Times New Roman"/>
      <w:b/>
      <w:bCs/>
      <w:color w:val="auto"/>
      <w:kern w:val="0"/>
      <w:sz w:val="20"/>
      <w:szCs w:val="20"/>
    </w:rPr>
  </w:style>
  <w:style w:type="paragraph" w:customStyle="1" w:styleId="65">
    <w:name w:val="11"/>
    <w:basedOn w:val="19"/>
    <w:next w:val="16"/>
    <w:qFormat/>
    <w:uiPriority w:val="99"/>
    <w:pPr>
      <w:tabs>
        <w:tab w:val="left" w:pos="540"/>
        <w:tab w:val="left" w:pos="851"/>
        <w:tab w:val="left" w:pos="994"/>
        <w:tab w:val="left" w:pos="1260"/>
        <w:tab w:val="left" w:pos="3108"/>
        <w:tab w:val="left" w:pos="3150"/>
      </w:tabs>
      <w:autoSpaceDE w:val="0"/>
      <w:autoSpaceDN w:val="0"/>
      <w:spacing w:after="0"/>
      <w:ind w:firstLine="482"/>
      <w:jc w:val="center"/>
      <w:textAlignment w:val="baseline"/>
    </w:pPr>
    <w:rPr>
      <w:rFonts w:ascii="宋体"/>
      <w:b/>
    </w:rPr>
  </w:style>
  <w:style w:type="paragraph" w:customStyle="1" w:styleId="66">
    <w:name w:val="1正文"/>
    <w:basedOn w:val="1"/>
    <w:qFormat/>
    <w:uiPriority w:val="0"/>
    <w:pPr>
      <w:spacing w:line="500" w:lineRule="exact"/>
      <w:ind w:firstLine="588" w:firstLineChars="196"/>
    </w:pPr>
    <w:rPr>
      <w:rFonts w:eastAsia="楷体_GB2312"/>
      <w:sz w:val="30"/>
      <w:szCs w:val="30"/>
    </w:rPr>
  </w:style>
  <w:style w:type="paragraph" w:customStyle="1" w:styleId="67">
    <w:name w:val="表头"/>
    <w:basedOn w:val="68"/>
    <w:next w:val="1"/>
    <w:qFormat/>
    <w:uiPriority w:val="0"/>
    <w:pPr>
      <w:spacing w:line="240" w:lineRule="auto"/>
      <w:ind w:firstLine="0" w:firstLineChars="0"/>
      <w:jc w:val="center"/>
    </w:pPr>
    <w:rPr>
      <w:rFonts w:ascii="Times New Roman" w:hAnsi="Times New Roman" w:eastAsia="宋体"/>
      <w:bCs/>
      <w:sz w:val="21"/>
      <w:szCs w:val="21"/>
    </w:rPr>
  </w:style>
  <w:style w:type="paragraph" w:customStyle="1" w:styleId="68">
    <w:name w:val="二级正文"/>
    <w:basedOn w:val="69"/>
    <w:next w:val="1"/>
    <w:qFormat/>
    <w:uiPriority w:val="0"/>
    <w:pPr>
      <w:ind w:firstLine="562" w:firstLineChars="200"/>
    </w:pPr>
  </w:style>
  <w:style w:type="paragraph" w:customStyle="1" w:styleId="69">
    <w:name w:val="一级正文"/>
    <w:basedOn w:val="1"/>
    <w:next w:val="1"/>
    <w:qFormat/>
    <w:uiPriority w:val="0"/>
    <w:rPr>
      <w:b/>
    </w:rPr>
  </w:style>
  <w:style w:type="paragraph" w:customStyle="1" w:styleId="70">
    <w:name w:val="正文文字"/>
    <w:basedOn w:val="1"/>
    <w:qFormat/>
    <w:uiPriority w:val="0"/>
    <w:pPr>
      <w:ind w:firstLine="480"/>
      <w:jc w:val="left"/>
    </w:pPr>
  </w:style>
  <w:style w:type="paragraph" w:customStyle="1" w:styleId="71">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character" w:customStyle="1" w:styleId="72">
    <w:name w:val="样式1"/>
    <w:qFormat/>
    <w:uiPriority w:val="0"/>
    <w:rPr>
      <w:rFonts w:ascii="Times New Roman" w:hAnsi="Times New Roman" w:eastAsia="宋体" w:cs="Times New Roman"/>
      <w:sz w:val="24"/>
      <w:szCs w:val="24"/>
      <w:lang w:val="en-US" w:eastAsia="zh-CN"/>
    </w:rPr>
  </w:style>
  <w:style w:type="character" w:customStyle="1" w:styleId="73">
    <w:name w:val="font01"/>
    <w:qFormat/>
    <w:uiPriority w:val="0"/>
    <w:rPr>
      <w:rFonts w:hint="eastAsia" w:ascii="宋体" w:hAnsi="宋体" w:eastAsia="宋体" w:cs="宋体"/>
      <w:color w:val="000000"/>
      <w:sz w:val="21"/>
      <w:szCs w:val="21"/>
      <w:u w:val="none"/>
    </w:rPr>
  </w:style>
  <w:style w:type="character" w:customStyle="1" w:styleId="74">
    <w:name w:val="font21"/>
    <w:qFormat/>
    <w:uiPriority w:val="0"/>
    <w:rPr>
      <w:rFonts w:hint="eastAsia" w:ascii="宋体" w:hAnsi="宋体" w:eastAsia="宋体" w:cs="宋体"/>
      <w:color w:val="000000"/>
      <w:sz w:val="21"/>
      <w:szCs w:val="21"/>
      <w:u w:val="none"/>
    </w:rPr>
  </w:style>
  <w:style w:type="paragraph" w:customStyle="1" w:styleId="75">
    <w:name w:val="正文2"/>
    <w:basedOn w:val="1"/>
    <w:qFormat/>
    <w:uiPriority w:val="0"/>
    <w:pPr>
      <w:adjustRightInd w:val="0"/>
      <w:snapToGrid w:val="0"/>
      <w:spacing w:line="440" w:lineRule="atLeast"/>
      <w:ind w:firstLine="567"/>
    </w:pPr>
    <w:rPr>
      <w:sz w:val="24"/>
      <w:szCs w:val="20"/>
    </w:rPr>
  </w:style>
  <w:style w:type="paragraph" w:customStyle="1" w:styleId="76">
    <w:name w:val="正文_15"/>
    <w:qFormat/>
    <w:uiPriority w:val="0"/>
    <w:pPr>
      <w:widowControl w:val="0"/>
      <w:jc w:val="both"/>
    </w:pPr>
    <w:rPr>
      <w:rFonts w:ascii="Calibri" w:hAnsi="Calibri" w:eastAsia="宋体" w:cs="Times New Roman"/>
      <w:kern w:val="2"/>
      <w:sz w:val="21"/>
      <w:lang w:val="en-US" w:eastAsia="zh-CN" w:bidi="ar-SA"/>
    </w:rPr>
  </w:style>
  <w:style w:type="paragraph" w:customStyle="1" w:styleId="77">
    <w:name w:val="表格式"/>
    <w:basedOn w:val="9"/>
    <w:qFormat/>
    <w:uiPriority w:val="0"/>
    <w:pPr>
      <w:spacing w:line="400" w:lineRule="exact"/>
      <w:ind w:left="0" w:firstLine="0" w:firstLineChars="0"/>
      <w:jc w:val="center"/>
    </w:pPr>
    <w:rPr>
      <w:rFonts w:ascii="宋体"/>
      <w:szCs w:val="20"/>
    </w:rPr>
  </w:style>
  <w:style w:type="paragraph" w:customStyle="1" w:styleId="78">
    <w:name w:val="样式 正文首行缩进"/>
    <w:basedOn w:val="14"/>
    <w:qFormat/>
    <w:uiPriority w:val="0"/>
    <w:pPr>
      <w:ind w:firstLine="546" w:firstLineChars="200"/>
    </w:pPr>
    <w:rPr>
      <w:rFonts w:ascii="宋体" w:hAnsi="宋体" w:cs="宋体"/>
    </w:rPr>
  </w:style>
  <w:style w:type="paragraph" w:customStyle="1" w:styleId="79">
    <w:name w:val="样式 文本正文 + 首行缩进:  2 字符3"/>
    <w:basedOn w:val="1"/>
    <w:qFormat/>
    <w:uiPriority w:val="0"/>
    <w:pPr>
      <w:autoSpaceDE w:val="0"/>
      <w:autoSpaceDN w:val="0"/>
      <w:adjustRightInd w:val="0"/>
      <w:spacing w:line="360" w:lineRule="auto"/>
      <w:ind w:firstLine="496" w:firstLineChars="200"/>
      <w:textAlignment w:val="baseline"/>
    </w:pPr>
    <w:rPr>
      <w:rFonts w:ascii="宋体" w:hAnsi="宋体" w:cs="宋体"/>
      <w:snapToGrid w:val="0"/>
      <w:color w:val="000000"/>
      <w:kern w:val="21"/>
      <w:sz w:val="24"/>
      <w:szCs w:val="24"/>
    </w:rPr>
  </w:style>
  <w:style w:type="paragraph" w:customStyle="1" w:styleId="80">
    <w:name w:val="Style 3"/>
    <w:basedOn w:val="1"/>
    <w:unhideWhenUsed/>
    <w:qFormat/>
    <w:uiPriority w:val="99"/>
    <w:pPr>
      <w:autoSpaceDE w:val="0"/>
      <w:autoSpaceDN w:val="0"/>
      <w:adjustRightInd w:val="0"/>
    </w:pPr>
    <w:rPr>
      <w:sz w:val="20"/>
    </w:rPr>
  </w:style>
  <w:style w:type="paragraph" w:customStyle="1" w:styleId="81">
    <w:name w:val="表格"/>
    <w:basedOn w:val="14"/>
    <w:next w:val="1"/>
    <w:qFormat/>
    <w:uiPriority w:val="0"/>
    <w:pPr>
      <w:adjustRightInd w:val="0"/>
      <w:snapToGrid w:val="0"/>
      <w:spacing w:beforeLines="10" w:afterLines="10" w:line="259" w:lineRule="auto"/>
      <w:jc w:val="center"/>
    </w:pPr>
    <w:rPr>
      <w:rFonts w:ascii="宋体"/>
      <w:kern w:val="0"/>
      <w:szCs w:val="20"/>
    </w:rPr>
  </w:style>
  <w:style w:type="paragraph" w:customStyle="1" w:styleId="82">
    <w:name w:val=" Char Char Char1 Char"/>
    <w:basedOn w:val="1"/>
    <w:qFormat/>
    <w:uiPriority w:val="0"/>
    <w:rPr>
      <w:rFonts w:ascii="Times New Roman" w:hAnsi="Times New Roman"/>
      <w:szCs w:val="24"/>
    </w:rPr>
  </w:style>
  <w:style w:type="paragraph" w:customStyle="1" w:styleId="83">
    <w:name w:val="正文（首行缩进两字）m"/>
    <w:basedOn w:val="14"/>
    <w:qFormat/>
    <w:uiPriority w:val="0"/>
    <w:pPr>
      <w:tabs>
        <w:tab w:val="left" w:pos="1848"/>
        <w:tab w:val="left" w:pos="6061"/>
        <w:tab w:val="left" w:pos="8665"/>
      </w:tabs>
      <w:snapToGrid w:val="0"/>
      <w:spacing w:before="156" w:beforeLines="50" w:line="460" w:lineRule="exact"/>
      <w:ind w:firstLine="480" w:firstLineChars="200"/>
    </w:pPr>
    <w:rPr>
      <w:rFonts w:ascii="宋体" w:hAnsi="宋体"/>
    </w:rPr>
  </w:style>
  <w:style w:type="paragraph" w:customStyle="1" w:styleId="84">
    <w:name w:val="正文_13"/>
    <w:qFormat/>
    <w:uiPriority w:val="0"/>
    <w:pPr>
      <w:widowControl w:val="0"/>
      <w:jc w:val="both"/>
    </w:pPr>
    <w:rPr>
      <w:rFonts w:ascii="Calibri" w:hAnsi="Calibri" w:eastAsia="宋体" w:cs="Times New Roman"/>
      <w:kern w:val="2"/>
      <w:sz w:val="21"/>
      <w:lang w:val="en-US" w:eastAsia="zh-CN" w:bidi="ar-SA"/>
    </w:rPr>
  </w:style>
  <w:style w:type="paragraph" w:customStyle="1" w:styleId="85">
    <w:name w:val="报告表表格"/>
    <w:basedOn w:val="1"/>
    <w:qFormat/>
    <w:uiPriority w:val="0"/>
    <w:pPr>
      <w:jc w:val="center"/>
    </w:pPr>
    <w:rPr>
      <w:rFonts w:ascii="Times New Roman" w:hAnsi="Times New Roman" w:cs="宋体"/>
      <w:sz w:val="21"/>
    </w:rPr>
  </w:style>
  <w:style w:type="paragraph" w:customStyle="1" w:styleId="86">
    <w:name w:val="中文报告书样式"/>
    <w:basedOn w:val="1"/>
    <w:qFormat/>
    <w:uiPriority w:val="0"/>
    <w:pPr>
      <w:adjustRightInd w:val="0"/>
      <w:spacing w:line="480" w:lineRule="atLeast"/>
      <w:ind w:firstLine="482"/>
      <w:textAlignment w:val="baseline"/>
    </w:pPr>
    <w:rPr>
      <w:kern w:val="24"/>
      <w:sz w:val="24"/>
      <w:szCs w:val="20"/>
    </w:rPr>
  </w:style>
  <w:style w:type="paragraph" w:styleId="87">
    <w:name w:val="Quote"/>
    <w:basedOn w:val="1"/>
    <w:next w:val="1"/>
    <w:qFormat/>
    <w:uiPriority w:val="0"/>
    <w:pPr>
      <w:adjustRightInd w:val="0"/>
      <w:snapToGrid w:val="0"/>
      <w:jc w:val="center"/>
    </w:pPr>
    <w:rPr>
      <w:rFonts w:ascii="Times New Roman" w:hAnsi="Times New Roman"/>
      <w:iCs/>
      <w:color w:val="000000"/>
      <w:szCs w:val="20"/>
    </w:rPr>
  </w:style>
  <w:style w:type="paragraph" w:customStyle="1" w:styleId="88">
    <w:name w:val="正常段落"/>
    <w:basedOn w:val="14"/>
    <w:qFormat/>
    <w:uiPriority w:val="0"/>
    <w:pPr>
      <w:tabs>
        <w:tab w:val="left" w:pos="5530"/>
      </w:tabs>
      <w:spacing w:line="440" w:lineRule="exact"/>
    </w:pPr>
    <w:rPr>
      <w:rFonts w:ascii="宋体" w:hAnsi="Times New Roman"/>
    </w:rPr>
  </w:style>
  <w:style w:type="paragraph" w:customStyle="1" w:styleId="89">
    <w:name w:val="正文_23"/>
    <w:qFormat/>
    <w:uiPriority w:val="0"/>
    <w:pPr>
      <w:widowControl w:val="0"/>
      <w:jc w:val="both"/>
    </w:pPr>
    <w:rPr>
      <w:rFonts w:ascii="Calibri" w:hAnsi="Calibri" w:eastAsia="宋体" w:cs="Times New Roman"/>
      <w:kern w:val="2"/>
      <w:sz w:val="21"/>
      <w:lang w:val="en-US" w:eastAsia="zh-CN" w:bidi="ar-SA"/>
    </w:rPr>
  </w:style>
  <w:style w:type="paragraph" w:customStyle="1" w:styleId="90">
    <w:name w:val="正文_16"/>
    <w:qFormat/>
    <w:uiPriority w:val="0"/>
    <w:pPr>
      <w:widowControl w:val="0"/>
      <w:jc w:val="both"/>
    </w:pPr>
    <w:rPr>
      <w:rFonts w:ascii="Calibri" w:hAnsi="Calibri" w:eastAsia="宋体" w:cs="Times New Roman"/>
      <w:kern w:val="2"/>
      <w:sz w:val="21"/>
      <w:lang w:val="en-US" w:eastAsia="zh-CN" w:bidi="ar-SA"/>
    </w:rPr>
  </w:style>
  <w:style w:type="paragraph" w:customStyle="1" w:styleId="91">
    <w:name w:val="正文＊"/>
    <w:basedOn w:val="1"/>
    <w:qFormat/>
    <w:uiPriority w:val="0"/>
    <w:pPr>
      <w:spacing w:line="360" w:lineRule="auto"/>
      <w:jc w:val="left"/>
    </w:pPr>
    <w:rPr>
      <w:rFonts w:ascii="宋体" w:hAnsi="宋体"/>
      <w:sz w:val="28"/>
      <w:szCs w:val="28"/>
    </w:rPr>
  </w:style>
  <w:style w:type="paragraph" w:customStyle="1" w:styleId="92">
    <w:name w:val="图表正文"/>
    <w:basedOn w:val="1"/>
    <w:qFormat/>
    <w:uiPriority w:val="0"/>
    <w:pPr>
      <w:widowControl w:val="0"/>
      <w:snapToGrid w:val="0"/>
      <w:spacing w:before="2" w:beforeLines="2" w:after="2" w:afterLines="2" w:line="320" w:lineRule="exact"/>
      <w:jc w:val="center"/>
    </w:pPr>
    <w:rPr>
      <w:rFonts w:ascii="Times New Roman" w:hAnsi="Times New Roman" w:eastAsia="宋体" w:cs="Times New Roman"/>
      <w:b/>
      <w:kern w:val="2"/>
      <w:sz w:val="24"/>
    </w:rPr>
  </w:style>
  <w:style w:type="paragraph" w:customStyle="1" w:styleId="93">
    <w:name w:val="填表内容"/>
    <w:basedOn w:val="1"/>
    <w:qFormat/>
    <w:uiPriority w:val="0"/>
    <w:pPr>
      <w:adjustRightInd w:val="0"/>
      <w:spacing w:line="480" w:lineRule="exact"/>
      <w:ind w:firstLine="560" w:firstLineChars="200"/>
      <w:jc w:val="left"/>
      <w:textAlignment w:val="baseline"/>
    </w:pPr>
    <w:rPr>
      <w:rFonts w:ascii="楷体_GB2312" w:eastAsia="楷体_GB2312"/>
      <w:sz w:val="28"/>
      <w:szCs w:val="20"/>
    </w:rPr>
  </w:style>
  <w:style w:type="character" w:customStyle="1" w:styleId="94">
    <w:name w:val="unnamed11"/>
    <w:qFormat/>
    <w:uiPriority w:val="0"/>
    <w:rPr>
      <w:color w:val="666666"/>
      <w:sz w:val="18"/>
      <w:szCs w:val="18"/>
    </w:rPr>
  </w:style>
  <w:style w:type="paragraph" w:customStyle="1" w:styleId="95">
    <w:name w:val="书正文"/>
    <w:basedOn w:val="1"/>
    <w:qFormat/>
    <w:uiPriority w:val="0"/>
    <w:pPr>
      <w:keepNext/>
      <w:wordWrap w:val="0"/>
      <w:topLinePunct/>
      <w:spacing w:line="360" w:lineRule="auto"/>
      <w:ind w:firstLine="420" w:firstLineChars="200"/>
    </w:pPr>
    <w:rPr>
      <w:rFonts w:ascii="Times New Roman" w:hAnsi="Times New Roman" w:eastAsia="宋体"/>
      <w:sz w:val="24"/>
    </w:rPr>
  </w:style>
  <w:style w:type="paragraph" w:customStyle="1" w:styleId="96">
    <w:name w:val="正文环评"/>
    <w:basedOn w:val="1"/>
    <w:qFormat/>
    <w:uiPriority w:val="0"/>
    <w:pPr>
      <w:spacing w:line="360" w:lineRule="auto"/>
      <w:ind w:firstLine="200" w:firstLineChars="200"/>
    </w:pPr>
    <w:rPr>
      <w:szCs w:val="22"/>
    </w:rPr>
  </w:style>
  <w:style w:type="paragraph" w:customStyle="1" w:styleId="97">
    <w:name w:val="表"/>
    <w:basedOn w:val="15"/>
    <w:next w:val="1"/>
    <w:qFormat/>
    <w:uiPriority w:val="0"/>
    <w:pPr>
      <w:spacing w:line="240" w:lineRule="auto"/>
    </w:pPr>
    <w:rPr>
      <w:rFonts w:ascii="Times New Roman" w:hAnsi="Times New Roman" w:eastAsia="宋体"/>
      <w:sz w:val="21"/>
    </w:rPr>
  </w:style>
  <w:style w:type="paragraph" w:customStyle="1" w:styleId="98">
    <w:name w:val="环评正文"/>
    <w:basedOn w:val="1"/>
    <w:qFormat/>
    <w:uiPriority w:val="0"/>
    <w:pPr>
      <w:spacing w:line="360" w:lineRule="auto"/>
      <w:ind w:firstLine="530" w:firstLineChars="221"/>
    </w:pPr>
    <w:rPr>
      <w:rFonts w:ascii="Times New Roman" w:hAnsi="宋体"/>
      <w:kern w:val="0"/>
      <w:sz w:val="24"/>
      <w:szCs w:val="24"/>
    </w:rPr>
  </w:style>
  <w:style w:type="paragraph" w:customStyle="1" w:styleId="99">
    <w:name w:val="表头、图尾"/>
    <w:basedOn w:val="1"/>
    <w:qFormat/>
    <w:uiPriority w:val="0"/>
    <w:pPr>
      <w:spacing w:beforeLines="50" w:afterLines="20"/>
      <w:jc w:val="center"/>
      <w:outlineLvl w:val="1"/>
    </w:pPr>
    <w:rPr>
      <w:b/>
      <w:szCs w:val="21"/>
    </w:rPr>
  </w:style>
  <w:style w:type="character" w:customStyle="1" w:styleId="100">
    <w:name w:val="NormalCharacter"/>
    <w:qFormat/>
    <w:uiPriority w:val="0"/>
  </w:style>
  <w:style w:type="paragraph" w:customStyle="1" w:styleId="101">
    <w:name w:val="报告表正文标题"/>
    <w:basedOn w:val="60"/>
    <w:qFormat/>
    <w:uiPriority w:val="0"/>
    <w:rPr>
      <w:b/>
    </w:rPr>
  </w:style>
  <w:style w:type="paragraph" w:customStyle="1" w:styleId="102">
    <w:name w:val="正文段落"/>
    <w:basedOn w:val="1"/>
    <w:qFormat/>
    <w:uiPriority w:val="0"/>
    <w:pPr>
      <w:spacing w:line="360" w:lineRule="auto"/>
      <w:ind w:firstLine="720" w:firstLineChars="200"/>
    </w:pPr>
    <w:rPr>
      <w:rFonts w:ascii="Times New Roman" w:hAnsi="Times New Roman"/>
      <w:sz w:val="24"/>
    </w:rPr>
  </w:style>
  <w:style w:type="paragraph" w:customStyle="1" w:styleId="103">
    <w:name w:val="表格标题"/>
    <w:basedOn w:val="60"/>
    <w:qFormat/>
    <w:uiPriority w:val="0"/>
    <w:pPr>
      <w:spacing w:line="240" w:lineRule="auto"/>
      <w:ind w:firstLine="0"/>
      <w:jc w:val="center"/>
    </w:pPr>
    <w:rPr>
      <w:rFonts w:ascii="Times New Roman" w:hAnsi="Times New Roman" w:eastAsia="Times New Roman"/>
      <w:b/>
    </w:rPr>
  </w:style>
  <w:style w:type="paragraph" w:customStyle="1" w:styleId="104">
    <w:name w:val="表格首行"/>
    <w:basedOn w:val="1"/>
    <w:qFormat/>
    <w:uiPriority w:val="0"/>
    <w:pPr>
      <w:jc w:val="center"/>
    </w:pPr>
    <w:rPr>
      <w:rFonts w:ascii="Times New Roman"/>
      <w:b/>
    </w:rPr>
  </w:style>
  <w:style w:type="paragraph" w:customStyle="1" w:styleId="105">
    <w:name w:val="表格 长文本"/>
    <w:basedOn w:val="1"/>
    <w:qFormat/>
    <w:uiPriority w:val="0"/>
    <w:pPr>
      <w:ind w:firstLine="720" w:firstLineChars="200"/>
    </w:pPr>
    <w:rPr>
      <w:rFonts w:ascii="Times New Roman"/>
    </w:rPr>
  </w:style>
  <w:style w:type="paragraph" w:customStyle="1" w:styleId="106">
    <w:name w:val="表格 短文本"/>
    <w:basedOn w:val="1"/>
    <w:qFormat/>
    <w:uiPriority w:val="0"/>
    <w:pPr>
      <w:jc w:val="center"/>
    </w:pPr>
    <w:rPr>
      <w:rFonts w:ascii="Times New Roman" w:hAnsi="Times New Roman"/>
    </w:rPr>
  </w:style>
  <w:style w:type="paragraph" w:customStyle="1" w:styleId="107">
    <w:name w:val="样式 样式 样式 小四 首行缩进:  2.25 字符 + 首行缩进:  2.25 字符 + 首行缩进:  2 字符"/>
    <w:basedOn w:val="108"/>
    <w:qFormat/>
    <w:uiPriority w:val="0"/>
  </w:style>
  <w:style w:type="paragraph" w:customStyle="1" w:styleId="108">
    <w:name w:val="样式 样式 小四 首行缩进:  2.25 字符 + 首行缩进:  2.25 字符"/>
    <w:basedOn w:val="109"/>
    <w:qFormat/>
    <w:uiPriority w:val="0"/>
  </w:style>
  <w:style w:type="paragraph" w:customStyle="1" w:styleId="109">
    <w:name w:val="样式 小四 首行缩进:  2.25 字符"/>
    <w:basedOn w:val="1"/>
    <w:qFormat/>
    <w:uiPriority w:val="0"/>
    <w:pPr>
      <w:spacing w:line="440" w:lineRule="exact"/>
      <w:ind w:firstLine="200"/>
    </w:pPr>
    <w:rPr>
      <w:szCs w:val="20"/>
    </w:rPr>
  </w:style>
  <w:style w:type="paragraph" w:customStyle="1" w:styleId="110">
    <w:name w:val="方案正文样式"/>
    <w:basedOn w:val="1"/>
    <w:qFormat/>
    <w:uiPriority w:val="0"/>
    <w:pPr>
      <w:adjustRightInd w:val="0"/>
      <w:snapToGrid w:val="0"/>
      <w:spacing w:line="360" w:lineRule="auto"/>
      <w:ind w:firstLine="454"/>
      <w:textAlignment w:val="baseline"/>
    </w:pPr>
    <w:rPr>
      <w:snapToGrid w:val="0"/>
      <w:kern w:val="0"/>
      <w:sz w:val="24"/>
    </w:rPr>
  </w:style>
  <w:style w:type="paragraph" w:customStyle="1" w:styleId="111">
    <w:name w:val="表五号"/>
    <w:basedOn w:val="1"/>
    <w:qFormat/>
    <w:uiPriority w:val="0"/>
    <w:pPr>
      <w:widowControl/>
      <w:spacing w:before="0" w:beforeAutospacing="0" w:after="0" w:afterAutospacing="0" w:line="312" w:lineRule="auto"/>
      <w:ind w:left="0" w:right="0" w:firstLine="0" w:firstLineChars="0"/>
      <w:jc w:val="center"/>
    </w:pPr>
    <w:rPr>
      <w:rFonts w:hint="default" w:ascii="Times New Roman" w:hAnsi="Times New Roman" w:cs="Times New Roman"/>
      <w:kern w:val="0"/>
      <w:sz w:val="21"/>
      <w:szCs w:val="21"/>
      <w:lang w:val="en-US" w:eastAsia="zh-CN" w:bidi="ar"/>
    </w:rPr>
  </w:style>
  <w:style w:type="paragraph" w:customStyle="1" w:styleId="112">
    <w:name w:val="Table Paragraph"/>
    <w:basedOn w:val="1"/>
    <w:qFormat/>
    <w:uiPriority w:val="1"/>
    <w:pPr>
      <w:jc w:val="center"/>
    </w:pPr>
    <w:rPr>
      <w:rFonts w:ascii="宋体" w:hAnsi="宋体" w:eastAsia="宋体" w:cs="宋体"/>
      <w:lang w:val="zh-CN" w:eastAsia="zh-CN" w:bidi="zh-CN"/>
    </w:rPr>
  </w:style>
  <w:style w:type="character" w:customStyle="1" w:styleId="113">
    <w:name w:val="font91"/>
    <w:qFormat/>
    <w:uiPriority w:val="0"/>
    <w:rPr>
      <w:rFonts w:hint="eastAsia" w:ascii="宋体" w:hAnsi="宋体" w:eastAsia="宋体" w:cs="宋体"/>
      <w:color w:val="000000"/>
      <w:sz w:val="18"/>
      <w:szCs w:val="18"/>
      <w:u w:val="none"/>
    </w:rPr>
  </w:style>
  <w:style w:type="paragraph" w:customStyle="1" w:styleId="114">
    <w:name w:val="p0"/>
    <w:basedOn w:val="1"/>
    <w:qFormat/>
    <w:uiPriority w:val="99"/>
    <w:pPr>
      <w:tabs>
        <w:tab w:val="left" w:pos="540"/>
        <w:tab w:val="left" w:pos="851"/>
        <w:tab w:val="left" w:pos="994"/>
        <w:tab w:val="left" w:pos="1260"/>
        <w:tab w:val="left" w:pos="3108"/>
        <w:tab w:val="left" w:pos="3150"/>
      </w:tabs>
    </w:pPr>
    <w:rPr>
      <w:kern w:val="0"/>
      <w:szCs w:val="21"/>
    </w:rPr>
  </w:style>
  <w:style w:type="paragraph" w:customStyle="1" w:styleId="115">
    <w:name w:val="文本内容"/>
    <w:basedOn w:val="1"/>
    <w:qFormat/>
    <w:uiPriority w:val="0"/>
    <w:pPr>
      <w:tabs>
        <w:tab w:val="left" w:pos="540"/>
        <w:tab w:val="left" w:pos="851"/>
        <w:tab w:val="left" w:pos="994"/>
        <w:tab w:val="left" w:pos="1260"/>
        <w:tab w:val="left" w:pos="3108"/>
        <w:tab w:val="left" w:pos="3150"/>
      </w:tabs>
      <w:ind w:firstLine="200" w:firstLineChars="200"/>
    </w:pPr>
    <w:rPr>
      <w:kern w:val="0"/>
    </w:rPr>
  </w:style>
  <w:style w:type="paragraph" w:customStyle="1" w:styleId="116">
    <w:name w:val="正本文字"/>
    <w:basedOn w:val="1"/>
    <w:qFormat/>
    <w:uiPriority w:val="0"/>
    <w:pPr>
      <w:adjustRightInd w:val="0"/>
      <w:snapToGrid w:val="0"/>
      <w:spacing w:line="360" w:lineRule="auto"/>
      <w:ind w:firstLine="200" w:firstLineChars="200"/>
      <w:jc w:val="left"/>
    </w:pPr>
    <w:rPr>
      <w:rFonts w:cs="宋体"/>
      <w:kern w:val="18"/>
      <w:sz w:val="24"/>
      <w:szCs w:val="20"/>
    </w:rPr>
  </w:style>
  <w:style w:type="paragraph" w:customStyle="1" w:styleId="117">
    <w:name w:val="Char1"/>
    <w:basedOn w:val="1"/>
    <w:qFormat/>
    <w:uiPriority w:val="0"/>
    <w:rPr>
      <w:rFonts w:ascii="Times New Roman" w:hAnsi="Times New Roman"/>
      <w:szCs w:val="21"/>
    </w:rPr>
  </w:style>
  <w:style w:type="paragraph" w:customStyle="1" w:styleId="118">
    <w:name w:val="正文01"/>
    <w:basedOn w:val="1"/>
    <w:qFormat/>
    <w:uiPriority w:val="0"/>
    <w:pPr>
      <w:spacing w:before="60" w:line="480" w:lineRule="exact"/>
      <w:ind w:firstLine="539"/>
    </w:pPr>
    <w:rPr>
      <w:sz w:val="27"/>
      <w:szCs w:val="20"/>
    </w:rPr>
  </w:style>
  <w:style w:type="table" w:customStyle="1" w:styleId="119">
    <w:name w:val="Table Normal"/>
    <w:unhideWhenUsed/>
    <w:qFormat/>
    <w:uiPriority w:val="0"/>
    <w:tblPr>
      <w:tblCellMar>
        <w:top w:w="0" w:type="dxa"/>
        <w:left w:w="0" w:type="dxa"/>
        <w:bottom w:w="0" w:type="dxa"/>
        <w:right w:w="0" w:type="dxa"/>
      </w:tblCellMar>
    </w:tblPr>
  </w:style>
  <w:style w:type="character" w:customStyle="1" w:styleId="120">
    <w:name w:val="正文文本 Char1"/>
    <w:qFormat/>
    <w:uiPriority w:val="0"/>
    <w:rPr>
      <w:rFonts w:eastAsia="宋体"/>
      <w:kern w:val="2"/>
      <w:sz w:val="28"/>
      <w:szCs w:val="24"/>
      <w:lang w:val="en-US" w:eastAsia="zh-CN" w:bidi="ar-SA"/>
    </w:rPr>
  </w:style>
  <w:style w:type="paragraph" w:customStyle="1" w:styleId="121">
    <w:name w:val="文本22"/>
    <w:basedOn w:val="1"/>
    <w:qFormat/>
    <w:uiPriority w:val="0"/>
    <w:pPr>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pPr>
    <w:rPr>
      <w:rFonts w:hint="default" w:ascii="Times New Roman" w:hAnsi="Times New Roman" w:eastAsia="宋体" w:cs="Times New Roman"/>
      <w:kern w:val="2"/>
      <w:sz w:val="24"/>
      <w:szCs w:val="24"/>
      <w:lang w:val="en-US" w:eastAsia="zh-CN" w:bidi="ar"/>
    </w:rPr>
  </w:style>
  <w:style w:type="paragraph" w:styleId="122">
    <w:name w:val="List Paragraph"/>
    <w:basedOn w:val="1"/>
    <w:qFormat/>
    <w:uiPriority w:val="34"/>
    <w:pPr>
      <w:ind w:firstLine="420" w:firstLineChars="200"/>
    </w:pPr>
  </w:style>
  <w:style w:type="paragraph" w:customStyle="1" w:styleId="123">
    <w:name w:val="正文HRZ"/>
    <w:qFormat/>
    <w:uiPriority w:val="0"/>
    <w:pPr>
      <w:spacing w:line="360" w:lineRule="auto"/>
      <w:ind w:firstLine="600" w:firstLineChars="200"/>
      <w:jc w:val="both"/>
    </w:pPr>
    <w:rPr>
      <w:rFonts w:ascii="Times New Roman" w:hAnsi="Times New Roman" w:eastAsia="宋体" w:cs="Times New Roman"/>
      <w:color w:val="000000"/>
      <w:sz w:val="24"/>
      <w:szCs w:val="24"/>
      <w:lang w:val="en-US" w:eastAsia="zh-CN" w:bidi="ar-SA"/>
    </w:rPr>
  </w:style>
  <w:style w:type="paragraph" w:styleId="124">
    <w:name w:val="No Spacing"/>
    <w:next w:val="1"/>
    <w:qFormat/>
    <w:uiPriority w:val="0"/>
    <w:pPr>
      <w:widowControl w:val="0"/>
      <w:jc w:val="both"/>
    </w:pPr>
    <w:rPr>
      <w:rFonts w:ascii="微软雅黑" w:hAnsi="微软雅黑" w:eastAsia="微软雅黑" w:cs="Times New Roman"/>
      <w:color w:val="000000"/>
      <w:sz w:val="24"/>
      <w:szCs w:val="24"/>
      <w:lang w:val="en-US" w:eastAsia="zh-CN" w:bidi="ar-SA"/>
    </w:rPr>
  </w:style>
  <w:style w:type="paragraph" w:customStyle="1" w:styleId="125">
    <w:name w:val="表正文"/>
    <w:basedOn w:val="1"/>
    <w:qFormat/>
    <w:uiPriority w:val="0"/>
    <w:pPr>
      <w:spacing w:line="360" w:lineRule="auto"/>
      <w:ind w:firstLine="200" w:firstLineChars="200"/>
    </w:pPr>
    <w:rPr>
      <w:sz w:val="24"/>
    </w:rPr>
  </w:style>
  <w:style w:type="paragraph" w:customStyle="1" w:styleId="126">
    <w:name w:val="表格标题QQ"/>
    <w:basedOn w:val="1"/>
    <w:qFormat/>
    <w:uiPriority w:val="0"/>
    <w:pPr>
      <w:jc w:val="center"/>
      <w:outlineLvl w:val="4"/>
    </w:pPr>
    <w:rPr>
      <w:b/>
    </w:rPr>
  </w:style>
  <w:style w:type="paragraph" w:customStyle="1" w:styleId="127">
    <w:name w:val="表格内容"/>
    <w:basedOn w:val="67"/>
    <w:qFormat/>
    <w:uiPriority w:val="0"/>
  </w:style>
  <w:style w:type="paragraph" w:customStyle="1" w:styleId="128">
    <w:name w:val="样式 正文缩进正文缩进2正文缩进 Char Char正文缩进 Char Char Char Char正文缩进 Char ..."/>
    <w:basedOn w:val="14"/>
    <w:qFormat/>
    <w:uiPriority w:val="0"/>
    <w:pPr>
      <w:spacing w:line="360" w:lineRule="auto"/>
      <w:ind w:firstLine="200" w:firstLineChars="0"/>
    </w:pPr>
    <w:rPr>
      <w:rFonts w:cs="宋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oleObject" Target="embeddings/oleObject2.bin"/><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e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UwODE2MDkyNDA1IiwKCSJHcm91cElkIiA6ICIyODQ0NDM5ODEiLAoJIkltYWdlIiA6ICIiLAoJIlRoZW1lIiA6ICIiLAoJIlR5cGUiIDogImZsb3ciLAoJIlZlcnNpb24iIDogIiIKfQo="/>
    </extobj>
    <extobj name="ECB019B1-382A-4266-B25C-5B523AA43C14-2">
      <extobjdata type="ECB019B1-382A-4266-B25C-5B523AA43C14" data="ewoJIkZpbGVJZCIgOiAiNTUxOTU1NTkxNzgyIiwKCSJHcm91cElkIiA6ICIyODQ0NDM5ODEiLAoJIkltYWdlIiA6ICI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125</Pages>
  <Words>49305</Words>
  <Characters>51622</Characters>
  <Lines>3692</Lines>
  <Paragraphs>3401</Paragraphs>
  <TotalTime>174</TotalTime>
  <ScaleCrop>false</ScaleCrop>
  <LinksUpToDate>false</LinksUpToDate>
  <CharactersWithSpaces>51870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2021-06-03T06:29:00Z</dcterms:created>
  <dc:creator>关不上的窗</dc:creator>
  <cp:lastModifiedBy>马竹芬</cp:lastModifiedBy>
  <cp:lastPrinted>2025-12-24T05:07:00Z</cp:lastPrinted>
  <dcterms:modified xsi:type="dcterms:W3CDTF">2026-10-26T06:14:10Z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6E78458CBB304D68BF414D5BEE78B22B_13</vt:lpwstr>
  </property>
  <property fmtid="{D5CDD505-2E9C-101B-9397-08002B2CF9AE}" pid="4" name="KSOTemplateDocerSaveRecord">
    <vt:lpwstr>eyJoZGlkIjoiOTc5MzZiOTVlYzA1Y2QxZjJhNzRkYjUxYWVhZGEwN2UiLCJ1c2VySWQiOiIxNzQ3Nzk0OTE3In0=</vt:lpwstr>
  </property>
</Properties>
</file>